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C6BA1" w14:textId="77777777" w:rsidR="001C443C" w:rsidRPr="009A7163" w:rsidRDefault="001C443C" w:rsidP="001C443C">
      <w:pPr>
        <w:spacing w:line="360" w:lineRule="auto"/>
        <w:rPr>
          <w:b/>
          <w:bCs/>
          <w:lang w:eastAsia="en-GB"/>
        </w:rPr>
      </w:pPr>
      <w:bookmarkStart w:id="0" w:name="_GoBack"/>
      <w:bookmarkEnd w:id="0"/>
    </w:p>
    <w:p w14:paraId="7A19C757" w14:textId="77777777" w:rsidR="001C443C" w:rsidRPr="009A7163" w:rsidRDefault="001C443C" w:rsidP="001C443C">
      <w:pPr>
        <w:spacing w:line="360" w:lineRule="auto"/>
        <w:jc w:val="center"/>
        <w:rPr>
          <w:b/>
          <w:bCs/>
          <w:lang w:eastAsia="en-GB"/>
        </w:rPr>
      </w:pPr>
    </w:p>
    <w:p w14:paraId="4A015C3A" w14:textId="77777777" w:rsidR="001C443C" w:rsidRPr="009A7163" w:rsidRDefault="001C443C" w:rsidP="001C443C">
      <w:pPr>
        <w:spacing w:line="360" w:lineRule="auto"/>
        <w:jc w:val="center"/>
        <w:rPr>
          <w:lang w:eastAsia="en-GB"/>
        </w:rPr>
      </w:pPr>
      <w:r w:rsidRPr="009A7163">
        <w:rPr>
          <w:bCs/>
          <w:lang w:eastAsia="en-GB"/>
        </w:rPr>
        <w:t>EMPOWERMENT THROUGH VALUING WOMEN'S UNPAID CARE WORK?</w:t>
      </w:r>
    </w:p>
    <w:p w14:paraId="313BEE38" w14:textId="77777777" w:rsidR="001C443C" w:rsidRPr="009A7163" w:rsidRDefault="001C443C" w:rsidP="001C443C">
      <w:pPr>
        <w:spacing w:line="360" w:lineRule="auto"/>
        <w:jc w:val="center"/>
        <w:rPr>
          <w:bCs/>
          <w:lang w:eastAsia="en-GB"/>
        </w:rPr>
      </w:pPr>
      <w:r w:rsidRPr="009A7163">
        <w:rPr>
          <w:bCs/>
          <w:lang w:eastAsia="en-GB"/>
        </w:rPr>
        <w:t>AN EXAMINATION OF AN INNOVATIVE FAIR TRADE AND COMMUNITY TRADE PRICING MODEL IN NICARAGUA.</w:t>
      </w:r>
    </w:p>
    <w:p w14:paraId="632EA951" w14:textId="77777777" w:rsidR="001C443C" w:rsidRPr="009A7163" w:rsidRDefault="001C443C" w:rsidP="001C443C">
      <w:pPr>
        <w:spacing w:line="360" w:lineRule="auto"/>
        <w:jc w:val="center"/>
        <w:rPr>
          <w:bCs/>
          <w:lang w:eastAsia="en-GB"/>
        </w:rPr>
      </w:pPr>
    </w:p>
    <w:p w14:paraId="10227380" w14:textId="77777777" w:rsidR="001C443C" w:rsidRPr="009A7163" w:rsidRDefault="001C443C" w:rsidP="001C443C">
      <w:pPr>
        <w:spacing w:line="360" w:lineRule="auto"/>
        <w:jc w:val="center"/>
        <w:rPr>
          <w:bCs/>
          <w:lang w:eastAsia="en-GB"/>
        </w:rPr>
      </w:pPr>
      <w:r w:rsidRPr="009A7163">
        <w:rPr>
          <w:bCs/>
          <w:lang w:eastAsia="en-GB"/>
        </w:rPr>
        <w:t>By</w:t>
      </w:r>
    </w:p>
    <w:p w14:paraId="14B5BEA2" w14:textId="77777777" w:rsidR="001C443C" w:rsidRPr="009A7163" w:rsidRDefault="001C443C" w:rsidP="001C443C">
      <w:pPr>
        <w:spacing w:line="360" w:lineRule="auto"/>
        <w:jc w:val="center"/>
        <w:rPr>
          <w:bCs/>
          <w:lang w:eastAsia="en-GB"/>
        </w:rPr>
      </w:pPr>
    </w:p>
    <w:p w14:paraId="1B5F0B1F" w14:textId="77777777" w:rsidR="001C443C" w:rsidRPr="009A7163" w:rsidRDefault="001C443C" w:rsidP="001C443C">
      <w:pPr>
        <w:spacing w:line="360" w:lineRule="auto"/>
        <w:jc w:val="center"/>
        <w:rPr>
          <w:bCs/>
          <w:lang w:eastAsia="en-GB"/>
        </w:rPr>
      </w:pPr>
      <w:r w:rsidRPr="009A7163">
        <w:rPr>
          <w:bCs/>
          <w:lang w:eastAsia="en-GB"/>
        </w:rPr>
        <w:t>FELICITY BUTLER</w:t>
      </w:r>
    </w:p>
    <w:p w14:paraId="283A5591" w14:textId="77777777" w:rsidR="001C443C" w:rsidRPr="009A7163" w:rsidRDefault="001C443C" w:rsidP="001C443C">
      <w:pPr>
        <w:spacing w:line="360" w:lineRule="auto"/>
        <w:jc w:val="center"/>
        <w:rPr>
          <w:bCs/>
          <w:lang w:eastAsia="en-GB"/>
        </w:rPr>
      </w:pPr>
    </w:p>
    <w:p w14:paraId="60F16315" w14:textId="77777777" w:rsidR="001C443C" w:rsidRPr="009A7163" w:rsidRDefault="001C443C" w:rsidP="001C443C">
      <w:pPr>
        <w:spacing w:line="360" w:lineRule="auto"/>
        <w:jc w:val="center"/>
        <w:rPr>
          <w:bCs/>
          <w:lang w:eastAsia="en-GB"/>
        </w:rPr>
      </w:pPr>
      <w:r w:rsidRPr="009A7163">
        <w:rPr>
          <w:bCs/>
          <w:lang w:eastAsia="en-GB"/>
        </w:rPr>
        <w:t xml:space="preserve">The thesis is submitted for the degree of Doctor of Philosophy </w:t>
      </w:r>
    </w:p>
    <w:p w14:paraId="2772FA71" w14:textId="77777777" w:rsidR="001C443C" w:rsidRPr="009A7163" w:rsidRDefault="001C443C" w:rsidP="001C443C">
      <w:pPr>
        <w:spacing w:line="360" w:lineRule="auto"/>
        <w:jc w:val="center"/>
        <w:rPr>
          <w:bCs/>
          <w:lang w:eastAsia="en-GB"/>
        </w:rPr>
      </w:pPr>
      <w:r w:rsidRPr="009A7163">
        <w:rPr>
          <w:bCs/>
          <w:lang w:eastAsia="en-GB"/>
        </w:rPr>
        <w:t>Royal Holloway, University of London</w:t>
      </w:r>
    </w:p>
    <w:p w14:paraId="00FE846A" w14:textId="77777777" w:rsidR="001C443C" w:rsidRPr="009A7163" w:rsidRDefault="001C443C" w:rsidP="001C443C">
      <w:pPr>
        <w:spacing w:line="360" w:lineRule="auto"/>
        <w:jc w:val="center"/>
        <w:rPr>
          <w:bCs/>
          <w:lang w:eastAsia="en-GB"/>
        </w:rPr>
      </w:pPr>
    </w:p>
    <w:p w14:paraId="3F2A954C" w14:textId="77777777" w:rsidR="001C443C" w:rsidRPr="009A7163" w:rsidRDefault="001C443C" w:rsidP="001C443C">
      <w:pPr>
        <w:spacing w:line="360" w:lineRule="auto"/>
        <w:jc w:val="center"/>
        <w:rPr>
          <w:bCs/>
          <w:lang w:eastAsia="en-GB"/>
        </w:rPr>
      </w:pPr>
    </w:p>
    <w:p w14:paraId="5FAE66B1" w14:textId="77777777" w:rsidR="001C443C" w:rsidRPr="009A7163" w:rsidRDefault="001C443C" w:rsidP="001C443C">
      <w:pPr>
        <w:spacing w:line="360" w:lineRule="auto"/>
        <w:jc w:val="center"/>
        <w:rPr>
          <w:bCs/>
          <w:lang w:eastAsia="en-GB"/>
        </w:rPr>
      </w:pPr>
      <w:r w:rsidRPr="009A7163">
        <w:rPr>
          <w:bCs/>
          <w:lang w:eastAsia="en-GB"/>
        </w:rPr>
        <w:t>September 2017</w:t>
      </w:r>
    </w:p>
    <w:p w14:paraId="40A670B0" w14:textId="77777777" w:rsidR="001C443C" w:rsidRPr="009A7163" w:rsidRDefault="001C443C" w:rsidP="001C443C">
      <w:pPr>
        <w:spacing w:line="360" w:lineRule="auto"/>
        <w:rPr>
          <w:b/>
        </w:rPr>
      </w:pPr>
    </w:p>
    <w:p w14:paraId="4C3DE85A" w14:textId="77777777" w:rsidR="001C443C" w:rsidRPr="009A7163" w:rsidRDefault="001C443C" w:rsidP="001C443C">
      <w:pPr>
        <w:spacing w:line="360" w:lineRule="auto"/>
        <w:jc w:val="center"/>
        <w:rPr>
          <w:b/>
        </w:rPr>
      </w:pPr>
    </w:p>
    <w:p w14:paraId="7E07AB6B" w14:textId="77777777" w:rsidR="001C443C" w:rsidRPr="009A7163" w:rsidRDefault="001C443C" w:rsidP="001C443C">
      <w:pPr>
        <w:spacing w:line="360" w:lineRule="auto"/>
        <w:jc w:val="center"/>
        <w:rPr>
          <w:b/>
        </w:rPr>
      </w:pPr>
    </w:p>
    <w:p w14:paraId="07482933" w14:textId="77777777" w:rsidR="001C443C" w:rsidRPr="009A7163" w:rsidRDefault="001C443C" w:rsidP="001C443C">
      <w:pPr>
        <w:spacing w:line="360" w:lineRule="auto"/>
        <w:jc w:val="center"/>
        <w:rPr>
          <w:b/>
        </w:rPr>
      </w:pPr>
    </w:p>
    <w:p w14:paraId="766150C8" w14:textId="77777777" w:rsidR="001C443C" w:rsidRPr="009A7163" w:rsidRDefault="001C443C" w:rsidP="001C443C">
      <w:pPr>
        <w:spacing w:line="360" w:lineRule="auto"/>
        <w:jc w:val="center"/>
        <w:rPr>
          <w:b/>
        </w:rPr>
      </w:pPr>
    </w:p>
    <w:p w14:paraId="0E64FEE5" w14:textId="77777777" w:rsidR="001C443C" w:rsidRPr="009A7163" w:rsidRDefault="001C443C" w:rsidP="001C443C">
      <w:pPr>
        <w:spacing w:line="360" w:lineRule="auto"/>
        <w:jc w:val="center"/>
        <w:rPr>
          <w:b/>
        </w:rPr>
      </w:pPr>
    </w:p>
    <w:p w14:paraId="539362F1" w14:textId="77777777" w:rsidR="001C443C" w:rsidRPr="009A7163" w:rsidRDefault="001C443C" w:rsidP="001C443C">
      <w:pPr>
        <w:spacing w:line="360" w:lineRule="auto"/>
        <w:jc w:val="center"/>
        <w:rPr>
          <w:b/>
        </w:rPr>
      </w:pPr>
    </w:p>
    <w:p w14:paraId="5847A9E4" w14:textId="77777777" w:rsidR="001C443C" w:rsidRPr="009A7163" w:rsidRDefault="001C443C" w:rsidP="001C443C">
      <w:pPr>
        <w:spacing w:line="360" w:lineRule="auto"/>
        <w:jc w:val="center"/>
        <w:rPr>
          <w:b/>
        </w:rPr>
      </w:pPr>
    </w:p>
    <w:p w14:paraId="504D70B6" w14:textId="77777777" w:rsidR="001C443C" w:rsidRPr="009A7163" w:rsidRDefault="001C443C" w:rsidP="001C443C">
      <w:pPr>
        <w:spacing w:line="360" w:lineRule="auto"/>
        <w:jc w:val="center"/>
        <w:rPr>
          <w:b/>
        </w:rPr>
      </w:pPr>
    </w:p>
    <w:p w14:paraId="45E9CAA3" w14:textId="77777777" w:rsidR="001C443C" w:rsidRPr="009A7163" w:rsidRDefault="001C443C" w:rsidP="001C443C">
      <w:pPr>
        <w:spacing w:line="360" w:lineRule="auto"/>
        <w:jc w:val="center"/>
        <w:rPr>
          <w:b/>
        </w:rPr>
      </w:pPr>
    </w:p>
    <w:p w14:paraId="3568F716" w14:textId="77777777" w:rsidR="006E20AF" w:rsidRPr="009A7163" w:rsidRDefault="006E20AF" w:rsidP="001C443C">
      <w:pPr>
        <w:spacing w:line="360" w:lineRule="auto"/>
        <w:jc w:val="center"/>
        <w:rPr>
          <w:b/>
        </w:rPr>
      </w:pPr>
    </w:p>
    <w:p w14:paraId="464349F7" w14:textId="1E7973F5" w:rsidR="009E1B20" w:rsidRPr="009A7163" w:rsidRDefault="009E1B20" w:rsidP="001C443C">
      <w:pPr>
        <w:spacing w:line="360" w:lineRule="auto"/>
        <w:jc w:val="center"/>
        <w:rPr>
          <w:b/>
        </w:rPr>
      </w:pPr>
      <w:r w:rsidRPr="009A7163">
        <w:rPr>
          <w:b/>
          <w:u w:val="single"/>
        </w:rPr>
        <w:t>Declaration of Authorship</w:t>
      </w:r>
    </w:p>
    <w:p w14:paraId="34622EB5" w14:textId="77777777" w:rsidR="009E1B20" w:rsidRPr="009A7163" w:rsidRDefault="009E1B20" w:rsidP="001C443C">
      <w:pPr>
        <w:spacing w:line="360" w:lineRule="auto"/>
        <w:jc w:val="center"/>
        <w:rPr>
          <w:b/>
        </w:rPr>
      </w:pPr>
    </w:p>
    <w:p w14:paraId="35A6B224" w14:textId="0085078C" w:rsidR="009E1B20" w:rsidRPr="009A7163" w:rsidRDefault="009E1B20" w:rsidP="00293176">
      <w:pPr>
        <w:jc w:val="both"/>
      </w:pPr>
      <w:r w:rsidRPr="009A7163">
        <w:t>I, Felicity Butler, hereby declare that this thesis and the work presented in it is entirely my own. I have clearly stated where I have consulted the work of others.</w:t>
      </w:r>
    </w:p>
    <w:p w14:paraId="5E6C6C56" w14:textId="77777777" w:rsidR="009E1B20" w:rsidRPr="009A7163" w:rsidRDefault="009E1B20" w:rsidP="00293176">
      <w:pPr>
        <w:spacing w:line="360" w:lineRule="auto"/>
      </w:pPr>
    </w:p>
    <w:p w14:paraId="0A7F3358" w14:textId="003603A6" w:rsidR="009E1B20" w:rsidRPr="009A7163" w:rsidRDefault="009E1B20" w:rsidP="00293176">
      <w:pPr>
        <w:spacing w:line="360" w:lineRule="auto"/>
      </w:pPr>
      <w:r w:rsidRPr="009A7163">
        <w:t>Signed: _____________________________________</w:t>
      </w:r>
    </w:p>
    <w:p w14:paraId="4CE17443" w14:textId="3336B63F" w:rsidR="009E1B20" w:rsidRPr="009A7163" w:rsidRDefault="009E1B20" w:rsidP="00293176">
      <w:pPr>
        <w:spacing w:line="360" w:lineRule="auto"/>
      </w:pPr>
      <w:r w:rsidRPr="009A7163">
        <w:t>Date: _______________________________________</w:t>
      </w:r>
    </w:p>
    <w:p w14:paraId="06AD13C8" w14:textId="77777777" w:rsidR="009E1B20" w:rsidRPr="009A7163" w:rsidRDefault="009E1B20" w:rsidP="00293176">
      <w:pPr>
        <w:spacing w:line="360" w:lineRule="auto"/>
        <w:rPr>
          <w:b/>
        </w:rPr>
      </w:pPr>
    </w:p>
    <w:p w14:paraId="5447C574" w14:textId="77777777" w:rsidR="009E1B20" w:rsidRPr="009A7163" w:rsidRDefault="009E1B20" w:rsidP="009E1B20">
      <w:pPr>
        <w:spacing w:line="360" w:lineRule="auto"/>
        <w:rPr>
          <w:b/>
        </w:rPr>
        <w:sectPr w:rsidR="009E1B20" w:rsidRPr="009A7163" w:rsidSect="00CB5642">
          <w:footerReference w:type="default" r:id="rId8"/>
          <w:pgSz w:w="11900" w:h="16840"/>
          <w:pgMar w:top="1440" w:right="1440" w:bottom="1440" w:left="2160" w:header="720" w:footer="720" w:gutter="0"/>
          <w:cols w:space="720"/>
          <w:docGrid w:linePitch="360"/>
        </w:sectPr>
      </w:pPr>
    </w:p>
    <w:p w14:paraId="350FA4DC" w14:textId="77777777" w:rsidR="001C443C" w:rsidRPr="009A7163" w:rsidRDefault="001C443C" w:rsidP="00293176">
      <w:pPr>
        <w:pStyle w:val="Heading1"/>
      </w:pPr>
      <w:bookmarkStart w:id="1" w:name="_Toc526819237"/>
      <w:r w:rsidRPr="009A7163">
        <w:lastRenderedPageBreak/>
        <w:t>ABSTRACT</w:t>
      </w:r>
      <w:bookmarkEnd w:id="1"/>
      <w:r w:rsidRPr="009A7163">
        <w:t xml:space="preserve"> </w:t>
      </w:r>
    </w:p>
    <w:p w14:paraId="34345700" w14:textId="77777777" w:rsidR="001C443C" w:rsidRPr="009A7163" w:rsidRDefault="001C443C" w:rsidP="001C443C">
      <w:pPr>
        <w:spacing w:line="360" w:lineRule="auto"/>
        <w:jc w:val="center"/>
        <w:rPr>
          <w:b/>
        </w:rPr>
      </w:pPr>
    </w:p>
    <w:p w14:paraId="56FA74FD" w14:textId="77777777" w:rsidR="001C443C" w:rsidRPr="009A7163" w:rsidRDefault="001C443C" w:rsidP="001C443C">
      <w:pPr>
        <w:spacing w:line="360" w:lineRule="auto"/>
        <w:jc w:val="center"/>
        <w:rPr>
          <w:lang w:eastAsia="en-GB"/>
        </w:rPr>
      </w:pPr>
      <w:r w:rsidRPr="009A7163">
        <w:rPr>
          <w:bCs/>
          <w:lang w:eastAsia="en-GB"/>
        </w:rPr>
        <w:t>EMPOWERMENT THROUGH VALUING WOMEN'S UNPAID CARE WORK?</w:t>
      </w:r>
    </w:p>
    <w:p w14:paraId="6166ED84" w14:textId="77777777" w:rsidR="001C443C" w:rsidRPr="009A7163" w:rsidRDefault="001C443C" w:rsidP="001C443C">
      <w:pPr>
        <w:spacing w:line="360" w:lineRule="auto"/>
        <w:jc w:val="center"/>
        <w:rPr>
          <w:bCs/>
          <w:lang w:eastAsia="en-GB"/>
        </w:rPr>
      </w:pPr>
      <w:r w:rsidRPr="009A7163">
        <w:rPr>
          <w:bCs/>
          <w:lang w:eastAsia="en-GB"/>
        </w:rPr>
        <w:t>AN EXAMINATION OF AN INNOVATIVE FAIR TRADE AND COMMUNITY TRADE PRICING MODEL IN NICARAGUA.</w:t>
      </w:r>
    </w:p>
    <w:p w14:paraId="44B2D877" w14:textId="77777777" w:rsidR="001C443C" w:rsidRPr="009A7163" w:rsidRDefault="001C443C" w:rsidP="001C443C">
      <w:pPr>
        <w:spacing w:line="360" w:lineRule="auto"/>
        <w:jc w:val="center"/>
        <w:rPr>
          <w:bCs/>
          <w:lang w:eastAsia="en-GB"/>
        </w:rPr>
      </w:pPr>
      <w:r w:rsidRPr="009A7163">
        <w:rPr>
          <w:bCs/>
          <w:lang w:eastAsia="en-GB"/>
        </w:rPr>
        <w:t>Felicity Butler</w:t>
      </w:r>
    </w:p>
    <w:p w14:paraId="2371E1F7" w14:textId="77777777" w:rsidR="001C443C" w:rsidRPr="009A7163" w:rsidRDefault="001C443C" w:rsidP="001C443C">
      <w:pPr>
        <w:spacing w:line="360" w:lineRule="auto"/>
      </w:pPr>
    </w:p>
    <w:p w14:paraId="62F689DC" w14:textId="67B0C333" w:rsidR="001C443C" w:rsidRPr="009A7163" w:rsidRDefault="001C443C" w:rsidP="005D5AAC">
      <w:pPr>
        <w:spacing w:line="360" w:lineRule="auto"/>
        <w:ind w:firstLine="720"/>
        <w:jc w:val="both"/>
      </w:pPr>
      <w:r w:rsidRPr="009A7163">
        <w:t xml:space="preserve">This dissertation addresses a gap in </w:t>
      </w:r>
      <w:r w:rsidR="004A75A1" w:rsidRPr="009A7163">
        <w:t xml:space="preserve">the </w:t>
      </w:r>
      <w:r w:rsidRPr="009A7163">
        <w:t>literature on gender and pricing strategies by exploring an innovative pricing model that acknowledges women’s previously unpaid work in two Fair Trade supply chains (coffee and sesame) in Nicaragua. Minimum price guarantees have a strong potential for gender impact yet to date few gender-focused studies have examined this area (Smith, 2013). The pricing model studied in this research is structured as a premium and payments have been used for women’s economic empowerment (WEE) projects. The argument for the premium is that the unpaid work, which is done mainly by women in the household and community, represents an important input into production and one that should be valued and remunerated. </w:t>
      </w:r>
      <w:r w:rsidR="0003529B" w:rsidRPr="009A7163">
        <w:t>This dissertation</w:t>
      </w:r>
      <w:r w:rsidR="00EE73CB" w:rsidRPr="009A7163">
        <w:t xml:space="preserve"> critically </w:t>
      </w:r>
      <w:r w:rsidR="00951BF9" w:rsidRPr="009A7163">
        <w:t xml:space="preserve">evaluates </w:t>
      </w:r>
      <w:r w:rsidR="00A1683F" w:rsidRPr="009A7163">
        <w:t xml:space="preserve">whether </w:t>
      </w:r>
      <w:r w:rsidR="007853FC" w:rsidRPr="009A7163">
        <w:t>recognizing</w:t>
      </w:r>
      <w:r w:rsidR="005D5AAC" w:rsidRPr="009A7163">
        <w:t xml:space="preserve"> women’s unpaid work through th</w:t>
      </w:r>
      <w:r w:rsidR="005F2242" w:rsidRPr="009A7163">
        <w:t>e</w:t>
      </w:r>
      <w:r w:rsidR="005D5AAC" w:rsidRPr="009A7163">
        <w:t xml:space="preserve"> pricing model contributes to empowering women. </w:t>
      </w:r>
      <w:r w:rsidRPr="009A7163">
        <w:t>The research takes a feminist social constructivist approach and mixed methods were employed. Data collection was carried out between May 2013 and January 2017 via semi-structured interviews, focus groups, household surveys and time use surveys. </w:t>
      </w:r>
    </w:p>
    <w:p w14:paraId="65987BA7" w14:textId="033D682D" w:rsidR="009E1B20" w:rsidRPr="009A7163" w:rsidRDefault="001C443C" w:rsidP="001C443C">
      <w:pPr>
        <w:spacing w:line="360" w:lineRule="auto"/>
        <w:ind w:firstLine="720"/>
        <w:jc w:val="both"/>
        <w:sectPr w:rsidR="009E1B20" w:rsidRPr="009A7163" w:rsidSect="00CB5642">
          <w:pgSz w:w="11900" w:h="16840"/>
          <w:pgMar w:top="1440" w:right="1440" w:bottom="1440" w:left="2160" w:header="720" w:footer="720" w:gutter="0"/>
          <w:cols w:space="720"/>
          <w:docGrid w:linePitch="360"/>
        </w:sectPr>
      </w:pPr>
      <w:r w:rsidRPr="009A7163">
        <w:t> This research finds that WEE is not enough and needs to be linked to more holistic and political forms of empowerment, but further still, empowerment cannot happen without acknowledging the interplay of social norms and power. However, another finding shows that by recognizing the unpaid work of women</w:t>
      </w:r>
      <w:r w:rsidR="004A75A1" w:rsidRPr="009A7163">
        <w:t>,</w:t>
      </w:r>
      <w:r w:rsidRPr="009A7163">
        <w:t xml:space="preserve"> which has always been taken for granted, the inequality buried at a deeper level of the ‘doxa’ (Bourdieu, 1977) can begin to be challenged. The implications of these findings for research and practice is that it is not only essential to consider how social norms affect women’s empowerment</w:t>
      </w:r>
      <w:r w:rsidR="004A75A1" w:rsidRPr="009A7163">
        <w:t>,</w:t>
      </w:r>
      <w:r w:rsidRPr="009A7163">
        <w:t xml:space="preserve"> but also how they shape formal and social structures </w:t>
      </w:r>
      <w:r w:rsidR="004A75A1" w:rsidRPr="009A7163">
        <w:t>that</w:t>
      </w:r>
      <w:r w:rsidRPr="009A7163">
        <w:t xml:space="preserve"> maintain inequality. </w:t>
      </w:r>
    </w:p>
    <w:p w14:paraId="25CCAB15" w14:textId="716F322D" w:rsidR="009E1B20" w:rsidRPr="009A7163" w:rsidRDefault="008C041F" w:rsidP="00293176">
      <w:pPr>
        <w:pStyle w:val="Heading1"/>
      </w:pPr>
      <w:bookmarkStart w:id="2" w:name="_Toc526819238"/>
      <w:r w:rsidRPr="009A7163">
        <w:lastRenderedPageBreak/>
        <w:t>ACKNOWLEDGEMENTS</w:t>
      </w:r>
      <w:bookmarkEnd w:id="2"/>
    </w:p>
    <w:p w14:paraId="0BFB1C51" w14:textId="77777777" w:rsidR="009E1B20" w:rsidRPr="009A7163" w:rsidRDefault="009E1B20" w:rsidP="00293176">
      <w:pPr>
        <w:widowControl w:val="0"/>
        <w:autoSpaceDE w:val="0"/>
        <w:autoSpaceDN w:val="0"/>
        <w:adjustRightInd w:val="0"/>
        <w:jc w:val="both"/>
      </w:pPr>
    </w:p>
    <w:p w14:paraId="088A235E" w14:textId="65D2485C" w:rsidR="00F55C18" w:rsidRPr="009A7163" w:rsidRDefault="009E1B20" w:rsidP="00293176">
      <w:pPr>
        <w:widowControl w:val="0"/>
        <w:autoSpaceDE w:val="0"/>
        <w:autoSpaceDN w:val="0"/>
        <w:adjustRightInd w:val="0"/>
        <w:spacing w:line="360" w:lineRule="auto"/>
        <w:ind w:firstLine="720"/>
        <w:jc w:val="both"/>
      </w:pPr>
      <w:r w:rsidRPr="009A7163">
        <w:t>The research for and writing of this thesis would not have been possible without the assistance and support of many people.</w:t>
      </w:r>
      <w:r w:rsidR="00F55C18" w:rsidRPr="009A7163">
        <w:t xml:space="preserve"> </w:t>
      </w:r>
      <w:r w:rsidRPr="009A7163">
        <w:t>Firstly, I would like to thank my supervisors</w:t>
      </w:r>
      <w:r w:rsidR="00C95A06" w:rsidRPr="009A7163">
        <w:t>,</w:t>
      </w:r>
      <w:r w:rsidRPr="009A7163">
        <w:t xml:space="preserve"> Dorothea Kleine and Christina Archer</w:t>
      </w:r>
      <w:r w:rsidR="00C95A06" w:rsidRPr="009A7163">
        <w:t>,</w:t>
      </w:r>
      <w:r w:rsidRPr="009A7163">
        <w:t xml:space="preserve"> for their unwavering support, intellectual rigour and commitment to the research even after t</w:t>
      </w:r>
      <w:r w:rsidR="0084054D" w:rsidRPr="009A7163">
        <w:t>hey moved onto different jobs</w:t>
      </w:r>
      <w:r w:rsidRPr="009A7163">
        <w:t xml:space="preserve"> during the process. I am also thankful for guidance and detailed feedback that my advisor Katie Willis provided in key stages of the research. It was a privilege to work with three gifted women. </w:t>
      </w:r>
    </w:p>
    <w:p w14:paraId="50528C8D" w14:textId="515E1055" w:rsidR="00F55C18" w:rsidRPr="009A7163" w:rsidRDefault="009E1B20" w:rsidP="00293176">
      <w:pPr>
        <w:widowControl w:val="0"/>
        <w:autoSpaceDE w:val="0"/>
        <w:autoSpaceDN w:val="0"/>
        <w:adjustRightInd w:val="0"/>
        <w:spacing w:line="360" w:lineRule="auto"/>
        <w:ind w:firstLine="720"/>
        <w:jc w:val="both"/>
      </w:pPr>
      <w:r w:rsidRPr="009A7163">
        <w:t>I would also like to thank Catherine Hoskyns who has championed recognizing women’s unpaid work for many years now and whose contribution to the field has been of upmost importance</w:t>
      </w:r>
      <w:r w:rsidR="004A75A1" w:rsidRPr="009A7163">
        <w:t>.</w:t>
      </w:r>
      <w:r w:rsidRPr="009A7163">
        <w:t xml:space="preserve"> </w:t>
      </w:r>
      <w:r w:rsidR="004A75A1" w:rsidRPr="009A7163">
        <w:t>I</w:t>
      </w:r>
      <w:r w:rsidRPr="009A7163">
        <w:t>f it wasn’t for Catherine the initiative or this research may have never happened. Thank</w:t>
      </w:r>
      <w:r w:rsidR="00C95A06" w:rsidRPr="009A7163">
        <w:t xml:space="preserve"> </w:t>
      </w:r>
      <w:r w:rsidRPr="009A7163">
        <w:t xml:space="preserve">you also for your generosity of time and expertise throughout. I would also like to thank </w:t>
      </w:r>
      <w:r w:rsidR="00C95A06" w:rsidRPr="009A7163">
        <w:t>Ético</w:t>
      </w:r>
      <w:r w:rsidRPr="009A7163">
        <w:t xml:space="preserve"> for supporting the research and my journey. </w:t>
      </w:r>
    </w:p>
    <w:p w14:paraId="7FE3673A" w14:textId="442BDDC9" w:rsidR="00F55C18" w:rsidRPr="009A7163" w:rsidRDefault="009E1B20" w:rsidP="00293176">
      <w:pPr>
        <w:widowControl w:val="0"/>
        <w:autoSpaceDE w:val="0"/>
        <w:autoSpaceDN w:val="0"/>
        <w:adjustRightInd w:val="0"/>
        <w:spacing w:line="360" w:lineRule="auto"/>
        <w:ind w:firstLine="720"/>
        <w:jc w:val="both"/>
      </w:pPr>
      <w:r w:rsidRPr="009A7163">
        <w:t>I am extremely grateful for the funding from the ESRC for the collaborative 1 + 3 CASE Studentship</w:t>
      </w:r>
      <w:r w:rsidR="00454CAE" w:rsidRPr="009A7163">
        <w:t xml:space="preserve"> and The Body Shop</w:t>
      </w:r>
      <w:r w:rsidRPr="009A7163">
        <w:t>. It was an honour to be able study a subject matter so close to my heart and to know that through the partnership with The Body Shop that this research has the potential to impact on policy and practice. I am also grateful for the funding from the Developing Areas Research Group of the Royal Geographical Society</w:t>
      </w:r>
      <w:r w:rsidR="004A75A1" w:rsidRPr="009A7163">
        <w:t>,</w:t>
      </w:r>
      <w:r w:rsidRPr="009A7163">
        <w:t xml:space="preserve"> which allowed me to include the coffee case study. Coffee has always connected my passion and commitment to fighting inequalities</w:t>
      </w:r>
      <w:r w:rsidR="00C95A06" w:rsidRPr="009A7163">
        <w:t xml:space="preserve"> and</w:t>
      </w:r>
      <w:r w:rsidRPr="009A7163">
        <w:t xml:space="preserve"> my love of Nicaragua with the joy of being connected with friends and colleagues in Nicaragua and beyond.</w:t>
      </w:r>
      <w:r w:rsidR="00F55C18" w:rsidRPr="009A7163">
        <w:t xml:space="preserve"> </w:t>
      </w:r>
    </w:p>
    <w:p w14:paraId="0BCB9447" w14:textId="20A5745B" w:rsidR="00F55C18" w:rsidRPr="009A7163" w:rsidRDefault="009E1B20" w:rsidP="00293176">
      <w:pPr>
        <w:widowControl w:val="0"/>
        <w:autoSpaceDE w:val="0"/>
        <w:autoSpaceDN w:val="0"/>
        <w:adjustRightInd w:val="0"/>
        <w:spacing w:line="360" w:lineRule="auto"/>
        <w:ind w:firstLine="720"/>
        <w:jc w:val="both"/>
      </w:pPr>
      <w:r w:rsidRPr="009A7163">
        <w:t>On that note, I would like to thank the cooperatives and the women for opening their doors to me and having the openness and patience to participate in the study. I am particularly grateful for the many hours of time that they gave to this process over the years.  I would also like to thank those that helped organ</w:t>
      </w:r>
      <w:r w:rsidR="00C95A06" w:rsidRPr="009A7163">
        <w:t>ise</w:t>
      </w:r>
      <w:r w:rsidRPr="009A7163">
        <w:t xml:space="preserve"> the fieldwork, in particular Karelia and the women promoters of the initiative from C</w:t>
      </w:r>
      <w:r w:rsidR="00C95A06" w:rsidRPr="009A7163">
        <w:t>J</w:t>
      </w:r>
      <w:r w:rsidRPr="009A7163">
        <w:t>FPS</w:t>
      </w:r>
      <w:r w:rsidR="00454CAE" w:rsidRPr="009A7163">
        <w:t xml:space="preserve"> and Ernestina</w:t>
      </w:r>
      <w:r w:rsidRPr="009A7163">
        <w:t xml:space="preserve">. I would also like to extend my gratitude to UNAN Leon-Centro </w:t>
      </w:r>
      <w:r w:rsidR="00C95A06" w:rsidRPr="009A7163">
        <w:t>d</w:t>
      </w:r>
      <w:r w:rsidRPr="009A7163">
        <w:t>e Investigaci</w:t>
      </w:r>
      <w:r w:rsidR="00C95A06" w:rsidRPr="009A7163">
        <w:t>ó</w:t>
      </w:r>
      <w:r w:rsidRPr="009A7163">
        <w:t>n en Sistemas de Informacion Geografica (CSIG) and in particular to Dr. Adalila Molina Membreño for her initial support in the pilot stages of the research.</w:t>
      </w:r>
      <w:r w:rsidR="00F55C18" w:rsidRPr="009A7163">
        <w:t xml:space="preserve"> </w:t>
      </w:r>
    </w:p>
    <w:p w14:paraId="58940C5F" w14:textId="53910219" w:rsidR="00F55C18" w:rsidRPr="009A7163" w:rsidRDefault="009E1B20" w:rsidP="00293176">
      <w:pPr>
        <w:widowControl w:val="0"/>
        <w:autoSpaceDE w:val="0"/>
        <w:autoSpaceDN w:val="0"/>
        <w:adjustRightInd w:val="0"/>
        <w:spacing w:line="360" w:lineRule="auto"/>
        <w:ind w:firstLine="720"/>
        <w:jc w:val="both"/>
      </w:pPr>
      <w:r w:rsidRPr="009A7163">
        <w:t>I cannot thank Fernanda Siles, my research assistant</w:t>
      </w:r>
      <w:r w:rsidR="00C95A06" w:rsidRPr="009A7163">
        <w:t>, enough</w:t>
      </w:r>
      <w:r w:rsidRPr="009A7163">
        <w:t xml:space="preserve"> for her insight, friendship and creativity that she brought to the process. She has in her own words become my ‘research doula’ and accompanied me to the very end! I also owe a huge </w:t>
      </w:r>
      <w:r w:rsidRPr="009A7163">
        <w:lastRenderedPageBreak/>
        <w:t>debt of gratitude to Wendy Godek for her academic support, coaching, editing and her weekly advice. She has not only been an excellent friend throughout</w:t>
      </w:r>
      <w:r w:rsidR="00C95A06" w:rsidRPr="009A7163">
        <w:t>,</w:t>
      </w:r>
      <w:r w:rsidRPr="009A7163">
        <w:t xml:space="preserve"> but has also helped me to grow in the process. I will conclude this period with many new tools and lessons learnt that will be of huge benefit in the future and for which I am very appreciative. Thank</w:t>
      </w:r>
      <w:r w:rsidR="00C95A06" w:rsidRPr="009A7163">
        <w:t xml:space="preserve"> </w:t>
      </w:r>
      <w:r w:rsidRPr="009A7163">
        <w:t>you</w:t>
      </w:r>
      <w:r w:rsidR="004A75A1" w:rsidRPr="009A7163">
        <w:t>,</w:t>
      </w:r>
      <w:r w:rsidRPr="009A7163">
        <w:t xml:space="preserve"> Wendy</w:t>
      </w:r>
      <w:r w:rsidR="004A75A1" w:rsidRPr="009A7163">
        <w:t>,</w:t>
      </w:r>
      <w:r w:rsidRPr="009A7163">
        <w:t xml:space="preserve"> for your time, effort, exceptional rigour, pragmatism and humour. </w:t>
      </w:r>
    </w:p>
    <w:p w14:paraId="15A4AFD1" w14:textId="4136D1E9" w:rsidR="00F55C18" w:rsidRPr="009A7163" w:rsidRDefault="009E1B20" w:rsidP="00293176">
      <w:pPr>
        <w:widowControl w:val="0"/>
        <w:autoSpaceDE w:val="0"/>
        <w:autoSpaceDN w:val="0"/>
        <w:adjustRightInd w:val="0"/>
        <w:spacing w:line="360" w:lineRule="auto"/>
        <w:ind w:firstLine="720"/>
        <w:jc w:val="both"/>
      </w:pPr>
      <w:r w:rsidRPr="009A7163">
        <w:t>In Nicaragua, I would like to thank Dianie for her organizational and emotional support throughout the research process, Claudia for her transcription work</w:t>
      </w:r>
      <w:r w:rsidR="00C95A06" w:rsidRPr="009A7163">
        <w:t>,</w:t>
      </w:r>
      <w:r w:rsidRPr="009A7163">
        <w:t xml:space="preserve"> and to Kim who was always available for run</w:t>
      </w:r>
      <w:r w:rsidR="004A75A1" w:rsidRPr="009A7163">
        <w:t>,</w:t>
      </w:r>
      <w:r w:rsidRPr="009A7163">
        <w:t xml:space="preserve"> which always helped solve any problem! In England, I would also like to thank Helen Dixon for her guidance on feminist theory and practice, recommendations on experts to interview in Nicaragua</w:t>
      </w:r>
      <w:r w:rsidR="00C95A06" w:rsidRPr="009A7163">
        <w:t>,</w:t>
      </w:r>
      <w:r w:rsidRPr="009A7163">
        <w:t xml:space="preserve"> and for her help revising tricky translations. I would also like to thank Andie Reynolds for her academic support when I most needed it</w:t>
      </w:r>
      <w:r w:rsidR="00C95A06" w:rsidRPr="009A7163">
        <w:t>,</w:t>
      </w:r>
      <w:r w:rsidRPr="009A7163">
        <w:t xml:space="preserve"> and to Hannah for pointing me to the wonderful University of Brighton so close by</w:t>
      </w:r>
      <w:r w:rsidR="00C95A06" w:rsidRPr="009A7163">
        <w:t xml:space="preserve"> –</w:t>
      </w:r>
      <w:r w:rsidRPr="009A7163">
        <w:t xml:space="preserve"> to have access to such a great office space with sea views to gain perspective and focus was an invaluable resource. I am also grateful to Hannah for her support with childcare and her friendship.</w:t>
      </w:r>
      <w:r w:rsidR="00F55C18" w:rsidRPr="009A7163">
        <w:t xml:space="preserve"> </w:t>
      </w:r>
    </w:p>
    <w:p w14:paraId="79B8EC04" w14:textId="0FAEBE53" w:rsidR="009E1B20" w:rsidRPr="009A7163" w:rsidRDefault="009E1B20" w:rsidP="00293176">
      <w:pPr>
        <w:widowControl w:val="0"/>
        <w:autoSpaceDE w:val="0"/>
        <w:autoSpaceDN w:val="0"/>
        <w:adjustRightInd w:val="0"/>
        <w:spacing w:line="360" w:lineRule="auto"/>
        <w:ind w:firstLine="720"/>
        <w:jc w:val="both"/>
      </w:pPr>
      <w:r w:rsidRPr="009A7163">
        <w:t>Lastly</w:t>
      </w:r>
      <w:r w:rsidR="00C95A06" w:rsidRPr="009A7163">
        <w:t>,</w:t>
      </w:r>
      <w:r w:rsidRPr="009A7163">
        <w:t xml:space="preserve"> to my parents and Maya, after comparing daily PhD progress to a long car journey that never seems to end, I can now finally say </w:t>
      </w:r>
      <w:r w:rsidR="004A75A1" w:rsidRPr="009A7163">
        <w:t>‘</w:t>
      </w:r>
      <w:r w:rsidRPr="009A7163">
        <w:t>We are nearly there!</w:t>
      </w:r>
      <w:r w:rsidR="004A75A1" w:rsidRPr="009A7163">
        <w:t>’</w:t>
      </w:r>
      <w:r w:rsidRPr="009A7163">
        <w:t xml:space="preserve"> Thank-you for being the B team, for the endless hours of unpaid care work that you have done in these final stages</w:t>
      </w:r>
      <w:r w:rsidR="00C95A06" w:rsidRPr="009A7163">
        <w:t>,</w:t>
      </w:r>
      <w:r w:rsidRPr="009A7163">
        <w:t xml:space="preserve"> and for your love and support throughout.</w:t>
      </w:r>
      <w:r w:rsidR="00C95A06" w:rsidRPr="009A7163">
        <w:t xml:space="preserve"> </w:t>
      </w:r>
      <w:r w:rsidRPr="009A7163">
        <w:t>I am eternally grateful.</w:t>
      </w:r>
    </w:p>
    <w:p w14:paraId="2680E2CB" w14:textId="77777777" w:rsidR="00F55C18" w:rsidRPr="009A7163" w:rsidRDefault="00F55C18" w:rsidP="00293176">
      <w:pPr>
        <w:widowControl w:val="0"/>
        <w:autoSpaceDE w:val="0"/>
        <w:autoSpaceDN w:val="0"/>
        <w:adjustRightInd w:val="0"/>
        <w:spacing w:line="360" w:lineRule="auto"/>
        <w:ind w:firstLine="720"/>
        <w:jc w:val="both"/>
      </w:pPr>
    </w:p>
    <w:p w14:paraId="39893AF2" w14:textId="77777777" w:rsidR="00F55C18" w:rsidRPr="009A7163" w:rsidRDefault="00F55C18" w:rsidP="00293176">
      <w:pPr>
        <w:widowControl w:val="0"/>
        <w:autoSpaceDE w:val="0"/>
        <w:autoSpaceDN w:val="0"/>
        <w:adjustRightInd w:val="0"/>
        <w:spacing w:line="360" w:lineRule="auto"/>
        <w:ind w:firstLine="720"/>
        <w:jc w:val="both"/>
      </w:pPr>
    </w:p>
    <w:p w14:paraId="4C661660" w14:textId="77777777" w:rsidR="00F55C18" w:rsidRPr="009A7163" w:rsidRDefault="00F55C18" w:rsidP="00F55C18">
      <w:pPr>
        <w:widowControl w:val="0"/>
        <w:autoSpaceDE w:val="0"/>
        <w:autoSpaceDN w:val="0"/>
        <w:adjustRightInd w:val="0"/>
        <w:spacing w:line="360" w:lineRule="auto"/>
        <w:ind w:firstLine="720"/>
        <w:jc w:val="both"/>
        <w:sectPr w:rsidR="00F55C18" w:rsidRPr="009A7163" w:rsidSect="00CB5642">
          <w:pgSz w:w="11900" w:h="16840"/>
          <w:pgMar w:top="1440" w:right="1440" w:bottom="1440" w:left="2160" w:header="720" w:footer="720" w:gutter="0"/>
          <w:cols w:space="720"/>
          <w:docGrid w:linePitch="360"/>
        </w:sectPr>
      </w:pPr>
    </w:p>
    <w:sdt>
      <w:sdtPr>
        <w:rPr>
          <w:rFonts w:ascii="Times New Roman" w:eastAsia="Times New Roman" w:hAnsi="Times New Roman" w:cs="Times New Roman"/>
          <w:color w:val="auto"/>
          <w:sz w:val="24"/>
          <w:szCs w:val="24"/>
          <w:lang w:val="en-GB"/>
        </w:rPr>
        <w:id w:val="1493448213"/>
        <w:docPartObj>
          <w:docPartGallery w:val="Table of Contents"/>
          <w:docPartUnique/>
        </w:docPartObj>
      </w:sdtPr>
      <w:sdtEndPr>
        <w:rPr>
          <w:b/>
          <w:bCs/>
          <w:noProof/>
        </w:rPr>
      </w:sdtEndPr>
      <w:sdtContent>
        <w:p w14:paraId="7F05A44E" w14:textId="04437F95" w:rsidR="004F74EB" w:rsidRPr="009A7163" w:rsidRDefault="004F74EB" w:rsidP="00293176">
          <w:pPr>
            <w:pStyle w:val="TOCHeading"/>
            <w:jc w:val="center"/>
            <w:rPr>
              <w:rFonts w:ascii="Times New Roman" w:hAnsi="Times New Roman" w:cs="Times New Roman"/>
              <w:b/>
              <w:color w:val="auto"/>
              <w:sz w:val="24"/>
            </w:rPr>
          </w:pPr>
          <w:r w:rsidRPr="009A7163">
            <w:rPr>
              <w:rFonts w:ascii="Times New Roman" w:hAnsi="Times New Roman" w:cs="Times New Roman"/>
              <w:b/>
              <w:color w:val="auto"/>
              <w:sz w:val="24"/>
            </w:rPr>
            <w:t>Table of Contents</w:t>
          </w:r>
        </w:p>
        <w:p w14:paraId="63F8473F" w14:textId="77777777" w:rsidR="00F55C18" w:rsidRPr="009A7163" w:rsidRDefault="00F55C18" w:rsidP="00293176"/>
        <w:p w14:paraId="759DABB8" w14:textId="794AB2BE" w:rsidR="004A20C9" w:rsidRDefault="00996FA3">
          <w:pPr>
            <w:pStyle w:val="TOC1"/>
            <w:tabs>
              <w:tab w:val="right" w:leader="dot" w:pos="8290"/>
            </w:tabs>
            <w:rPr>
              <w:rFonts w:asciiTheme="minorHAnsi" w:eastAsiaTheme="minorEastAsia" w:hAnsiTheme="minorHAnsi" w:cstheme="minorBidi"/>
              <w:noProof/>
              <w:lang w:val="en-GB"/>
            </w:rPr>
          </w:pPr>
          <w:r w:rsidRPr="009A7163">
            <w:fldChar w:fldCharType="begin"/>
          </w:r>
          <w:r w:rsidRPr="009A7163">
            <w:instrText xml:space="preserve"> TOC \o "1-1" \h \z \u \t "Heading 2,2,Heading 3,3,Heading 4,4" </w:instrText>
          </w:r>
          <w:r w:rsidRPr="009A7163">
            <w:fldChar w:fldCharType="separate"/>
          </w:r>
          <w:hyperlink w:anchor="_Toc526819237" w:history="1">
            <w:r w:rsidR="004A20C9" w:rsidRPr="00436E45">
              <w:rPr>
                <w:rStyle w:val="Hyperlink"/>
                <w:noProof/>
              </w:rPr>
              <w:t>ABSTRACT</w:t>
            </w:r>
            <w:r w:rsidR="004A20C9">
              <w:rPr>
                <w:noProof/>
                <w:webHidden/>
              </w:rPr>
              <w:tab/>
            </w:r>
            <w:r w:rsidR="004A20C9">
              <w:rPr>
                <w:noProof/>
                <w:webHidden/>
              </w:rPr>
              <w:fldChar w:fldCharType="begin"/>
            </w:r>
            <w:r w:rsidR="004A20C9">
              <w:rPr>
                <w:noProof/>
                <w:webHidden/>
              </w:rPr>
              <w:instrText xml:space="preserve"> PAGEREF _Toc526819237 \h </w:instrText>
            </w:r>
            <w:r w:rsidR="004A20C9">
              <w:rPr>
                <w:noProof/>
                <w:webHidden/>
              </w:rPr>
            </w:r>
            <w:r w:rsidR="004A20C9">
              <w:rPr>
                <w:noProof/>
                <w:webHidden/>
              </w:rPr>
              <w:fldChar w:fldCharType="separate"/>
            </w:r>
            <w:r w:rsidR="004A20C9">
              <w:rPr>
                <w:noProof/>
                <w:webHidden/>
              </w:rPr>
              <w:t>2</w:t>
            </w:r>
            <w:r w:rsidR="004A20C9">
              <w:rPr>
                <w:noProof/>
                <w:webHidden/>
              </w:rPr>
              <w:fldChar w:fldCharType="end"/>
            </w:r>
          </w:hyperlink>
        </w:p>
        <w:p w14:paraId="3CD1A742" w14:textId="52234614" w:rsidR="004A20C9" w:rsidRDefault="0082537D">
          <w:pPr>
            <w:pStyle w:val="TOC1"/>
            <w:tabs>
              <w:tab w:val="right" w:leader="dot" w:pos="8290"/>
            </w:tabs>
            <w:rPr>
              <w:rFonts w:asciiTheme="minorHAnsi" w:eastAsiaTheme="minorEastAsia" w:hAnsiTheme="minorHAnsi" w:cstheme="minorBidi"/>
              <w:noProof/>
              <w:lang w:val="en-GB"/>
            </w:rPr>
          </w:pPr>
          <w:hyperlink w:anchor="_Toc526819238" w:history="1">
            <w:r w:rsidR="004A20C9" w:rsidRPr="00436E45">
              <w:rPr>
                <w:rStyle w:val="Hyperlink"/>
                <w:noProof/>
              </w:rPr>
              <w:t>ACKNOWLEDGEMENTS</w:t>
            </w:r>
            <w:r w:rsidR="004A20C9">
              <w:rPr>
                <w:noProof/>
                <w:webHidden/>
              </w:rPr>
              <w:tab/>
            </w:r>
            <w:r w:rsidR="004A20C9">
              <w:rPr>
                <w:noProof/>
                <w:webHidden/>
              </w:rPr>
              <w:fldChar w:fldCharType="begin"/>
            </w:r>
            <w:r w:rsidR="004A20C9">
              <w:rPr>
                <w:noProof/>
                <w:webHidden/>
              </w:rPr>
              <w:instrText xml:space="preserve"> PAGEREF _Toc526819238 \h </w:instrText>
            </w:r>
            <w:r w:rsidR="004A20C9">
              <w:rPr>
                <w:noProof/>
                <w:webHidden/>
              </w:rPr>
            </w:r>
            <w:r w:rsidR="004A20C9">
              <w:rPr>
                <w:noProof/>
                <w:webHidden/>
              </w:rPr>
              <w:fldChar w:fldCharType="separate"/>
            </w:r>
            <w:r w:rsidR="004A20C9">
              <w:rPr>
                <w:noProof/>
                <w:webHidden/>
              </w:rPr>
              <w:t>3</w:t>
            </w:r>
            <w:r w:rsidR="004A20C9">
              <w:rPr>
                <w:noProof/>
                <w:webHidden/>
              </w:rPr>
              <w:fldChar w:fldCharType="end"/>
            </w:r>
          </w:hyperlink>
        </w:p>
        <w:p w14:paraId="520A5ABA" w14:textId="1D85DF02" w:rsidR="004A20C9" w:rsidRDefault="0082537D">
          <w:pPr>
            <w:pStyle w:val="TOC1"/>
            <w:tabs>
              <w:tab w:val="right" w:leader="dot" w:pos="8290"/>
            </w:tabs>
            <w:rPr>
              <w:rFonts w:asciiTheme="minorHAnsi" w:eastAsiaTheme="minorEastAsia" w:hAnsiTheme="minorHAnsi" w:cstheme="minorBidi"/>
              <w:noProof/>
              <w:lang w:val="en-GB"/>
            </w:rPr>
          </w:pPr>
          <w:hyperlink w:anchor="_Toc526819239" w:history="1">
            <w:r w:rsidR="004A20C9" w:rsidRPr="00436E45">
              <w:rPr>
                <w:rStyle w:val="Hyperlink"/>
                <w:noProof/>
              </w:rPr>
              <w:t>LIST OF TABLES</w:t>
            </w:r>
            <w:r w:rsidR="004A20C9">
              <w:rPr>
                <w:noProof/>
                <w:webHidden/>
              </w:rPr>
              <w:tab/>
            </w:r>
            <w:r w:rsidR="004A20C9">
              <w:rPr>
                <w:noProof/>
                <w:webHidden/>
              </w:rPr>
              <w:fldChar w:fldCharType="begin"/>
            </w:r>
            <w:r w:rsidR="004A20C9">
              <w:rPr>
                <w:noProof/>
                <w:webHidden/>
              </w:rPr>
              <w:instrText xml:space="preserve"> PAGEREF _Toc526819239 \h </w:instrText>
            </w:r>
            <w:r w:rsidR="004A20C9">
              <w:rPr>
                <w:noProof/>
                <w:webHidden/>
              </w:rPr>
            </w:r>
            <w:r w:rsidR="004A20C9">
              <w:rPr>
                <w:noProof/>
                <w:webHidden/>
              </w:rPr>
              <w:fldChar w:fldCharType="separate"/>
            </w:r>
            <w:r w:rsidR="004A20C9">
              <w:rPr>
                <w:noProof/>
                <w:webHidden/>
              </w:rPr>
              <w:t>10</w:t>
            </w:r>
            <w:r w:rsidR="004A20C9">
              <w:rPr>
                <w:noProof/>
                <w:webHidden/>
              </w:rPr>
              <w:fldChar w:fldCharType="end"/>
            </w:r>
          </w:hyperlink>
        </w:p>
        <w:p w14:paraId="724783E8" w14:textId="293F63FA" w:rsidR="004A20C9" w:rsidRDefault="0082537D">
          <w:pPr>
            <w:pStyle w:val="TOC1"/>
            <w:tabs>
              <w:tab w:val="right" w:leader="dot" w:pos="8290"/>
            </w:tabs>
            <w:rPr>
              <w:rFonts w:asciiTheme="minorHAnsi" w:eastAsiaTheme="minorEastAsia" w:hAnsiTheme="minorHAnsi" w:cstheme="minorBidi"/>
              <w:noProof/>
              <w:lang w:val="en-GB"/>
            </w:rPr>
          </w:pPr>
          <w:hyperlink w:anchor="_Toc526819240" w:history="1">
            <w:r w:rsidR="004A20C9" w:rsidRPr="00436E45">
              <w:rPr>
                <w:rStyle w:val="Hyperlink"/>
                <w:noProof/>
              </w:rPr>
              <w:t>LIST OF FIGURES AND PLATES</w:t>
            </w:r>
            <w:r w:rsidR="004A20C9">
              <w:rPr>
                <w:noProof/>
                <w:webHidden/>
              </w:rPr>
              <w:tab/>
            </w:r>
            <w:r w:rsidR="004A20C9">
              <w:rPr>
                <w:noProof/>
                <w:webHidden/>
              </w:rPr>
              <w:fldChar w:fldCharType="begin"/>
            </w:r>
            <w:r w:rsidR="004A20C9">
              <w:rPr>
                <w:noProof/>
                <w:webHidden/>
              </w:rPr>
              <w:instrText xml:space="preserve"> PAGEREF _Toc526819240 \h </w:instrText>
            </w:r>
            <w:r w:rsidR="004A20C9">
              <w:rPr>
                <w:noProof/>
                <w:webHidden/>
              </w:rPr>
            </w:r>
            <w:r w:rsidR="004A20C9">
              <w:rPr>
                <w:noProof/>
                <w:webHidden/>
              </w:rPr>
              <w:fldChar w:fldCharType="separate"/>
            </w:r>
            <w:r w:rsidR="004A20C9">
              <w:rPr>
                <w:noProof/>
                <w:webHidden/>
              </w:rPr>
              <w:t>11</w:t>
            </w:r>
            <w:r w:rsidR="004A20C9">
              <w:rPr>
                <w:noProof/>
                <w:webHidden/>
              </w:rPr>
              <w:fldChar w:fldCharType="end"/>
            </w:r>
          </w:hyperlink>
        </w:p>
        <w:p w14:paraId="3C9C6287" w14:textId="53DDEEC4" w:rsidR="004A20C9" w:rsidRDefault="0082537D">
          <w:pPr>
            <w:pStyle w:val="TOC1"/>
            <w:tabs>
              <w:tab w:val="right" w:leader="dot" w:pos="8290"/>
            </w:tabs>
            <w:rPr>
              <w:rFonts w:asciiTheme="minorHAnsi" w:eastAsiaTheme="minorEastAsia" w:hAnsiTheme="minorHAnsi" w:cstheme="minorBidi"/>
              <w:noProof/>
              <w:lang w:val="en-GB"/>
            </w:rPr>
          </w:pPr>
          <w:hyperlink w:anchor="_Toc526819241" w:history="1">
            <w:r w:rsidR="004A20C9" w:rsidRPr="00436E45">
              <w:rPr>
                <w:rStyle w:val="Hyperlink"/>
                <w:noProof/>
              </w:rPr>
              <w:t>ACRONYMS</w:t>
            </w:r>
            <w:r w:rsidR="004A20C9">
              <w:rPr>
                <w:noProof/>
                <w:webHidden/>
              </w:rPr>
              <w:tab/>
            </w:r>
            <w:r w:rsidR="004A20C9">
              <w:rPr>
                <w:noProof/>
                <w:webHidden/>
              </w:rPr>
              <w:fldChar w:fldCharType="begin"/>
            </w:r>
            <w:r w:rsidR="004A20C9">
              <w:rPr>
                <w:noProof/>
                <w:webHidden/>
              </w:rPr>
              <w:instrText xml:space="preserve"> PAGEREF _Toc526819241 \h </w:instrText>
            </w:r>
            <w:r w:rsidR="004A20C9">
              <w:rPr>
                <w:noProof/>
                <w:webHidden/>
              </w:rPr>
            </w:r>
            <w:r w:rsidR="004A20C9">
              <w:rPr>
                <w:noProof/>
                <w:webHidden/>
              </w:rPr>
              <w:fldChar w:fldCharType="separate"/>
            </w:r>
            <w:r w:rsidR="004A20C9">
              <w:rPr>
                <w:noProof/>
                <w:webHidden/>
              </w:rPr>
              <w:t>12</w:t>
            </w:r>
            <w:r w:rsidR="004A20C9">
              <w:rPr>
                <w:noProof/>
                <w:webHidden/>
              </w:rPr>
              <w:fldChar w:fldCharType="end"/>
            </w:r>
          </w:hyperlink>
        </w:p>
        <w:p w14:paraId="567CA9A3" w14:textId="06D6A8E8" w:rsidR="004A20C9" w:rsidRDefault="0082537D">
          <w:pPr>
            <w:pStyle w:val="TOC1"/>
            <w:tabs>
              <w:tab w:val="right" w:leader="dot" w:pos="8290"/>
            </w:tabs>
            <w:rPr>
              <w:rFonts w:asciiTheme="minorHAnsi" w:eastAsiaTheme="minorEastAsia" w:hAnsiTheme="minorHAnsi" w:cstheme="minorBidi"/>
              <w:noProof/>
              <w:lang w:val="en-GB"/>
            </w:rPr>
          </w:pPr>
          <w:hyperlink w:anchor="_Toc526819242" w:history="1">
            <w:r w:rsidR="004A20C9" w:rsidRPr="00436E45">
              <w:rPr>
                <w:rStyle w:val="Hyperlink"/>
                <w:noProof/>
              </w:rPr>
              <w:t>Chapter One: Introduction</w:t>
            </w:r>
            <w:r w:rsidR="004A20C9">
              <w:rPr>
                <w:noProof/>
                <w:webHidden/>
              </w:rPr>
              <w:tab/>
            </w:r>
            <w:r w:rsidR="004A20C9">
              <w:rPr>
                <w:noProof/>
                <w:webHidden/>
              </w:rPr>
              <w:fldChar w:fldCharType="begin"/>
            </w:r>
            <w:r w:rsidR="004A20C9">
              <w:rPr>
                <w:noProof/>
                <w:webHidden/>
              </w:rPr>
              <w:instrText xml:space="preserve"> PAGEREF _Toc526819242 \h </w:instrText>
            </w:r>
            <w:r w:rsidR="004A20C9">
              <w:rPr>
                <w:noProof/>
                <w:webHidden/>
              </w:rPr>
            </w:r>
            <w:r w:rsidR="004A20C9">
              <w:rPr>
                <w:noProof/>
                <w:webHidden/>
              </w:rPr>
              <w:fldChar w:fldCharType="separate"/>
            </w:r>
            <w:r w:rsidR="004A20C9">
              <w:rPr>
                <w:noProof/>
                <w:webHidden/>
              </w:rPr>
              <w:t>14</w:t>
            </w:r>
            <w:r w:rsidR="004A20C9">
              <w:rPr>
                <w:noProof/>
                <w:webHidden/>
              </w:rPr>
              <w:fldChar w:fldCharType="end"/>
            </w:r>
          </w:hyperlink>
        </w:p>
        <w:p w14:paraId="0784AED4" w14:textId="75AF2BA8" w:rsidR="004A20C9" w:rsidRDefault="0082537D">
          <w:pPr>
            <w:pStyle w:val="TOC2"/>
            <w:tabs>
              <w:tab w:val="right" w:leader="dot" w:pos="8290"/>
            </w:tabs>
            <w:rPr>
              <w:rFonts w:asciiTheme="minorHAnsi" w:eastAsiaTheme="minorEastAsia" w:hAnsiTheme="minorHAnsi" w:cstheme="minorBidi"/>
              <w:noProof/>
              <w:lang w:val="en-GB"/>
            </w:rPr>
          </w:pPr>
          <w:hyperlink w:anchor="_Toc526819243" w:history="1">
            <w:r w:rsidR="004A20C9" w:rsidRPr="00436E45">
              <w:rPr>
                <w:rStyle w:val="Hyperlink"/>
                <w:noProof/>
                <w:lang w:val="en-GB"/>
              </w:rPr>
              <w:t>1.1  Overview</w:t>
            </w:r>
            <w:r w:rsidR="004A20C9">
              <w:rPr>
                <w:noProof/>
                <w:webHidden/>
              </w:rPr>
              <w:tab/>
            </w:r>
            <w:r w:rsidR="004A20C9">
              <w:rPr>
                <w:noProof/>
                <w:webHidden/>
              </w:rPr>
              <w:fldChar w:fldCharType="begin"/>
            </w:r>
            <w:r w:rsidR="004A20C9">
              <w:rPr>
                <w:noProof/>
                <w:webHidden/>
              </w:rPr>
              <w:instrText xml:space="preserve"> PAGEREF _Toc526819243 \h </w:instrText>
            </w:r>
            <w:r w:rsidR="004A20C9">
              <w:rPr>
                <w:noProof/>
                <w:webHidden/>
              </w:rPr>
            </w:r>
            <w:r w:rsidR="004A20C9">
              <w:rPr>
                <w:noProof/>
                <w:webHidden/>
              </w:rPr>
              <w:fldChar w:fldCharType="separate"/>
            </w:r>
            <w:r w:rsidR="004A20C9">
              <w:rPr>
                <w:noProof/>
                <w:webHidden/>
              </w:rPr>
              <w:t>14</w:t>
            </w:r>
            <w:r w:rsidR="004A20C9">
              <w:rPr>
                <w:noProof/>
                <w:webHidden/>
              </w:rPr>
              <w:fldChar w:fldCharType="end"/>
            </w:r>
          </w:hyperlink>
        </w:p>
        <w:p w14:paraId="0833C1FA" w14:textId="25CA1A7E" w:rsidR="004A20C9" w:rsidRDefault="0082537D">
          <w:pPr>
            <w:pStyle w:val="TOC2"/>
            <w:tabs>
              <w:tab w:val="right" w:leader="dot" w:pos="8290"/>
            </w:tabs>
            <w:rPr>
              <w:rFonts w:asciiTheme="minorHAnsi" w:eastAsiaTheme="minorEastAsia" w:hAnsiTheme="minorHAnsi" w:cstheme="minorBidi"/>
              <w:noProof/>
              <w:lang w:val="en-GB"/>
            </w:rPr>
          </w:pPr>
          <w:hyperlink w:anchor="_Toc526819244" w:history="1">
            <w:r w:rsidR="004A20C9" w:rsidRPr="00436E45">
              <w:rPr>
                <w:rStyle w:val="Hyperlink"/>
                <w:noProof/>
              </w:rPr>
              <w:t>1.2  The Origin of the Study</w:t>
            </w:r>
            <w:r w:rsidR="004A20C9">
              <w:rPr>
                <w:noProof/>
                <w:webHidden/>
              </w:rPr>
              <w:tab/>
            </w:r>
            <w:r w:rsidR="004A20C9">
              <w:rPr>
                <w:noProof/>
                <w:webHidden/>
              </w:rPr>
              <w:fldChar w:fldCharType="begin"/>
            </w:r>
            <w:r w:rsidR="004A20C9">
              <w:rPr>
                <w:noProof/>
                <w:webHidden/>
              </w:rPr>
              <w:instrText xml:space="preserve"> PAGEREF _Toc526819244 \h </w:instrText>
            </w:r>
            <w:r w:rsidR="004A20C9">
              <w:rPr>
                <w:noProof/>
                <w:webHidden/>
              </w:rPr>
            </w:r>
            <w:r w:rsidR="004A20C9">
              <w:rPr>
                <w:noProof/>
                <w:webHidden/>
              </w:rPr>
              <w:fldChar w:fldCharType="separate"/>
            </w:r>
            <w:r w:rsidR="004A20C9">
              <w:rPr>
                <w:noProof/>
                <w:webHidden/>
              </w:rPr>
              <w:t>15</w:t>
            </w:r>
            <w:r w:rsidR="004A20C9">
              <w:rPr>
                <w:noProof/>
                <w:webHidden/>
              </w:rPr>
              <w:fldChar w:fldCharType="end"/>
            </w:r>
          </w:hyperlink>
        </w:p>
        <w:p w14:paraId="44A547D2" w14:textId="4AC1EF7E" w:rsidR="004A20C9" w:rsidRDefault="0082537D">
          <w:pPr>
            <w:pStyle w:val="TOC2"/>
            <w:tabs>
              <w:tab w:val="right" w:leader="dot" w:pos="8290"/>
            </w:tabs>
            <w:rPr>
              <w:rFonts w:asciiTheme="minorHAnsi" w:eastAsiaTheme="minorEastAsia" w:hAnsiTheme="minorHAnsi" w:cstheme="minorBidi"/>
              <w:noProof/>
              <w:lang w:val="en-GB"/>
            </w:rPr>
          </w:pPr>
          <w:hyperlink w:anchor="_Toc526819245" w:history="1">
            <w:r w:rsidR="004A20C9" w:rsidRPr="00436E45">
              <w:rPr>
                <w:rStyle w:val="Hyperlink"/>
                <w:noProof/>
              </w:rPr>
              <w:t>1.3  Problem Statement</w:t>
            </w:r>
            <w:r w:rsidR="004A20C9">
              <w:rPr>
                <w:noProof/>
                <w:webHidden/>
              </w:rPr>
              <w:tab/>
            </w:r>
            <w:r w:rsidR="004A20C9">
              <w:rPr>
                <w:noProof/>
                <w:webHidden/>
              </w:rPr>
              <w:fldChar w:fldCharType="begin"/>
            </w:r>
            <w:r w:rsidR="004A20C9">
              <w:rPr>
                <w:noProof/>
                <w:webHidden/>
              </w:rPr>
              <w:instrText xml:space="preserve"> PAGEREF _Toc526819245 \h </w:instrText>
            </w:r>
            <w:r w:rsidR="004A20C9">
              <w:rPr>
                <w:noProof/>
                <w:webHidden/>
              </w:rPr>
            </w:r>
            <w:r w:rsidR="004A20C9">
              <w:rPr>
                <w:noProof/>
                <w:webHidden/>
              </w:rPr>
              <w:fldChar w:fldCharType="separate"/>
            </w:r>
            <w:r w:rsidR="004A20C9">
              <w:rPr>
                <w:noProof/>
                <w:webHidden/>
              </w:rPr>
              <w:t>18</w:t>
            </w:r>
            <w:r w:rsidR="004A20C9">
              <w:rPr>
                <w:noProof/>
                <w:webHidden/>
              </w:rPr>
              <w:fldChar w:fldCharType="end"/>
            </w:r>
          </w:hyperlink>
        </w:p>
        <w:p w14:paraId="13C11F61" w14:textId="0CE3AA50" w:rsidR="004A20C9" w:rsidRDefault="0082537D">
          <w:pPr>
            <w:pStyle w:val="TOC2"/>
            <w:tabs>
              <w:tab w:val="right" w:leader="dot" w:pos="8290"/>
            </w:tabs>
            <w:rPr>
              <w:rFonts w:asciiTheme="minorHAnsi" w:eastAsiaTheme="minorEastAsia" w:hAnsiTheme="minorHAnsi" w:cstheme="minorBidi"/>
              <w:noProof/>
              <w:lang w:val="en-GB"/>
            </w:rPr>
          </w:pPr>
          <w:hyperlink w:anchor="_Toc526819246" w:history="1">
            <w:r w:rsidR="004A20C9" w:rsidRPr="00436E45">
              <w:rPr>
                <w:rStyle w:val="Hyperlink"/>
                <w:noProof/>
              </w:rPr>
              <w:t>1.4  The Inception of the Initiative</w:t>
            </w:r>
            <w:r w:rsidR="004A20C9">
              <w:rPr>
                <w:noProof/>
                <w:webHidden/>
              </w:rPr>
              <w:tab/>
            </w:r>
            <w:r w:rsidR="004A20C9">
              <w:rPr>
                <w:noProof/>
                <w:webHidden/>
              </w:rPr>
              <w:fldChar w:fldCharType="begin"/>
            </w:r>
            <w:r w:rsidR="004A20C9">
              <w:rPr>
                <w:noProof/>
                <w:webHidden/>
              </w:rPr>
              <w:instrText xml:space="preserve"> PAGEREF _Toc526819246 \h </w:instrText>
            </w:r>
            <w:r w:rsidR="004A20C9">
              <w:rPr>
                <w:noProof/>
                <w:webHidden/>
              </w:rPr>
            </w:r>
            <w:r w:rsidR="004A20C9">
              <w:rPr>
                <w:noProof/>
                <w:webHidden/>
              </w:rPr>
              <w:fldChar w:fldCharType="separate"/>
            </w:r>
            <w:r w:rsidR="004A20C9">
              <w:rPr>
                <w:noProof/>
                <w:webHidden/>
              </w:rPr>
              <w:t>19</w:t>
            </w:r>
            <w:r w:rsidR="004A20C9">
              <w:rPr>
                <w:noProof/>
                <w:webHidden/>
              </w:rPr>
              <w:fldChar w:fldCharType="end"/>
            </w:r>
          </w:hyperlink>
        </w:p>
        <w:p w14:paraId="72DD88C7" w14:textId="4BF8952C" w:rsidR="004A20C9" w:rsidRDefault="0082537D">
          <w:pPr>
            <w:pStyle w:val="TOC2"/>
            <w:tabs>
              <w:tab w:val="right" w:leader="dot" w:pos="8290"/>
            </w:tabs>
            <w:rPr>
              <w:rFonts w:asciiTheme="minorHAnsi" w:eastAsiaTheme="minorEastAsia" w:hAnsiTheme="minorHAnsi" w:cstheme="minorBidi"/>
              <w:noProof/>
              <w:lang w:val="en-GB"/>
            </w:rPr>
          </w:pPr>
          <w:hyperlink w:anchor="_Toc526819247" w:history="1">
            <w:r w:rsidR="004A20C9" w:rsidRPr="00436E45">
              <w:rPr>
                <w:rStyle w:val="Hyperlink"/>
                <w:noProof/>
                <w:lang w:val="en-GB"/>
              </w:rPr>
              <w:t>1.5  Unpaid Work, Fair Trade and Women’s Economic Empowerment</w:t>
            </w:r>
            <w:r w:rsidR="004A20C9">
              <w:rPr>
                <w:noProof/>
                <w:webHidden/>
              </w:rPr>
              <w:tab/>
            </w:r>
            <w:r w:rsidR="004A20C9">
              <w:rPr>
                <w:noProof/>
                <w:webHidden/>
              </w:rPr>
              <w:fldChar w:fldCharType="begin"/>
            </w:r>
            <w:r w:rsidR="004A20C9">
              <w:rPr>
                <w:noProof/>
                <w:webHidden/>
              </w:rPr>
              <w:instrText xml:space="preserve"> PAGEREF _Toc526819247 \h </w:instrText>
            </w:r>
            <w:r w:rsidR="004A20C9">
              <w:rPr>
                <w:noProof/>
                <w:webHidden/>
              </w:rPr>
            </w:r>
            <w:r w:rsidR="004A20C9">
              <w:rPr>
                <w:noProof/>
                <w:webHidden/>
              </w:rPr>
              <w:fldChar w:fldCharType="separate"/>
            </w:r>
            <w:r w:rsidR="004A20C9">
              <w:rPr>
                <w:noProof/>
                <w:webHidden/>
              </w:rPr>
              <w:t>24</w:t>
            </w:r>
            <w:r w:rsidR="004A20C9">
              <w:rPr>
                <w:noProof/>
                <w:webHidden/>
              </w:rPr>
              <w:fldChar w:fldCharType="end"/>
            </w:r>
          </w:hyperlink>
        </w:p>
        <w:p w14:paraId="37D53181" w14:textId="4A331E2C" w:rsidR="004A20C9" w:rsidRDefault="0082537D">
          <w:pPr>
            <w:pStyle w:val="TOC2"/>
            <w:tabs>
              <w:tab w:val="right" w:leader="dot" w:pos="8290"/>
            </w:tabs>
            <w:rPr>
              <w:rFonts w:asciiTheme="minorHAnsi" w:eastAsiaTheme="minorEastAsia" w:hAnsiTheme="minorHAnsi" w:cstheme="minorBidi"/>
              <w:noProof/>
              <w:lang w:val="en-GB"/>
            </w:rPr>
          </w:pPr>
          <w:hyperlink w:anchor="_Toc526819248" w:history="1">
            <w:r w:rsidR="004A20C9" w:rsidRPr="00436E45">
              <w:rPr>
                <w:rStyle w:val="Hyperlink"/>
                <w:noProof/>
                <w:shd w:val="clear" w:color="auto" w:fill="FFFFFF"/>
              </w:rPr>
              <w:t>1.6  Purpose and Significance of Study</w:t>
            </w:r>
            <w:r w:rsidR="004A20C9">
              <w:rPr>
                <w:noProof/>
                <w:webHidden/>
              </w:rPr>
              <w:tab/>
            </w:r>
            <w:r w:rsidR="004A20C9">
              <w:rPr>
                <w:noProof/>
                <w:webHidden/>
              </w:rPr>
              <w:fldChar w:fldCharType="begin"/>
            </w:r>
            <w:r w:rsidR="004A20C9">
              <w:rPr>
                <w:noProof/>
                <w:webHidden/>
              </w:rPr>
              <w:instrText xml:space="preserve"> PAGEREF _Toc526819248 \h </w:instrText>
            </w:r>
            <w:r w:rsidR="004A20C9">
              <w:rPr>
                <w:noProof/>
                <w:webHidden/>
              </w:rPr>
            </w:r>
            <w:r w:rsidR="004A20C9">
              <w:rPr>
                <w:noProof/>
                <w:webHidden/>
              </w:rPr>
              <w:fldChar w:fldCharType="separate"/>
            </w:r>
            <w:r w:rsidR="004A20C9">
              <w:rPr>
                <w:noProof/>
                <w:webHidden/>
              </w:rPr>
              <w:t>34</w:t>
            </w:r>
            <w:r w:rsidR="004A20C9">
              <w:rPr>
                <w:noProof/>
                <w:webHidden/>
              </w:rPr>
              <w:fldChar w:fldCharType="end"/>
            </w:r>
          </w:hyperlink>
        </w:p>
        <w:p w14:paraId="08D8FB68" w14:textId="15AA0795" w:rsidR="004A20C9" w:rsidRDefault="0082537D">
          <w:pPr>
            <w:pStyle w:val="TOC2"/>
            <w:tabs>
              <w:tab w:val="right" w:leader="dot" w:pos="8290"/>
            </w:tabs>
            <w:rPr>
              <w:rFonts w:asciiTheme="minorHAnsi" w:eastAsiaTheme="minorEastAsia" w:hAnsiTheme="minorHAnsi" w:cstheme="minorBidi"/>
              <w:noProof/>
              <w:lang w:val="en-GB"/>
            </w:rPr>
          </w:pPr>
          <w:hyperlink w:anchor="_Toc526819249" w:history="1">
            <w:r w:rsidR="004A20C9" w:rsidRPr="00436E45">
              <w:rPr>
                <w:rStyle w:val="Hyperlink"/>
                <w:noProof/>
                <w:lang w:val="en-GB"/>
              </w:rPr>
              <w:t>1.7  Research Questions</w:t>
            </w:r>
            <w:r w:rsidR="004A20C9">
              <w:rPr>
                <w:noProof/>
                <w:webHidden/>
              </w:rPr>
              <w:tab/>
            </w:r>
            <w:r w:rsidR="004A20C9">
              <w:rPr>
                <w:noProof/>
                <w:webHidden/>
              </w:rPr>
              <w:fldChar w:fldCharType="begin"/>
            </w:r>
            <w:r w:rsidR="004A20C9">
              <w:rPr>
                <w:noProof/>
                <w:webHidden/>
              </w:rPr>
              <w:instrText xml:space="preserve"> PAGEREF _Toc526819249 \h </w:instrText>
            </w:r>
            <w:r w:rsidR="004A20C9">
              <w:rPr>
                <w:noProof/>
                <w:webHidden/>
              </w:rPr>
            </w:r>
            <w:r w:rsidR="004A20C9">
              <w:rPr>
                <w:noProof/>
                <w:webHidden/>
              </w:rPr>
              <w:fldChar w:fldCharType="separate"/>
            </w:r>
            <w:r w:rsidR="004A20C9">
              <w:rPr>
                <w:noProof/>
                <w:webHidden/>
              </w:rPr>
              <w:t>35</w:t>
            </w:r>
            <w:r w:rsidR="004A20C9">
              <w:rPr>
                <w:noProof/>
                <w:webHidden/>
              </w:rPr>
              <w:fldChar w:fldCharType="end"/>
            </w:r>
          </w:hyperlink>
        </w:p>
        <w:p w14:paraId="07317A95" w14:textId="5960B6C6" w:rsidR="004A20C9" w:rsidRDefault="0082537D">
          <w:pPr>
            <w:pStyle w:val="TOC2"/>
            <w:tabs>
              <w:tab w:val="right" w:leader="dot" w:pos="8290"/>
            </w:tabs>
            <w:rPr>
              <w:rFonts w:asciiTheme="minorHAnsi" w:eastAsiaTheme="minorEastAsia" w:hAnsiTheme="minorHAnsi" w:cstheme="minorBidi"/>
              <w:noProof/>
              <w:lang w:val="en-GB"/>
            </w:rPr>
          </w:pPr>
          <w:hyperlink w:anchor="_Toc526819250" w:history="1">
            <w:r w:rsidR="004A20C9" w:rsidRPr="00436E45">
              <w:rPr>
                <w:rStyle w:val="Hyperlink"/>
                <w:noProof/>
              </w:rPr>
              <w:t>1.8  Research Design</w:t>
            </w:r>
            <w:r w:rsidR="004A20C9">
              <w:rPr>
                <w:noProof/>
                <w:webHidden/>
              </w:rPr>
              <w:tab/>
            </w:r>
            <w:r w:rsidR="004A20C9">
              <w:rPr>
                <w:noProof/>
                <w:webHidden/>
              </w:rPr>
              <w:fldChar w:fldCharType="begin"/>
            </w:r>
            <w:r w:rsidR="004A20C9">
              <w:rPr>
                <w:noProof/>
                <w:webHidden/>
              </w:rPr>
              <w:instrText xml:space="preserve"> PAGEREF _Toc526819250 \h </w:instrText>
            </w:r>
            <w:r w:rsidR="004A20C9">
              <w:rPr>
                <w:noProof/>
                <w:webHidden/>
              </w:rPr>
            </w:r>
            <w:r w:rsidR="004A20C9">
              <w:rPr>
                <w:noProof/>
                <w:webHidden/>
              </w:rPr>
              <w:fldChar w:fldCharType="separate"/>
            </w:r>
            <w:r w:rsidR="004A20C9">
              <w:rPr>
                <w:noProof/>
                <w:webHidden/>
              </w:rPr>
              <w:t>35</w:t>
            </w:r>
            <w:r w:rsidR="004A20C9">
              <w:rPr>
                <w:noProof/>
                <w:webHidden/>
              </w:rPr>
              <w:fldChar w:fldCharType="end"/>
            </w:r>
          </w:hyperlink>
        </w:p>
        <w:p w14:paraId="103869A4" w14:textId="2B486F4E" w:rsidR="004A20C9" w:rsidRDefault="0082537D">
          <w:pPr>
            <w:pStyle w:val="TOC2"/>
            <w:tabs>
              <w:tab w:val="right" w:leader="dot" w:pos="8290"/>
            </w:tabs>
            <w:rPr>
              <w:rFonts w:asciiTheme="minorHAnsi" w:eastAsiaTheme="minorEastAsia" w:hAnsiTheme="minorHAnsi" w:cstheme="minorBidi"/>
              <w:noProof/>
              <w:lang w:val="en-GB"/>
            </w:rPr>
          </w:pPr>
          <w:hyperlink w:anchor="_Toc526819251" w:history="1">
            <w:r w:rsidR="004A20C9" w:rsidRPr="00436E45">
              <w:rPr>
                <w:rStyle w:val="Hyperlink"/>
                <w:noProof/>
                <w:shd w:val="clear" w:color="auto" w:fill="FFFFFF"/>
                <w:lang w:val="en-GB"/>
              </w:rPr>
              <w:t>1.9  Research</w:t>
            </w:r>
            <w:r w:rsidR="004A20C9" w:rsidRPr="00436E45">
              <w:rPr>
                <w:rStyle w:val="Hyperlink"/>
                <w:noProof/>
              </w:rPr>
              <w:t xml:space="preserve"> Site</w:t>
            </w:r>
            <w:r w:rsidR="004A20C9">
              <w:rPr>
                <w:noProof/>
                <w:webHidden/>
              </w:rPr>
              <w:tab/>
            </w:r>
            <w:r w:rsidR="004A20C9">
              <w:rPr>
                <w:noProof/>
                <w:webHidden/>
              </w:rPr>
              <w:fldChar w:fldCharType="begin"/>
            </w:r>
            <w:r w:rsidR="004A20C9">
              <w:rPr>
                <w:noProof/>
                <w:webHidden/>
              </w:rPr>
              <w:instrText xml:space="preserve"> PAGEREF _Toc526819251 \h </w:instrText>
            </w:r>
            <w:r w:rsidR="004A20C9">
              <w:rPr>
                <w:noProof/>
                <w:webHidden/>
              </w:rPr>
            </w:r>
            <w:r w:rsidR="004A20C9">
              <w:rPr>
                <w:noProof/>
                <w:webHidden/>
              </w:rPr>
              <w:fldChar w:fldCharType="separate"/>
            </w:r>
            <w:r w:rsidR="004A20C9">
              <w:rPr>
                <w:noProof/>
                <w:webHidden/>
              </w:rPr>
              <w:t>37</w:t>
            </w:r>
            <w:r w:rsidR="004A20C9">
              <w:rPr>
                <w:noProof/>
                <w:webHidden/>
              </w:rPr>
              <w:fldChar w:fldCharType="end"/>
            </w:r>
          </w:hyperlink>
        </w:p>
        <w:p w14:paraId="5F39854E" w14:textId="454FCD95" w:rsidR="004A20C9" w:rsidRDefault="0082537D">
          <w:pPr>
            <w:pStyle w:val="TOC2"/>
            <w:tabs>
              <w:tab w:val="right" w:leader="dot" w:pos="8290"/>
            </w:tabs>
            <w:rPr>
              <w:rFonts w:asciiTheme="minorHAnsi" w:eastAsiaTheme="minorEastAsia" w:hAnsiTheme="minorHAnsi" w:cstheme="minorBidi"/>
              <w:noProof/>
              <w:lang w:val="en-GB"/>
            </w:rPr>
          </w:pPr>
          <w:hyperlink w:anchor="_Toc526819252" w:history="1">
            <w:r w:rsidR="004A20C9" w:rsidRPr="00436E45">
              <w:rPr>
                <w:rStyle w:val="Hyperlink"/>
                <w:noProof/>
                <w:shd w:val="clear" w:color="auto" w:fill="FFFFFF"/>
              </w:rPr>
              <w:t>1.10  Chapter Overview</w:t>
            </w:r>
            <w:r w:rsidR="004A20C9">
              <w:rPr>
                <w:noProof/>
                <w:webHidden/>
              </w:rPr>
              <w:tab/>
            </w:r>
            <w:r w:rsidR="004A20C9">
              <w:rPr>
                <w:noProof/>
                <w:webHidden/>
              </w:rPr>
              <w:fldChar w:fldCharType="begin"/>
            </w:r>
            <w:r w:rsidR="004A20C9">
              <w:rPr>
                <w:noProof/>
                <w:webHidden/>
              </w:rPr>
              <w:instrText xml:space="preserve"> PAGEREF _Toc526819252 \h </w:instrText>
            </w:r>
            <w:r w:rsidR="004A20C9">
              <w:rPr>
                <w:noProof/>
                <w:webHidden/>
              </w:rPr>
            </w:r>
            <w:r w:rsidR="004A20C9">
              <w:rPr>
                <w:noProof/>
                <w:webHidden/>
              </w:rPr>
              <w:fldChar w:fldCharType="separate"/>
            </w:r>
            <w:r w:rsidR="004A20C9">
              <w:rPr>
                <w:noProof/>
                <w:webHidden/>
              </w:rPr>
              <w:t>39</w:t>
            </w:r>
            <w:r w:rsidR="004A20C9">
              <w:rPr>
                <w:noProof/>
                <w:webHidden/>
              </w:rPr>
              <w:fldChar w:fldCharType="end"/>
            </w:r>
          </w:hyperlink>
        </w:p>
        <w:p w14:paraId="3CBBDB2D" w14:textId="29A04B46" w:rsidR="004A20C9" w:rsidRDefault="0082537D">
          <w:pPr>
            <w:pStyle w:val="TOC1"/>
            <w:tabs>
              <w:tab w:val="right" w:leader="dot" w:pos="8290"/>
            </w:tabs>
            <w:rPr>
              <w:rFonts w:asciiTheme="minorHAnsi" w:eastAsiaTheme="minorEastAsia" w:hAnsiTheme="minorHAnsi" w:cstheme="minorBidi"/>
              <w:noProof/>
              <w:lang w:val="en-GB"/>
            </w:rPr>
          </w:pPr>
          <w:hyperlink w:anchor="_Toc526819253" w:history="1">
            <w:r w:rsidR="004A20C9" w:rsidRPr="00436E45">
              <w:rPr>
                <w:rStyle w:val="Hyperlink"/>
                <w:noProof/>
              </w:rPr>
              <w:t>Chapter Two: A Review of the Literature on Unpaid Work, Women’s Empowerment and Fair Trade</w:t>
            </w:r>
            <w:r w:rsidR="004A20C9">
              <w:rPr>
                <w:noProof/>
                <w:webHidden/>
              </w:rPr>
              <w:tab/>
            </w:r>
            <w:r w:rsidR="004A20C9">
              <w:rPr>
                <w:noProof/>
                <w:webHidden/>
              </w:rPr>
              <w:fldChar w:fldCharType="begin"/>
            </w:r>
            <w:r w:rsidR="004A20C9">
              <w:rPr>
                <w:noProof/>
                <w:webHidden/>
              </w:rPr>
              <w:instrText xml:space="preserve"> PAGEREF _Toc526819253 \h </w:instrText>
            </w:r>
            <w:r w:rsidR="004A20C9">
              <w:rPr>
                <w:noProof/>
                <w:webHidden/>
              </w:rPr>
            </w:r>
            <w:r w:rsidR="004A20C9">
              <w:rPr>
                <w:noProof/>
                <w:webHidden/>
              </w:rPr>
              <w:fldChar w:fldCharType="separate"/>
            </w:r>
            <w:r w:rsidR="004A20C9">
              <w:rPr>
                <w:noProof/>
                <w:webHidden/>
              </w:rPr>
              <w:t>41</w:t>
            </w:r>
            <w:r w:rsidR="004A20C9">
              <w:rPr>
                <w:noProof/>
                <w:webHidden/>
              </w:rPr>
              <w:fldChar w:fldCharType="end"/>
            </w:r>
          </w:hyperlink>
        </w:p>
        <w:p w14:paraId="0DD41F06" w14:textId="076D00D9" w:rsidR="004A20C9" w:rsidRDefault="0082537D">
          <w:pPr>
            <w:pStyle w:val="TOC2"/>
            <w:tabs>
              <w:tab w:val="right" w:leader="dot" w:pos="8290"/>
            </w:tabs>
            <w:rPr>
              <w:rFonts w:asciiTheme="minorHAnsi" w:eastAsiaTheme="minorEastAsia" w:hAnsiTheme="minorHAnsi" w:cstheme="minorBidi"/>
              <w:noProof/>
              <w:lang w:val="en-GB"/>
            </w:rPr>
          </w:pPr>
          <w:hyperlink w:anchor="_Toc526819254" w:history="1">
            <w:r w:rsidR="004A20C9" w:rsidRPr="00436E45">
              <w:rPr>
                <w:rStyle w:val="Hyperlink"/>
                <w:noProof/>
                <w:lang w:val="en-GB"/>
              </w:rPr>
              <w:t>2.1  Introduction</w:t>
            </w:r>
            <w:r w:rsidR="004A20C9">
              <w:rPr>
                <w:noProof/>
                <w:webHidden/>
              </w:rPr>
              <w:tab/>
            </w:r>
            <w:r w:rsidR="004A20C9">
              <w:rPr>
                <w:noProof/>
                <w:webHidden/>
              </w:rPr>
              <w:fldChar w:fldCharType="begin"/>
            </w:r>
            <w:r w:rsidR="004A20C9">
              <w:rPr>
                <w:noProof/>
                <w:webHidden/>
              </w:rPr>
              <w:instrText xml:space="preserve"> PAGEREF _Toc526819254 \h </w:instrText>
            </w:r>
            <w:r w:rsidR="004A20C9">
              <w:rPr>
                <w:noProof/>
                <w:webHidden/>
              </w:rPr>
            </w:r>
            <w:r w:rsidR="004A20C9">
              <w:rPr>
                <w:noProof/>
                <w:webHidden/>
              </w:rPr>
              <w:fldChar w:fldCharType="separate"/>
            </w:r>
            <w:r w:rsidR="004A20C9">
              <w:rPr>
                <w:noProof/>
                <w:webHidden/>
              </w:rPr>
              <w:t>41</w:t>
            </w:r>
            <w:r w:rsidR="004A20C9">
              <w:rPr>
                <w:noProof/>
                <w:webHidden/>
              </w:rPr>
              <w:fldChar w:fldCharType="end"/>
            </w:r>
          </w:hyperlink>
        </w:p>
        <w:p w14:paraId="1DB6DC35" w14:textId="3186AEAB" w:rsidR="004A20C9" w:rsidRDefault="0082537D">
          <w:pPr>
            <w:pStyle w:val="TOC2"/>
            <w:tabs>
              <w:tab w:val="right" w:leader="dot" w:pos="8290"/>
            </w:tabs>
            <w:rPr>
              <w:rFonts w:asciiTheme="minorHAnsi" w:eastAsiaTheme="minorEastAsia" w:hAnsiTheme="minorHAnsi" w:cstheme="minorBidi"/>
              <w:noProof/>
              <w:lang w:val="en-GB"/>
            </w:rPr>
          </w:pPr>
          <w:hyperlink w:anchor="_Toc526819255" w:history="1">
            <w:r w:rsidR="004A20C9" w:rsidRPr="00436E45">
              <w:rPr>
                <w:rStyle w:val="Hyperlink"/>
                <w:noProof/>
              </w:rPr>
              <w:t>2.2  Unpaid Care Work and Reimagining Economies</w:t>
            </w:r>
            <w:r w:rsidR="004A20C9">
              <w:rPr>
                <w:noProof/>
                <w:webHidden/>
              </w:rPr>
              <w:tab/>
            </w:r>
            <w:r w:rsidR="004A20C9">
              <w:rPr>
                <w:noProof/>
                <w:webHidden/>
              </w:rPr>
              <w:fldChar w:fldCharType="begin"/>
            </w:r>
            <w:r w:rsidR="004A20C9">
              <w:rPr>
                <w:noProof/>
                <w:webHidden/>
              </w:rPr>
              <w:instrText xml:space="preserve"> PAGEREF _Toc526819255 \h </w:instrText>
            </w:r>
            <w:r w:rsidR="004A20C9">
              <w:rPr>
                <w:noProof/>
                <w:webHidden/>
              </w:rPr>
            </w:r>
            <w:r w:rsidR="004A20C9">
              <w:rPr>
                <w:noProof/>
                <w:webHidden/>
              </w:rPr>
              <w:fldChar w:fldCharType="separate"/>
            </w:r>
            <w:r w:rsidR="004A20C9">
              <w:rPr>
                <w:noProof/>
                <w:webHidden/>
              </w:rPr>
              <w:t>42</w:t>
            </w:r>
            <w:r w:rsidR="004A20C9">
              <w:rPr>
                <w:noProof/>
                <w:webHidden/>
              </w:rPr>
              <w:fldChar w:fldCharType="end"/>
            </w:r>
          </w:hyperlink>
        </w:p>
        <w:p w14:paraId="0B2AAB7C" w14:textId="4D4C1CA9" w:rsidR="004A20C9" w:rsidRDefault="0082537D">
          <w:pPr>
            <w:pStyle w:val="TOC2"/>
            <w:tabs>
              <w:tab w:val="right" w:leader="dot" w:pos="8290"/>
            </w:tabs>
            <w:rPr>
              <w:rFonts w:asciiTheme="minorHAnsi" w:eastAsiaTheme="minorEastAsia" w:hAnsiTheme="minorHAnsi" w:cstheme="minorBidi"/>
              <w:noProof/>
              <w:lang w:val="en-GB"/>
            </w:rPr>
          </w:pPr>
          <w:hyperlink w:anchor="_Toc526819256" w:history="1">
            <w:r w:rsidR="004A20C9" w:rsidRPr="00436E45">
              <w:rPr>
                <w:rStyle w:val="Hyperlink"/>
                <w:noProof/>
                <w:lang w:val="en-GB"/>
              </w:rPr>
              <w:t>2.3  Women’s Empowerment and Women’s Economic Empowerment</w:t>
            </w:r>
            <w:r w:rsidR="004A20C9">
              <w:rPr>
                <w:noProof/>
                <w:webHidden/>
              </w:rPr>
              <w:tab/>
            </w:r>
            <w:r w:rsidR="004A20C9">
              <w:rPr>
                <w:noProof/>
                <w:webHidden/>
              </w:rPr>
              <w:fldChar w:fldCharType="begin"/>
            </w:r>
            <w:r w:rsidR="004A20C9">
              <w:rPr>
                <w:noProof/>
                <w:webHidden/>
              </w:rPr>
              <w:instrText xml:space="preserve"> PAGEREF _Toc526819256 \h </w:instrText>
            </w:r>
            <w:r w:rsidR="004A20C9">
              <w:rPr>
                <w:noProof/>
                <w:webHidden/>
              </w:rPr>
            </w:r>
            <w:r w:rsidR="004A20C9">
              <w:rPr>
                <w:noProof/>
                <w:webHidden/>
              </w:rPr>
              <w:fldChar w:fldCharType="separate"/>
            </w:r>
            <w:r w:rsidR="004A20C9">
              <w:rPr>
                <w:noProof/>
                <w:webHidden/>
              </w:rPr>
              <w:t>51</w:t>
            </w:r>
            <w:r w:rsidR="004A20C9">
              <w:rPr>
                <w:noProof/>
                <w:webHidden/>
              </w:rPr>
              <w:fldChar w:fldCharType="end"/>
            </w:r>
          </w:hyperlink>
        </w:p>
        <w:p w14:paraId="7F01596F" w14:textId="4F1189C0" w:rsidR="004A20C9" w:rsidRDefault="0082537D">
          <w:pPr>
            <w:pStyle w:val="TOC3"/>
            <w:tabs>
              <w:tab w:val="right" w:leader="dot" w:pos="8290"/>
            </w:tabs>
            <w:rPr>
              <w:rFonts w:asciiTheme="minorHAnsi" w:eastAsiaTheme="minorEastAsia" w:hAnsiTheme="minorHAnsi" w:cstheme="minorBidi"/>
              <w:noProof/>
              <w:lang w:val="en-GB"/>
            </w:rPr>
          </w:pPr>
          <w:hyperlink w:anchor="_Toc526819257" w:history="1">
            <w:r w:rsidR="004A20C9" w:rsidRPr="00436E45">
              <w:rPr>
                <w:rStyle w:val="Hyperlink"/>
                <w:noProof/>
              </w:rPr>
              <w:t>2.3.1  Tracing Women’s Empowerment</w:t>
            </w:r>
            <w:r w:rsidR="004A20C9">
              <w:rPr>
                <w:noProof/>
                <w:webHidden/>
              </w:rPr>
              <w:tab/>
            </w:r>
            <w:r w:rsidR="004A20C9">
              <w:rPr>
                <w:noProof/>
                <w:webHidden/>
              </w:rPr>
              <w:fldChar w:fldCharType="begin"/>
            </w:r>
            <w:r w:rsidR="004A20C9">
              <w:rPr>
                <w:noProof/>
                <w:webHidden/>
              </w:rPr>
              <w:instrText xml:space="preserve"> PAGEREF _Toc526819257 \h </w:instrText>
            </w:r>
            <w:r w:rsidR="004A20C9">
              <w:rPr>
                <w:noProof/>
                <w:webHidden/>
              </w:rPr>
            </w:r>
            <w:r w:rsidR="004A20C9">
              <w:rPr>
                <w:noProof/>
                <w:webHidden/>
              </w:rPr>
              <w:fldChar w:fldCharType="separate"/>
            </w:r>
            <w:r w:rsidR="004A20C9">
              <w:rPr>
                <w:noProof/>
                <w:webHidden/>
              </w:rPr>
              <w:t>52</w:t>
            </w:r>
            <w:r w:rsidR="004A20C9">
              <w:rPr>
                <w:noProof/>
                <w:webHidden/>
              </w:rPr>
              <w:fldChar w:fldCharType="end"/>
            </w:r>
          </w:hyperlink>
        </w:p>
        <w:p w14:paraId="71D0E9A9" w14:textId="0A05E747" w:rsidR="004A20C9" w:rsidRDefault="0082537D">
          <w:pPr>
            <w:pStyle w:val="TOC3"/>
            <w:tabs>
              <w:tab w:val="right" w:leader="dot" w:pos="8290"/>
            </w:tabs>
            <w:rPr>
              <w:rFonts w:asciiTheme="minorHAnsi" w:eastAsiaTheme="minorEastAsia" w:hAnsiTheme="minorHAnsi" w:cstheme="minorBidi"/>
              <w:noProof/>
              <w:lang w:val="en-GB"/>
            </w:rPr>
          </w:pPr>
          <w:hyperlink w:anchor="_Toc526819258" w:history="1">
            <w:r w:rsidR="004A20C9" w:rsidRPr="00436E45">
              <w:rPr>
                <w:rStyle w:val="Hyperlink"/>
                <w:noProof/>
              </w:rPr>
              <w:t>2.3.2  Women’s Empowerment Mainstreamed</w:t>
            </w:r>
            <w:r w:rsidR="004A20C9">
              <w:rPr>
                <w:noProof/>
                <w:webHidden/>
              </w:rPr>
              <w:tab/>
            </w:r>
            <w:r w:rsidR="004A20C9">
              <w:rPr>
                <w:noProof/>
                <w:webHidden/>
              </w:rPr>
              <w:fldChar w:fldCharType="begin"/>
            </w:r>
            <w:r w:rsidR="004A20C9">
              <w:rPr>
                <w:noProof/>
                <w:webHidden/>
              </w:rPr>
              <w:instrText xml:space="preserve"> PAGEREF _Toc526819258 \h </w:instrText>
            </w:r>
            <w:r w:rsidR="004A20C9">
              <w:rPr>
                <w:noProof/>
                <w:webHidden/>
              </w:rPr>
            </w:r>
            <w:r w:rsidR="004A20C9">
              <w:rPr>
                <w:noProof/>
                <w:webHidden/>
              </w:rPr>
              <w:fldChar w:fldCharType="separate"/>
            </w:r>
            <w:r w:rsidR="004A20C9">
              <w:rPr>
                <w:noProof/>
                <w:webHidden/>
              </w:rPr>
              <w:t>55</w:t>
            </w:r>
            <w:r w:rsidR="004A20C9">
              <w:rPr>
                <w:noProof/>
                <w:webHidden/>
              </w:rPr>
              <w:fldChar w:fldCharType="end"/>
            </w:r>
          </w:hyperlink>
        </w:p>
        <w:p w14:paraId="76A0FFC9" w14:textId="48FE2907" w:rsidR="004A20C9" w:rsidRDefault="0082537D">
          <w:pPr>
            <w:pStyle w:val="TOC3"/>
            <w:tabs>
              <w:tab w:val="right" w:leader="dot" w:pos="8290"/>
            </w:tabs>
            <w:rPr>
              <w:rFonts w:asciiTheme="minorHAnsi" w:eastAsiaTheme="minorEastAsia" w:hAnsiTheme="minorHAnsi" w:cstheme="minorBidi"/>
              <w:noProof/>
              <w:lang w:val="en-GB"/>
            </w:rPr>
          </w:pPr>
          <w:hyperlink w:anchor="_Toc526819259" w:history="1">
            <w:r w:rsidR="004A20C9" w:rsidRPr="00436E45">
              <w:rPr>
                <w:rStyle w:val="Hyperlink"/>
                <w:noProof/>
              </w:rPr>
              <w:t>2.3.3  Women’s Economic Empowerment</w:t>
            </w:r>
            <w:r w:rsidR="004A20C9">
              <w:rPr>
                <w:noProof/>
                <w:webHidden/>
              </w:rPr>
              <w:tab/>
            </w:r>
            <w:r w:rsidR="004A20C9">
              <w:rPr>
                <w:noProof/>
                <w:webHidden/>
              </w:rPr>
              <w:fldChar w:fldCharType="begin"/>
            </w:r>
            <w:r w:rsidR="004A20C9">
              <w:rPr>
                <w:noProof/>
                <w:webHidden/>
              </w:rPr>
              <w:instrText xml:space="preserve"> PAGEREF _Toc526819259 \h </w:instrText>
            </w:r>
            <w:r w:rsidR="004A20C9">
              <w:rPr>
                <w:noProof/>
                <w:webHidden/>
              </w:rPr>
            </w:r>
            <w:r w:rsidR="004A20C9">
              <w:rPr>
                <w:noProof/>
                <w:webHidden/>
              </w:rPr>
              <w:fldChar w:fldCharType="separate"/>
            </w:r>
            <w:r w:rsidR="004A20C9">
              <w:rPr>
                <w:noProof/>
                <w:webHidden/>
              </w:rPr>
              <w:t>56</w:t>
            </w:r>
            <w:r w:rsidR="004A20C9">
              <w:rPr>
                <w:noProof/>
                <w:webHidden/>
              </w:rPr>
              <w:fldChar w:fldCharType="end"/>
            </w:r>
          </w:hyperlink>
        </w:p>
        <w:p w14:paraId="1981CAEB" w14:textId="296A1D35" w:rsidR="004A20C9" w:rsidRDefault="0082537D">
          <w:pPr>
            <w:pStyle w:val="TOC3"/>
            <w:tabs>
              <w:tab w:val="right" w:leader="dot" w:pos="8290"/>
            </w:tabs>
            <w:rPr>
              <w:rFonts w:asciiTheme="minorHAnsi" w:eastAsiaTheme="minorEastAsia" w:hAnsiTheme="minorHAnsi" w:cstheme="minorBidi"/>
              <w:noProof/>
              <w:lang w:val="en-GB"/>
            </w:rPr>
          </w:pPr>
          <w:hyperlink w:anchor="_Toc526819260" w:history="1">
            <w:r w:rsidR="004A20C9" w:rsidRPr="00436E45">
              <w:rPr>
                <w:rStyle w:val="Hyperlink"/>
                <w:noProof/>
              </w:rPr>
              <w:t>2.3.4  Limited Visions and Neoliberal Empowerment Narratives</w:t>
            </w:r>
            <w:r w:rsidR="004A20C9">
              <w:rPr>
                <w:noProof/>
                <w:webHidden/>
              </w:rPr>
              <w:tab/>
            </w:r>
            <w:r w:rsidR="004A20C9">
              <w:rPr>
                <w:noProof/>
                <w:webHidden/>
              </w:rPr>
              <w:fldChar w:fldCharType="begin"/>
            </w:r>
            <w:r w:rsidR="004A20C9">
              <w:rPr>
                <w:noProof/>
                <w:webHidden/>
              </w:rPr>
              <w:instrText xml:space="preserve"> PAGEREF _Toc526819260 \h </w:instrText>
            </w:r>
            <w:r w:rsidR="004A20C9">
              <w:rPr>
                <w:noProof/>
                <w:webHidden/>
              </w:rPr>
            </w:r>
            <w:r w:rsidR="004A20C9">
              <w:rPr>
                <w:noProof/>
                <w:webHidden/>
              </w:rPr>
              <w:fldChar w:fldCharType="separate"/>
            </w:r>
            <w:r w:rsidR="004A20C9">
              <w:rPr>
                <w:noProof/>
                <w:webHidden/>
              </w:rPr>
              <w:t>58</w:t>
            </w:r>
            <w:r w:rsidR="004A20C9">
              <w:rPr>
                <w:noProof/>
                <w:webHidden/>
              </w:rPr>
              <w:fldChar w:fldCharType="end"/>
            </w:r>
          </w:hyperlink>
        </w:p>
        <w:p w14:paraId="23524774" w14:textId="11A16B00" w:rsidR="004A20C9" w:rsidRDefault="0082537D">
          <w:pPr>
            <w:pStyle w:val="TOC3"/>
            <w:tabs>
              <w:tab w:val="right" w:leader="dot" w:pos="8290"/>
            </w:tabs>
            <w:rPr>
              <w:rFonts w:asciiTheme="minorHAnsi" w:eastAsiaTheme="minorEastAsia" w:hAnsiTheme="minorHAnsi" w:cstheme="minorBidi"/>
              <w:noProof/>
              <w:lang w:val="en-GB"/>
            </w:rPr>
          </w:pPr>
          <w:hyperlink w:anchor="_Toc526819261" w:history="1">
            <w:r w:rsidR="004A20C9" w:rsidRPr="00436E45">
              <w:rPr>
                <w:rStyle w:val="Hyperlink"/>
                <w:noProof/>
              </w:rPr>
              <w:t>2.3.5  Integrating Women’s Economic Empowerment and Empowerment</w:t>
            </w:r>
            <w:r w:rsidR="004A20C9">
              <w:rPr>
                <w:noProof/>
                <w:webHidden/>
              </w:rPr>
              <w:tab/>
            </w:r>
            <w:r w:rsidR="004A20C9">
              <w:rPr>
                <w:noProof/>
                <w:webHidden/>
              </w:rPr>
              <w:fldChar w:fldCharType="begin"/>
            </w:r>
            <w:r w:rsidR="004A20C9">
              <w:rPr>
                <w:noProof/>
                <w:webHidden/>
              </w:rPr>
              <w:instrText xml:space="preserve"> PAGEREF _Toc526819261 \h </w:instrText>
            </w:r>
            <w:r w:rsidR="004A20C9">
              <w:rPr>
                <w:noProof/>
                <w:webHidden/>
              </w:rPr>
            </w:r>
            <w:r w:rsidR="004A20C9">
              <w:rPr>
                <w:noProof/>
                <w:webHidden/>
              </w:rPr>
              <w:fldChar w:fldCharType="separate"/>
            </w:r>
            <w:r w:rsidR="004A20C9">
              <w:rPr>
                <w:noProof/>
                <w:webHidden/>
              </w:rPr>
              <w:t>60</w:t>
            </w:r>
            <w:r w:rsidR="004A20C9">
              <w:rPr>
                <w:noProof/>
                <w:webHidden/>
              </w:rPr>
              <w:fldChar w:fldCharType="end"/>
            </w:r>
          </w:hyperlink>
        </w:p>
        <w:p w14:paraId="268BFBD1" w14:textId="38FFC390" w:rsidR="004A20C9" w:rsidRDefault="0082537D">
          <w:pPr>
            <w:pStyle w:val="TOC3"/>
            <w:tabs>
              <w:tab w:val="right" w:leader="dot" w:pos="8290"/>
            </w:tabs>
            <w:rPr>
              <w:rFonts w:asciiTheme="minorHAnsi" w:eastAsiaTheme="minorEastAsia" w:hAnsiTheme="minorHAnsi" w:cstheme="minorBidi"/>
              <w:noProof/>
              <w:lang w:val="en-GB"/>
            </w:rPr>
          </w:pPr>
          <w:hyperlink w:anchor="_Toc526819262" w:history="1">
            <w:r w:rsidR="004A20C9" w:rsidRPr="00436E45">
              <w:rPr>
                <w:rStyle w:val="Hyperlink"/>
                <w:noProof/>
              </w:rPr>
              <w:t>2.3.6  Moving Forward</w:t>
            </w:r>
            <w:r w:rsidR="004A20C9">
              <w:rPr>
                <w:noProof/>
                <w:webHidden/>
              </w:rPr>
              <w:tab/>
            </w:r>
            <w:r w:rsidR="004A20C9">
              <w:rPr>
                <w:noProof/>
                <w:webHidden/>
              </w:rPr>
              <w:fldChar w:fldCharType="begin"/>
            </w:r>
            <w:r w:rsidR="004A20C9">
              <w:rPr>
                <w:noProof/>
                <w:webHidden/>
              </w:rPr>
              <w:instrText xml:space="preserve"> PAGEREF _Toc526819262 \h </w:instrText>
            </w:r>
            <w:r w:rsidR="004A20C9">
              <w:rPr>
                <w:noProof/>
                <w:webHidden/>
              </w:rPr>
            </w:r>
            <w:r w:rsidR="004A20C9">
              <w:rPr>
                <w:noProof/>
                <w:webHidden/>
              </w:rPr>
              <w:fldChar w:fldCharType="separate"/>
            </w:r>
            <w:r w:rsidR="004A20C9">
              <w:rPr>
                <w:noProof/>
                <w:webHidden/>
              </w:rPr>
              <w:t>62</w:t>
            </w:r>
            <w:r w:rsidR="004A20C9">
              <w:rPr>
                <w:noProof/>
                <w:webHidden/>
              </w:rPr>
              <w:fldChar w:fldCharType="end"/>
            </w:r>
          </w:hyperlink>
        </w:p>
        <w:p w14:paraId="63485020" w14:textId="79003A8B" w:rsidR="004A20C9" w:rsidRDefault="0082537D">
          <w:pPr>
            <w:pStyle w:val="TOC2"/>
            <w:tabs>
              <w:tab w:val="right" w:leader="dot" w:pos="8290"/>
            </w:tabs>
            <w:rPr>
              <w:rFonts w:asciiTheme="minorHAnsi" w:eastAsiaTheme="minorEastAsia" w:hAnsiTheme="minorHAnsi" w:cstheme="minorBidi"/>
              <w:noProof/>
              <w:lang w:val="en-GB"/>
            </w:rPr>
          </w:pPr>
          <w:hyperlink w:anchor="_Toc526819263" w:history="1">
            <w:r w:rsidR="004A20C9" w:rsidRPr="00436E45">
              <w:rPr>
                <w:rStyle w:val="Hyperlink"/>
                <w:noProof/>
                <w:lang w:val="en-GB"/>
              </w:rPr>
              <w:t>2.4  Social Norms and Women’s Empowerment Norms</w:t>
            </w:r>
            <w:r w:rsidR="004A20C9">
              <w:rPr>
                <w:noProof/>
                <w:webHidden/>
              </w:rPr>
              <w:tab/>
            </w:r>
            <w:r w:rsidR="004A20C9">
              <w:rPr>
                <w:noProof/>
                <w:webHidden/>
              </w:rPr>
              <w:fldChar w:fldCharType="begin"/>
            </w:r>
            <w:r w:rsidR="004A20C9">
              <w:rPr>
                <w:noProof/>
                <w:webHidden/>
              </w:rPr>
              <w:instrText xml:space="preserve"> PAGEREF _Toc526819263 \h </w:instrText>
            </w:r>
            <w:r w:rsidR="004A20C9">
              <w:rPr>
                <w:noProof/>
                <w:webHidden/>
              </w:rPr>
            </w:r>
            <w:r w:rsidR="004A20C9">
              <w:rPr>
                <w:noProof/>
                <w:webHidden/>
              </w:rPr>
              <w:fldChar w:fldCharType="separate"/>
            </w:r>
            <w:r w:rsidR="004A20C9">
              <w:rPr>
                <w:noProof/>
                <w:webHidden/>
              </w:rPr>
              <w:t>63</w:t>
            </w:r>
            <w:r w:rsidR="004A20C9">
              <w:rPr>
                <w:noProof/>
                <w:webHidden/>
              </w:rPr>
              <w:fldChar w:fldCharType="end"/>
            </w:r>
          </w:hyperlink>
        </w:p>
        <w:p w14:paraId="6836B53D" w14:textId="7BD778AC" w:rsidR="004A20C9" w:rsidRDefault="0082537D">
          <w:pPr>
            <w:pStyle w:val="TOC3"/>
            <w:tabs>
              <w:tab w:val="right" w:leader="dot" w:pos="8290"/>
            </w:tabs>
            <w:rPr>
              <w:rFonts w:asciiTheme="minorHAnsi" w:eastAsiaTheme="minorEastAsia" w:hAnsiTheme="minorHAnsi" w:cstheme="minorBidi"/>
              <w:noProof/>
              <w:lang w:val="en-GB"/>
            </w:rPr>
          </w:pPr>
          <w:hyperlink w:anchor="_Toc526819264" w:history="1">
            <w:r w:rsidR="004A20C9" w:rsidRPr="00436E45">
              <w:rPr>
                <w:rStyle w:val="Hyperlink"/>
                <w:noProof/>
              </w:rPr>
              <w:t>2.4.1  Social Norms</w:t>
            </w:r>
            <w:r w:rsidR="004A20C9">
              <w:rPr>
                <w:noProof/>
                <w:webHidden/>
              </w:rPr>
              <w:tab/>
            </w:r>
            <w:r w:rsidR="004A20C9">
              <w:rPr>
                <w:noProof/>
                <w:webHidden/>
              </w:rPr>
              <w:fldChar w:fldCharType="begin"/>
            </w:r>
            <w:r w:rsidR="004A20C9">
              <w:rPr>
                <w:noProof/>
                <w:webHidden/>
              </w:rPr>
              <w:instrText xml:space="preserve"> PAGEREF _Toc526819264 \h </w:instrText>
            </w:r>
            <w:r w:rsidR="004A20C9">
              <w:rPr>
                <w:noProof/>
                <w:webHidden/>
              </w:rPr>
            </w:r>
            <w:r w:rsidR="004A20C9">
              <w:rPr>
                <w:noProof/>
                <w:webHidden/>
              </w:rPr>
              <w:fldChar w:fldCharType="separate"/>
            </w:r>
            <w:r w:rsidR="004A20C9">
              <w:rPr>
                <w:noProof/>
                <w:webHidden/>
              </w:rPr>
              <w:t>63</w:t>
            </w:r>
            <w:r w:rsidR="004A20C9">
              <w:rPr>
                <w:noProof/>
                <w:webHidden/>
              </w:rPr>
              <w:fldChar w:fldCharType="end"/>
            </w:r>
          </w:hyperlink>
        </w:p>
        <w:p w14:paraId="15D3C84B" w14:textId="6C1C662D" w:rsidR="004A20C9" w:rsidRDefault="0082537D">
          <w:pPr>
            <w:pStyle w:val="TOC3"/>
            <w:tabs>
              <w:tab w:val="right" w:leader="dot" w:pos="8290"/>
            </w:tabs>
            <w:rPr>
              <w:rFonts w:asciiTheme="minorHAnsi" w:eastAsiaTheme="minorEastAsia" w:hAnsiTheme="minorHAnsi" w:cstheme="minorBidi"/>
              <w:noProof/>
              <w:lang w:val="en-GB"/>
            </w:rPr>
          </w:pPr>
          <w:hyperlink w:anchor="_Toc526819265" w:history="1">
            <w:r w:rsidR="004A20C9" w:rsidRPr="00436E45">
              <w:rPr>
                <w:rStyle w:val="Hyperlink"/>
                <w:noProof/>
              </w:rPr>
              <w:t>2.4.2  Social Norms and Gender</w:t>
            </w:r>
            <w:r w:rsidR="004A20C9">
              <w:rPr>
                <w:noProof/>
                <w:webHidden/>
              </w:rPr>
              <w:tab/>
            </w:r>
            <w:r w:rsidR="004A20C9">
              <w:rPr>
                <w:noProof/>
                <w:webHidden/>
              </w:rPr>
              <w:fldChar w:fldCharType="begin"/>
            </w:r>
            <w:r w:rsidR="004A20C9">
              <w:rPr>
                <w:noProof/>
                <w:webHidden/>
              </w:rPr>
              <w:instrText xml:space="preserve"> PAGEREF _Toc526819265 \h </w:instrText>
            </w:r>
            <w:r w:rsidR="004A20C9">
              <w:rPr>
                <w:noProof/>
                <w:webHidden/>
              </w:rPr>
            </w:r>
            <w:r w:rsidR="004A20C9">
              <w:rPr>
                <w:noProof/>
                <w:webHidden/>
              </w:rPr>
              <w:fldChar w:fldCharType="separate"/>
            </w:r>
            <w:r w:rsidR="004A20C9">
              <w:rPr>
                <w:noProof/>
                <w:webHidden/>
              </w:rPr>
              <w:t>65</w:t>
            </w:r>
            <w:r w:rsidR="004A20C9">
              <w:rPr>
                <w:noProof/>
                <w:webHidden/>
              </w:rPr>
              <w:fldChar w:fldCharType="end"/>
            </w:r>
          </w:hyperlink>
        </w:p>
        <w:p w14:paraId="78B7A4A2" w14:textId="7ECD05F3" w:rsidR="004A20C9" w:rsidRDefault="0082537D">
          <w:pPr>
            <w:pStyle w:val="TOC3"/>
            <w:tabs>
              <w:tab w:val="right" w:leader="dot" w:pos="8290"/>
            </w:tabs>
            <w:rPr>
              <w:rFonts w:asciiTheme="minorHAnsi" w:eastAsiaTheme="minorEastAsia" w:hAnsiTheme="minorHAnsi" w:cstheme="minorBidi"/>
              <w:noProof/>
              <w:lang w:val="en-GB"/>
            </w:rPr>
          </w:pPr>
          <w:hyperlink w:anchor="_Toc526819266" w:history="1">
            <w:r w:rsidR="004A20C9" w:rsidRPr="00436E45">
              <w:rPr>
                <w:rStyle w:val="Hyperlink"/>
                <w:noProof/>
              </w:rPr>
              <w:t>2.4.3  Gender Norms, Women’s Economic Empowerment and Common Constraints</w:t>
            </w:r>
            <w:r w:rsidR="004A20C9">
              <w:rPr>
                <w:noProof/>
                <w:webHidden/>
              </w:rPr>
              <w:tab/>
            </w:r>
            <w:r w:rsidR="004A20C9">
              <w:rPr>
                <w:noProof/>
                <w:webHidden/>
              </w:rPr>
              <w:fldChar w:fldCharType="begin"/>
            </w:r>
            <w:r w:rsidR="004A20C9">
              <w:rPr>
                <w:noProof/>
                <w:webHidden/>
              </w:rPr>
              <w:instrText xml:space="preserve"> PAGEREF _Toc526819266 \h </w:instrText>
            </w:r>
            <w:r w:rsidR="004A20C9">
              <w:rPr>
                <w:noProof/>
                <w:webHidden/>
              </w:rPr>
            </w:r>
            <w:r w:rsidR="004A20C9">
              <w:rPr>
                <w:noProof/>
                <w:webHidden/>
              </w:rPr>
              <w:fldChar w:fldCharType="separate"/>
            </w:r>
            <w:r w:rsidR="004A20C9">
              <w:rPr>
                <w:noProof/>
                <w:webHidden/>
              </w:rPr>
              <w:t>67</w:t>
            </w:r>
            <w:r w:rsidR="004A20C9">
              <w:rPr>
                <w:noProof/>
                <w:webHidden/>
              </w:rPr>
              <w:fldChar w:fldCharType="end"/>
            </w:r>
          </w:hyperlink>
        </w:p>
        <w:p w14:paraId="3833CE51" w14:textId="4562051D" w:rsidR="004A20C9" w:rsidRDefault="0082537D">
          <w:pPr>
            <w:pStyle w:val="TOC3"/>
            <w:tabs>
              <w:tab w:val="right" w:leader="dot" w:pos="8290"/>
            </w:tabs>
            <w:rPr>
              <w:rFonts w:asciiTheme="minorHAnsi" w:eastAsiaTheme="minorEastAsia" w:hAnsiTheme="minorHAnsi" w:cstheme="minorBidi"/>
              <w:noProof/>
              <w:lang w:val="en-GB"/>
            </w:rPr>
          </w:pPr>
          <w:hyperlink w:anchor="_Toc526819267" w:history="1">
            <w:r w:rsidR="004A20C9" w:rsidRPr="00436E45">
              <w:rPr>
                <w:rStyle w:val="Hyperlink"/>
                <w:noProof/>
              </w:rPr>
              <w:t>2.4.4  Gender Norms, Change and Intra-Household Dynamics</w:t>
            </w:r>
            <w:r w:rsidR="004A20C9">
              <w:rPr>
                <w:noProof/>
                <w:webHidden/>
              </w:rPr>
              <w:tab/>
            </w:r>
            <w:r w:rsidR="004A20C9">
              <w:rPr>
                <w:noProof/>
                <w:webHidden/>
              </w:rPr>
              <w:fldChar w:fldCharType="begin"/>
            </w:r>
            <w:r w:rsidR="004A20C9">
              <w:rPr>
                <w:noProof/>
                <w:webHidden/>
              </w:rPr>
              <w:instrText xml:space="preserve"> PAGEREF _Toc526819267 \h </w:instrText>
            </w:r>
            <w:r w:rsidR="004A20C9">
              <w:rPr>
                <w:noProof/>
                <w:webHidden/>
              </w:rPr>
            </w:r>
            <w:r w:rsidR="004A20C9">
              <w:rPr>
                <w:noProof/>
                <w:webHidden/>
              </w:rPr>
              <w:fldChar w:fldCharType="separate"/>
            </w:r>
            <w:r w:rsidR="004A20C9">
              <w:rPr>
                <w:noProof/>
                <w:webHidden/>
              </w:rPr>
              <w:t>70</w:t>
            </w:r>
            <w:r w:rsidR="004A20C9">
              <w:rPr>
                <w:noProof/>
                <w:webHidden/>
              </w:rPr>
              <w:fldChar w:fldCharType="end"/>
            </w:r>
          </w:hyperlink>
        </w:p>
        <w:p w14:paraId="367ECFD2" w14:textId="6060521A" w:rsidR="004A20C9" w:rsidRDefault="0082537D">
          <w:pPr>
            <w:pStyle w:val="TOC3"/>
            <w:tabs>
              <w:tab w:val="right" w:leader="dot" w:pos="8290"/>
            </w:tabs>
            <w:rPr>
              <w:rFonts w:asciiTheme="minorHAnsi" w:eastAsiaTheme="minorEastAsia" w:hAnsiTheme="minorHAnsi" w:cstheme="minorBidi"/>
              <w:noProof/>
              <w:lang w:val="en-GB"/>
            </w:rPr>
          </w:pPr>
          <w:hyperlink w:anchor="_Toc526819268" w:history="1">
            <w:r w:rsidR="004A20C9" w:rsidRPr="00436E45">
              <w:rPr>
                <w:rStyle w:val="Hyperlink"/>
                <w:noProof/>
              </w:rPr>
              <w:t>2.4.5  Implications of Considering Social Norms in Future Development Programs and Research</w:t>
            </w:r>
            <w:r w:rsidR="004A20C9">
              <w:rPr>
                <w:noProof/>
                <w:webHidden/>
              </w:rPr>
              <w:tab/>
            </w:r>
            <w:r w:rsidR="004A20C9">
              <w:rPr>
                <w:noProof/>
                <w:webHidden/>
              </w:rPr>
              <w:fldChar w:fldCharType="begin"/>
            </w:r>
            <w:r w:rsidR="004A20C9">
              <w:rPr>
                <w:noProof/>
                <w:webHidden/>
              </w:rPr>
              <w:instrText xml:space="preserve"> PAGEREF _Toc526819268 \h </w:instrText>
            </w:r>
            <w:r w:rsidR="004A20C9">
              <w:rPr>
                <w:noProof/>
                <w:webHidden/>
              </w:rPr>
            </w:r>
            <w:r w:rsidR="004A20C9">
              <w:rPr>
                <w:noProof/>
                <w:webHidden/>
              </w:rPr>
              <w:fldChar w:fldCharType="separate"/>
            </w:r>
            <w:r w:rsidR="004A20C9">
              <w:rPr>
                <w:noProof/>
                <w:webHidden/>
              </w:rPr>
              <w:t>72</w:t>
            </w:r>
            <w:r w:rsidR="004A20C9">
              <w:rPr>
                <w:noProof/>
                <w:webHidden/>
              </w:rPr>
              <w:fldChar w:fldCharType="end"/>
            </w:r>
          </w:hyperlink>
        </w:p>
        <w:p w14:paraId="39F76F53" w14:textId="2FE224C0" w:rsidR="004A20C9" w:rsidRDefault="0082537D">
          <w:pPr>
            <w:pStyle w:val="TOC2"/>
            <w:tabs>
              <w:tab w:val="right" w:leader="dot" w:pos="8290"/>
            </w:tabs>
            <w:rPr>
              <w:rFonts w:asciiTheme="minorHAnsi" w:eastAsiaTheme="minorEastAsia" w:hAnsiTheme="minorHAnsi" w:cstheme="minorBidi"/>
              <w:noProof/>
              <w:lang w:val="en-GB"/>
            </w:rPr>
          </w:pPr>
          <w:hyperlink w:anchor="_Toc526819269" w:history="1">
            <w:r w:rsidR="004A20C9" w:rsidRPr="00436E45">
              <w:rPr>
                <w:rStyle w:val="Hyperlink"/>
                <w:noProof/>
                <w:lang w:val="en-GB"/>
              </w:rPr>
              <w:t>2.5  Conclusion: Fair Trade, Unpaid Work and Women’s Empowerment</w:t>
            </w:r>
            <w:r w:rsidR="004A20C9">
              <w:rPr>
                <w:noProof/>
                <w:webHidden/>
              </w:rPr>
              <w:tab/>
            </w:r>
            <w:r w:rsidR="004A20C9">
              <w:rPr>
                <w:noProof/>
                <w:webHidden/>
              </w:rPr>
              <w:fldChar w:fldCharType="begin"/>
            </w:r>
            <w:r w:rsidR="004A20C9">
              <w:rPr>
                <w:noProof/>
                <w:webHidden/>
              </w:rPr>
              <w:instrText xml:space="preserve"> PAGEREF _Toc526819269 \h </w:instrText>
            </w:r>
            <w:r w:rsidR="004A20C9">
              <w:rPr>
                <w:noProof/>
                <w:webHidden/>
              </w:rPr>
            </w:r>
            <w:r w:rsidR="004A20C9">
              <w:rPr>
                <w:noProof/>
                <w:webHidden/>
              </w:rPr>
              <w:fldChar w:fldCharType="separate"/>
            </w:r>
            <w:r w:rsidR="004A20C9">
              <w:rPr>
                <w:noProof/>
                <w:webHidden/>
              </w:rPr>
              <w:t>73</w:t>
            </w:r>
            <w:r w:rsidR="004A20C9">
              <w:rPr>
                <w:noProof/>
                <w:webHidden/>
              </w:rPr>
              <w:fldChar w:fldCharType="end"/>
            </w:r>
          </w:hyperlink>
        </w:p>
        <w:p w14:paraId="64769A4B" w14:textId="1E9601FF" w:rsidR="004A20C9" w:rsidRDefault="0082537D">
          <w:pPr>
            <w:pStyle w:val="TOC1"/>
            <w:tabs>
              <w:tab w:val="right" w:leader="dot" w:pos="8290"/>
            </w:tabs>
            <w:rPr>
              <w:rFonts w:asciiTheme="minorHAnsi" w:eastAsiaTheme="minorEastAsia" w:hAnsiTheme="minorHAnsi" w:cstheme="minorBidi"/>
              <w:noProof/>
              <w:lang w:val="en-GB"/>
            </w:rPr>
          </w:pPr>
          <w:hyperlink w:anchor="_Toc526819270" w:history="1">
            <w:r w:rsidR="004A20C9" w:rsidRPr="00436E45">
              <w:rPr>
                <w:rStyle w:val="Hyperlink"/>
                <w:noProof/>
              </w:rPr>
              <w:t>Chapter Three: Researching Women’s Unpaid Work and Empowerment</w:t>
            </w:r>
            <w:r w:rsidR="004A20C9">
              <w:rPr>
                <w:noProof/>
                <w:webHidden/>
              </w:rPr>
              <w:tab/>
            </w:r>
            <w:r w:rsidR="004A20C9">
              <w:rPr>
                <w:noProof/>
                <w:webHidden/>
              </w:rPr>
              <w:fldChar w:fldCharType="begin"/>
            </w:r>
            <w:r w:rsidR="004A20C9">
              <w:rPr>
                <w:noProof/>
                <w:webHidden/>
              </w:rPr>
              <w:instrText xml:space="preserve"> PAGEREF _Toc526819270 \h </w:instrText>
            </w:r>
            <w:r w:rsidR="004A20C9">
              <w:rPr>
                <w:noProof/>
                <w:webHidden/>
              </w:rPr>
            </w:r>
            <w:r w:rsidR="004A20C9">
              <w:rPr>
                <w:noProof/>
                <w:webHidden/>
              </w:rPr>
              <w:fldChar w:fldCharType="separate"/>
            </w:r>
            <w:r w:rsidR="004A20C9">
              <w:rPr>
                <w:noProof/>
                <w:webHidden/>
              </w:rPr>
              <w:t>77</w:t>
            </w:r>
            <w:r w:rsidR="004A20C9">
              <w:rPr>
                <w:noProof/>
                <w:webHidden/>
              </w:rPr>
              <w:fldChar w:fldCharType="end"/>
            </w:r>
          </w:hyperlink>
        </w:p>
        <w:p w14:paraId="350A129A" w14:textId="5DA6B78F" w:rsidR="004A20C9" w:rsidRDefault="0082537D">
          <w:pPr>
            <w:pStyle w:val="TOC2"/>
            <w:tabs>
              <w:tab w:val="right" w:leader="dot" w:pos="8290"/>
            </w:tabs>
            <w:rPr>
              <w:rFonts w:asciiTheme="minorHAnsi" w:eastAsiaTheme="minorEastAsia" w:hAnsiTheme="minorHAnsi" w:cstheme="minorBidi"/>
              <w:noProof/>
              <w:lang w:val="en-GB"/>
            </w:rPr>
          </w:pPr>
          <w:hyperlink w:anchor="_Toc526819271" w:history="1">
            <w:r w:rsidR="004A20C9" w:rsidRPr="00436E45">
              <w:rPr>
                <w:rStyle w:val="Hyperlink"/>
                <w:noProof/>
              </w:rPr>
              <w:t>3.1  Introduction</w:t>
            </w:r>
            <w:r w:rsidR="004A20C9">
              <w:rPr>
                <w:noProof/>
                <w:webHidden/>
              </w:rPr>
              <w:tab/>
            </w:r>
            <w:r w:rsidR="004A20C9">
              <w:rPr>
                <w:noProof/>
                <w:webHidden/>
              </w:rPr>
              <w:fldChar w:fldCharType="begin"/>
            </w:r>
            <w:r w:rsidR="004A20C9">
              <w:rPr>
                <w:noProof/>
                <w:webHidden/>
              </w:rPr>
              <w:instrText xml:space="preserve"> PAGEREF _Toc526819271 \h </w:instrText>
            </w:r>
            <w:r w:rsidR="004A20C9">
              <w:rPr>
                <w:noProof/>
                <w:webHidden/>
              </w:rPr>
            </w:r>
            <w:r w:rsidR="004A20C9">
              <w:rPr>
                <w:noProof/>
                <w:webHidden/>
              </w:rPr>
              <w:fldChar w:fldCharType="separate"/>
            </w:r>
            <w:r w:rsidR="004A20C9">
              <w:rPr>
                <w:noProof/>
                <w:webHidden/>
              </w:rPr>
              <w:t>77</w:t>
            </w:r>
            <w:r w:rsidR="004A20C9">
              <w:rPr>
                <w:noProof/>
                <w:webHidden/>
              </w:rPr>
              <w:fldChar w:fldCharType="end"/>
            </w:r>
          </w:hyperlink>
        </w:p>
        <w:p w14:paraId="5E78723D" w14:textId="50BCE0E8" w:rsidR="004A20C9" w:rsidRDefault="0082537D">
          <w:pPr>
            <w:pStyle w:val="TOC2"/>
            <w:tabs>
              <w:tab w:val="right" w:leader="dot" w:pos="8290"/>
            </w:tabs>
            <w:rPr>
              <w:rFonts w:asciiTheme="minorHAnsi" w:eastAsiaTheme="minorEastAsia" w:hAnsiTheme="minorHAnsi" w:cstheme="minorBidi"/>
              <w:noProof/>
              <w:lang w:val="en-GB"/>
            </w:rPr>
          </w:pPr>
          <w:hyperlink w:anchor="_Toc526819272" w:history="1">
            <w:r w:rsidR="004A20C9" w:rsidRPr="00436E45">
              <w:rPr>
                <w:rStyle w:val="Hyperlink"/>
                <w:noProof/>
                <w:lang w:val="en-GB"/>
              </w:rPr>
              <w:t>3.2  Methodology</w:t>
            </w:r>
            <w:r w:rsidR="004A20C9">
              <w:rPr>
                <w:noProof/>
                <w:webHidden/>
              </w:rPr>
              <w:tab/>
            </w:r>
            <w:r w:rsidR="004A20C9">
              <w:rPr>
                <w:noProof/>
                <w:webHidden/>
              </w:rPr>
              <w:fldChar w:fldCharType="begin"/>
            </w:r>
            <w:r w:rsidR="004A20C9">
              <w:rPr>
                <w:noProof/>
                <w:webHidden/>
              </w:rPr>
              <w:instrText xml:space="preserve"> PAGEREF _Toc526819272 \h </w:instrText>
            </w:r>
            <w:r w:rsidR="004A20C9">
              <w:rPr>
                <w:noProof/>
                <w:webHidden/>
              </w:rPr>
            </w:r>
            <w:r w:rsidR="004A20C9">
              <w:rPr>
                <w:noProof/>
                <w:webHidden/>
              </w:rPr>
              <w:fldChar w:fldCharType="separate"/>
            </w:r>
            <w:r w:rsidR="004A20C9">
              <w:rPr>
                <w:noProof/>
                <w:webHidden/>
              </w:rPr>
              <w:t>77</w:t>
            </w:r>
            <w:r w:rsidR="004A20C9">
              <w:rPr>
                <w:noProof/>
                <w:webHidden/>
              </w:rPr>
              <w:fldChar w:fldCharType="end"/>
            </w:r>
          </w:hyperlink>
        </w:p>
        <w:p w14:paraId="4DC37543" w14:textId="34F86676" w:rsidR="004A20C9" w:rsidRDefault="0082537D">
          <w:pPr>
            <w:pStyle w:val="TOC2"/>
            <w:tabs>
              <w:tab w:val="right" w:leader="dot" w:pos="8290"/>
            </w:tabs>
            <w:rPr>
              <w:rFonts w:asciiTheme="minorHAnsi" w:eastAsiaTheme="minorEastAsia" w:hAnsiTheme="minorHAnsi" w:cstheme="minorBidi"/>
              <w:noProof/>
              <w:lang w:val="en-GB"/>
            </w:rPr>
          </w:pPr>
          <w:hyperlink w:anchor="_Toc526819273" w:history="1">
            <w:r w:rsidR="004A20C9" w:rsidRPr="00436E45">
              <w:rPr>
                <w:rStyle w:val="Hyperlink"/>
                <w:noProof/>
                <w:lang w:val="en-GB"/>
              </w:rPr>
              <w:t>3.3  Pilot Study</w:t>
            </w:r>
            <w:r w:rsidR="004A20C9">
              <w:rPr>
                <w:noProof/>
                <w:webHidden/>
              </w:rPr>
              <w:tab/>
            </w:r>
            <w:r w:rsidR="004A20C9">
              <w:rPr>
                <w:noProof/>
                <w:webHidden/>
              </w:rPr>
              <w:fldChar w:fldCharType="begin"/>
            </w:r>
            <w:r w:rsidR="004A20C9">
              <w:rPr>
                <w:noProof/>
                <w:webHidden/>
              </w:rPr>
              <w:instrText xml:space="preserve"> PAGEREF _Toc526819273 \h </w:instrText>
            </w:r>
            <w:r w:rsidR="004A20C9">
              <w:rPr>
                <w:noProof/>
                <w:webHidden/>
              </w:rPr>
            </w:r>
            <w:r w:rsidR="004A20C9">
              <w:rPr>
                <w:noProof/>
                <w:webHidden/>
              </w:rPr>
              <w:fldChar w:fldCharType="separate"/>
            </w:r>
            <w:r w:rsidR="004A20C9">
              <w:rPr>
                <w:noProof/>
                <w:webHidden/>
              </w:rPr>
              <w:t>87</w:t>
            </w:r>
            <w:r w:rsidR="004A20C9">
              <w:rPr>
                <w:noProof/>
                <w:webHidden/>
              </w:rPr>
              <w:fldChar w:fldCharType="end"/>
            </w:r>
          </w:hyperlink>
        </w:p>
        <w:p w14:paraId="5E7662C8" w14:textId="3D7DFDDC" w:rsidR="004A20C9" w:rsidRDefault="0082537D">
          <w:pPr>
            <w:pStyle w:val="TOC2"/>
            <w:tabs>
              <w:tab w:val="right" w:leader="dot" w:pos="8290"/>
            </w:tabs>
            <w:rPr>
              <w:rFonts w:asciiTheme="minorHAnsi" w:eastAsiaTheme="minorEastAsia" w:hAnsiTheme="minorHAnsi" w:cstheme="minorBidi"/>
              <w:noProof/>
              <w:lang w:val="en-GB"/>
            </w:rPr>
          </w:pPr>
          <w:hyperlink w:anchor="_Toc526819274" w:history="1">
            <w:r w:rsidR="004A20C9" w:rsidRPr="00436E45">
              <w:rPr>
                <w:rStyle w:val="Hyperlink"/>
                <w:noProof/>
                <w:lang w:val="en-GB"/>
              </w:rPr>
              <w:t>3.4  Data Collection Methods</w:t>
            </w:r>
            <w:r w:rsidR="004A20C9">
              <w:rPr>
                <w:noProof/>
                <w:webHidden/>
              </w:rPr>
              <w:tab/>
            </w:r>
            <w:r w:rsidR="004A20C9">
              <w:rPr>
                <w:noProof/>
                <w:webHidden/>
              </w:rPr>
              <w:fldChar w:fldCharType="begin"/>
            </w:r>
            <w:r w:rsidR="004A20C9">
              <w:rPr>
                <w:noProof/>
                <w:webHidden/>
              </w:rPr>
              <w:instrText xml:space="preserve"> PAGEREF _Toc526819274 \h </w:instrText>
            </w:r>
            <w:r w:rsidR="004A20C9">
              <w:rPr>
                <w:noProof/>
                <w:webHidden/>
              </w:rPr>
            </w:r>
            <w:r w:rsidR="004A20C9">
              <w:rPr>
                <w:noProof/>
                <w:webHidden/>
              </w:rPr>
              <w:fldChar w:fldCharType="separate"/>
            </w:r>
            <w:r w:rsidR="004A20C9">
              <w:rPr>
                <w:noProof/>
                <w:webHidden/>
              </w:rPr>
              <w:t>88</w:t>
            </w:r>
            <w:r w:rsidR="004A20C9">
              <w:rPr>
                <w:noProof/>
                <w:webHidden/>
              </w:rPr>
              <w:fldChar w:fldCharType="end"/>
            </w:r>
          </w:hyperlink>
        </w:p>
        <w:p w14:paraId="7EB86B85" w14:textId="553C14C2" w:rsidR="004A20C9" w:rsidRDefault="0082537D">
          <w:pPr>
            <w:pStyle w:val="TOC3"/>
            <w:tabs>
              <w:tab w:val="right" w:leader="dot" w:pos="8290"/>
            </w:tabs>
            <w:rPr>
              <w:rFonts w:asciiTheme="minorHAnsi" w:eastAsiaTheme="minorEastAsia" w:hAnsiTheme="minorHAnsi" w:cstheme="minorBidi"/>
              <w:noProof/>
              <w:lang w:val="en-GB"/>
            </w:rPr>
          </w:pPr>
          <w:hyperlink w:anchor="_Toc526819275" w:history="1">
            <w:r w:rsidR="004A20C9" w:rsidRPr="00436E45">
              <w:rPr>
                <w:rStyle w:val="Hyperlink"/>
                <w:noProof/>
              </w:rPr>
              <w:t>3.4.1  Surveys</w:t>
            </w:r>
            <w:r w:rsidR="004A20C9">
              <w:rPr>
                <w:noProof/>
                <w:webHidden/>
              </w:rPr>
              <w:tab/>
            </w:r>
            <w:r w:rsidR="004A20C9">
              <w:rPr>
                <w:noProof/>
                <w:webHidden/>
              </w:rPr>
              <w:fldChar w:fldCharType="begin"/>
            </w:r>
            <w:r w:rsidR="004A20C9">
              <w:rPr>
                <w:noProof/>
                <w:webHidden/>
              </w:rPr>
              <w:instrText xml:space="preserve"> PAGEREF _Toc526819275 \h </w:instrText>
            </w:r>
            <w:r w:rsidR="004A20C9">
              <w:rPr>
                <w:noProof/>
                <w:webHidden/>
              </w:rPr>
            </w:r>
            <w:r w:rsidR="004A20C9">
              <w:rPr>
                <w:noProof/>
                <w:webHidden/>
              </w:rPr>
              <w:fldChar w:fldCharType="separate"/>
            </w:r>
            <w:r w:rsidR="004A20C9">
              <w:rPr>
                <w:noProof/>
                <w:webHidden/>
              </w:rPr>
              <w:t>89</w:t>
            </w:r>
            <w:r w:rsidR="004A20C9">
              <w:rPr>
                <w:noProof/>
                <w:webHidden/>
              </w:rPr>
              <w:fldChar w:fldCharType="end"/>
            </w:r>
          </w:hyperlink>
        </w:p>
        <w:p w14:paraId="0401B77E" w14:textId="3A88BE45" w:rsidR="004A20C9" w:rsidRDefault="0082537D">
          <w:pPr>
            <w:pStyle w:val="TOC4"/>
            <w:tabs>
              <w:tab w:val="right" w:leader="dot" w:pos="8290"/>
            </w:tabs>
            <w:rPr>
              <w:rFonts w:asciiTheme="minorHAnsi" w:eastAsiaTheme="minorEastAsia" w:hAnsiTheme="minorHAnsi" w:cstheme="minorBidi"/>
              <w:noProof/>
              <w:lang w:val="en-GB"/>
            </w:rPr>
          </w:pPr>
          <w:hyperlink w:anchor="_Toc526819276" w:history="1">
            <w:r w:rsidR="004A20C9" w:rsidRPr="00436E45">
              <w:rPr>
                <w:rStyle w:val="Hyperlink"/>
                <w:noProof/>
              </w:rPr>
              <w:t>3.4.1.1 Time Use Surveys</w:t>
            </w:r>
            <w:r w:rsidR="004A20C9">
              <w:rPr>
                <w:noProof/>
                <w:webHidden/>
              </w:rPr>
              <w:tab/>
            </w:r>
            <w:r w:rsidR="004A20C9">
              <w:rPr>
                <w:noProof/>
                <w:webHidden/>
              </w:rPr>
              <w:fldChar w:fldCharType="begin"/>
            </w:r>
            <w:r w:rsidR="004A20C9">
              <w:rPr>
                <w:noProof/>
                <w:webHidden/>
              </w:rPr>
              <w:instrText xml:space="preserve"> PAGEREF _Toc526819276 \h </w:instrText>
            </w:r>
            <w:r w:rsidR="004A20C9">
              <w:rPr>
                <w:noProof/>
                <w:webHidden/>
              </w:rPr>
            </w:r>
            <w:r w:rsidR="004A20C9">
              <w:rPr>
                <w:noProof/>
                <w:webHidden/>
              </w:rPr>
              <w:fldChar w:fldCharType="separate"/>
            </w:r>
            <w:r w:rsidR="004A20C9">
              <w:rPr>
                <w:noProof/>
                <w:webHidden/>
              </w:rPr>
              <w:t>89</w:t>
            </w:r>
            <w:r w:rsidR="004A20C9">
              <w:rPr>
                <w:noProof/>
                <w:webHidden/>
              </w:rPr>
              <w:fldChar w:fldCharType="end"/>
            </w:r>
          </w:hyperlink>
        </w:p>
        <w:p w14:paraId="50E91F16" w14:textId="218FAAB7" w:rsidR="004A20C9" w:rsidRDefault="0082537D">
          <w:pPr>
            <w:pStyle w:val="TOC4"/>
            <w:tabs>
              <w:tab w:val="right" w:leader="dot" w:pos="8290"/>
            </w:tabs>
            <w:rPr>
              <w:rFonts w:asciiTheme="minorHAnsi" w:eastAsiaTheme="minorEastAsia" w:hAnsiTheme="minorHAnsi" w:cstheme="minorBidi"/>
              <w:noProof/>
              <w:lang w:val="en-GB"/>
            </w:rPr>
          </w:pPr>
          <w:hyperlink w:anchor="_Toc526819277" w:history="1">
            <w:r w:rsidR="004A20C9" w:rsidRPr="00436E45">
              <w:rPr>
                <w:rStyle w:val="Hyperlink"/>
                <w:noProof/>
              </w:rPr>
              <w:t>3.4.1.2 General Survey with TUS Component</w:t>
            </w:r>
            <w:r w:rsidR="004A20C9">
              <w:rPr>
                <w:noProof/>
                <w:webHidden/>
              </w:rPr>
              <w:tab/>
            </w:r>
            <w:r w:rsidR="004A20C9">
              <w:rPr>
                <w:noProof/>
                <w:webHidden/>
              </w:rPr>
              <w:fldChar w:fldCharType="begin"/>
            </w:r>
            <w:r w:rsidR="004A20C9">
              <w:rPr>
                <w:noProof/>
                <w:webHidden/>
              </w:rPr>
              <w:instrText xml:space="preserve"> PAGEREF _Toc526819277 \h </w:instrText>
            </w:r>
            <w:r w:rsidR="004A20C9">
              <w:rPr>
                <w:noProof/>
                <w:webHidden/>
              </w:rPr>
            </w:r>
            <w:r w:rsidR="004A20C9">
              <w:rPr>
                <w:noProof/>
                <w:webHidden/>
              </w:rPr>
              <w:fldChar w:fldCharType="separate"/>
            </w:r>
            <w:r w:rsidR="004A20C9">
              <w:rPr>
                <w:noProof/>
                <w:webHidden/>
              </w:rPr>
              <w:t>95</w:t>
            </w:r>
            <w:r w:rsidR="004A20C9">
              <w:rPr>
                <w:noProof/>
                <w:webHidden/>
              </w:rPr>
              <w:fldChar w:fldCharType="end"/>
            </w:r>
          </w:hyperlink>
        </w:p>
        <w:p w14:paraId="1A5A5F51" w14:textId="4566BD6B" w:rsidR="004A20C9" w:rsidRDefault="0082537D">
          <w:pPr>
            <w:pStyle w:val="TOC4"/>
            <w:tabs>
              <w:tab w:val="right" w:leader="dot" w:pos="8290"/>
            </w:tabs>
            <w:rPr>
              <w:rFonts w:asciiTheme="minorHAnsi" w:eastAsiaTheme="minorEastAsia" w:hAnsiTheme="minorHAnsi" w:cstheme="minorBidi"/>
              <w:noProof/>
              <w:lang w:val="en-GB"/>
            </w:rPr>
          </w:pPr>
          <w:hyperlink w:anchor="_Toc526819278" w:history="1">
            <w:r w:rsidR="004A20C9" w:rsidRPr="00436E45">
              <w:rPr>
                <w:rStyle w:val="Hyperlink"/>
                <w:noProof/>
              </w:rPr>
              <w:t>3.4.1.3 Household Care Survey (HCS)</w:t>
            </w:r>
            <w:r w:rsidR="004A20C9">
              <w:rPr>
                <w:noProof/>
                <w:webHidden/>
              </w:rPr>
              <w:tab/>
            </w:r>
            <w:r w:rsidR="004A20C9">
              <w:rPr>
                <w:noProof/>
                <w:webHidden/>
              </w:rPr>
              <w:fldChar w:fldCharType="begin"/>
            </w:r>
            <w:r w:rsidR="004A20C9">
              <w:rPr>
                <w:noProof/>
                <w:webHidden/>
              </w:rPr>
              <w:instrText xml:space="preserve"> PAGEREF _Toc526819278 \h </w:instrText>
            </w:r>
            <w:r w:rsidR="004A20C9">
              <w:rPr>
                <w:noProof/>
                <w:webHidden/>
              </w:rPr>
            </w:r>
            <w:r w:rsidR="004A20C9">
              <w:rPr>
                <w:noProof/>
                <w:webHidden/>
              </w:rPr>
              <w:fldChar w:fldCharType="separate"/>
            </w:r>
            <w:r w:rsidR="004A20C9">
              <w:rPr>
                <w:noProof/>
                <w:webHidden/>
              </w:rPr>
              <w:t>95</w:t>
            </w:r>
            <w:r w:rsidR="004A20C9">
              <w:rPr>
                <w:noProof/>
                <w:webHidden/>
              </w:rPr>
              <w:fldChar w:fldCharType="end"/>
            </w:r>
          </w:hyperlink>
        </w:p>
        <w:p w14:paraId="1807757A" w14:textId="3FD4BFEE" w:rsidR="004A20C9" w:rsidRDefault="0082537D">
          <w:pPr>
            <w:pStyle w:val="TOC3"/>
            <w:tabs>
              <w:tab w:val="right" w:leader="dot" w:pos="8290"/>
            </w:tabs>
            <w:rPr>
              <w:rFonts w:asciiTheme="minorHAnsi" w:eastAsiaTheme="minorEastAsia" w:hAnsiTheme="minorHAnsi" w:cstheme="minorBidi"/>
              <w:noProof/>
              <w:lang w:val="en-GB"/>
            </w:rPr>
          </w:pPr>
          <w:hyperlink w:anchor="_Toc526819279" w:history="1">
            <w:r w:rsidR="004A20C9" w:rsidRPr="00436E45">
              <w:rPr>
                <w:rStyle w:val="Hyperlink"/>
                <w:noProof/>
              </w:rPr>
              <w:t>3.4.2  Focus Groups</w:t>
            </w:r>
            <w:r w:rsidR="004A20C9">
              <w:rPr>
                <w:noProof/>
                <w:webHidden/>
              </w:rPr>
              <w:tab/>
            </w:r>
            <w:r w:rsidR="004A20C9">
              <w:rPr>
                <w:noProof/>
                <w:webHidden/>
              </w:rPr>
              <w:fldChar w:fldCharType="begin"/>
            </w:r>
            <w:r w:rsidR="004A20C9">
              <w:rPr>
                <w:noProof/>
                <w:webHidden/>
              </w:rPr>
              <w:instrText xml:space="preserve"> PAGEREF _Toc526819279 \h </w:instrText>
            </w:r>
            <w:r w:rsidR="004A20C9">
              <w:rPr>
                <w:noProof/>
                <w:webHidden/>
              </w:rPr>
            </w:r>
            <w:r w:rsidR="004A20C9">
              <w:rPr>
                <w:noProof/>
                <w:webHidden/>
              </w:rPr>
              <w:fldChar w:fldCharType="separate"/>
            </w:r>
            <w:r w:rsidR="004A20C9">
              <w:rPr>
                <w:noProof/>
                <w:webHidden/>
              </w:rPr>
              <w:t>96</w:t>
            </w:r>
            <w:r w:rsidR="004A20C9">
              <w:rPr>
                <w:noProof/>
                <w:webHidden/>
              </w:rPr>
              <w:fldChar w:fldCharType="end"/>
            </w:r>
          </w:hyperlink>
        </w:p>
        <w:p w14:paraId="713294FF" w14:textId="22788844" w:rsidR="004A20C9" w:rsidRDefault="0082537D">
          <w:pPr>
            <w:pStyle w:val="TOC3"/>
            <w:tabs>
              <w:tab w:val="right" w:leader="dot" w:pos="8290"/>
            </w:tabs>
            <w:rPr>
              <w:rFonts w:asciiTheme="minorHAnsi" w:eastAsiaTheme="minorEastAsia" w:hAnsiTheme="minorHAnsi" w:cstheme="minorBidi"/>
              <w:noProof/>
              <w:lang w:val="en-GB"/>
            </w:rPr>
          </w:pPr>
          <w:hyperlink w:anchor="_Toc526819280" w:history="1">
            <w:r w:rsidR="004A20C9" w:rsidRPr="00436E45">
              <w:rPr>
                <w:rStyle w:val="Hyperlink"/>
                <w:noProof/>
              </w:rPr>
              <w:t>3.4.3  Semi-Structured Interviews</w:t>
            </w:r>
            <w:r w:rsidR="004A20C9">
              <w:rPr>
                <w:noProof/>
                <w:webHidden/>
              </w:rPr>
              <w:tab/>
            </w:r>
            <w:r w:rsidR="004A20C9">
              <w:rPr>
                <w:noProof/>
                <w:webHidden/>
              </w:rPr>
              <w:fldChar w:fldCharType="begin"/>
            </w:r>
            <w:r w:rsidR="004A20C9">
              <w:rPr>
                <w:noProof/>
                <w:webHidden/>
              </w:rPr>
              <w:instrText xml:space="preserve"> PAGEREF _Toc526819280 \h </w:instrText>
            </w:r>
            <w:r w:rsidR="004A20C9">
              <w:rPr>
                <w:noProof/>
                <w:webHidden/>
              </w:rPr>
            </w:r>
            <w:r w:rsidR="004A20C9">
              <w:rPr>
                <w:noProof/>
                <w:webHidden/>
              </w:rPr>
              <w:fldChar w:fldCharType="separate"/>
            </w:r>
            <w:r w:rsidR="004A20C9">
              <w:rPr>
                <w:noProof/>
                <w:webHidden/>
              </w:rPr>
              <w:t>96</w:t>
            </w:r>
            <w:r w:rsidR="004A20C9">
              <w:rPr>
                <w:noProof/>
                <w:webHidden/>
              </w:rPr>
              <w:fldChar w:fldCharType="end"/>
            </w:r>
          </w:hyperlink>
        </w:p>
        <w:p w14:paraId="3C8AE602" w14:textId="7333B239" w:rsidR="004A20C9" w:rsidRDefault="0082537D">
          <w:pPr>
            <w:pStyle w:val="TOC3"/>
            <w:tabs>
              <w:tab w:val="right" w:leader="dot" w:pos="8290"/>
            </w:tabs>
            <w:rPr>
              <w:rFonts w:asciiTheme="minorHAnsi" w:eastAsiaTheme="minorEastAsia" w:hAnsiTheme="minorHAnsi" w:cstheme="minorBidi"/>
              <w:noProof/>
              <w:lang w:val="en-GB"/>
            </w:rPr>
          </w:pPr>
          <w:hyperlink w:anchor="_Toc526819281" w:history="1">
            <w:r w:rsidR="004A20C9" w:rsidRPr="00436E45">
              <w:rPr>
                <w:rStyle w:val="Hyperlink"/>
                <w:noProof/>
              </w:rPr>
              <w:t>3.4.4  Summary of Total Data Collection for Both Case Studies</w:t>
            </w:r>
            <w:r w:rsidR="004A20C9">
              <w:rPr>
                <w:noProof/>
                <w:webHidden/>
              </w:rPr>
              <w:tab/>
            </w:r>
            <w:r w:rsidR="004A20C9">
              <w:rPr>
                <w:noProof/>
                <w:webHidden/>
              </w:rPr>
              <w:fldChar w:fldCharType="begin"/>
            </w:r>
            <w:r w:rsidR="004A20C9">
              <w:rPr>
                <w:noProof/>
                <w:webHidden/>
              </w:rPr>
              <w:instrText xml:space="preserve"> PAGEREF _Toc526819281 \h </w:instrText>
            </w:r>
            <w:r w:rsidR="004A20C9">
              <w:rPr>
                <w:noProof/>
                <w:webHidden/>
              </w:rPr>
            </w:r>
            <w:r w:rsidR="004A20C9">
              <w:rPr>
                <w:noProof/>
                <w:webHidden/>
              </w:rPr>
              <w:fldChar w:fldCharType="separate"/>
            </w:r>
            <w:r w:rsidR="004A20C9">
              <w:rPr>
                <w:noProof/>
                <w:webHidden/>
              </w:rPr>
              <w:t>98</w:t>
            </w:r>
            <w:r w:rsidR="004A20C9">
              <w:rPr>
                <w:noProof/>
                <w:webHidden/>
              </w:rPr>
              <w:fldChar w:fldCharType="end"/>
            </w:r>
          </w:hyperlink>
        </w:p>
        <w:p w14:paraId="37A6BFCE" w14:textId="65415A0B" w:rsidR="004A20C9" w:rsidRDefault="0082537D">
          <w:pPr>
            <w:pStyle w:val="TOC2"/>
            <w:tabs>
              <w:tab w:val="right" w:leader="dot" w:pos="8290"/>
            </w:tabs>
            <w:rPr>
              <w:rFonts w:asciiTheme="minorHAnsi" w:eastAsiaTheme="minorEastAsia" w:hAnsiTheme="minorHAnsi" w:cstheme="minorBidi"/>
              <w:noProof/>
              <w:lang w:val="en-GB"/>
            </w:rPr>
          </w:pPr>
          <w:hyperlink w:anchor="_Toc526819282" w:history="1">
            <w:r w:rsidR="004A20C9" w:rsidRPr="00436E45">
              <w:rPr>
                <w:rStyle w:val="Hyperlink"/>
                <w:noProof/>
                <w:lang w:val="en-GB"/>
              </w:rPr>
              <w:t>3.5  Data Collection Process</w:t>
            </w:r>
            <w:r w:rsidR="004A20C9">
              <w:rPr>
                <w:noProof/>
                <w:webHidden/>
              </w:rPr>
              <w:tab/>
            </w:r>
            <w:r w:rsidR="004A20C9">
              <w:rPr>
                <w:noProof/>
                <w:webHidden/>
              </w:rPr>
              <w:fldChar w:fldCharType="begin"/>
            </w:r>
            <w:r w:rsidR="004A20C9">
              <w:rPr>
                <w:noProof/>
                <w:webHidden/>
              </w:rPr>
              <w:instrText xml:space="preserve"> PAGEREF _Toc526819282 \h </w:instrText>
            </w:r>
            <w:r w:rsidR="004A20C9">
              <w:rPr>
                <w:noProof/>
                <w:webHidden/>
              </w:rPr>
            </w:r>
            <w:r w:rsidR="004A20C9">
              <w:rPr>
                <w:noProof/>
                <w:webHidden/>
              </w:rPr>
              <w:fldChar w:fldCharType="separate"/>
            </w:r>
            <w:r w:rsidR="004A20C9">
              <w:rPr>
                <w:noProof/>
                <w:webHidden/>
              </w:rPr>
              <w:t>99</w:t>
            </w:r>
            <w:r w:rsidR="004A20C9">
              <w:rPr>
                <w:noProof/>
                <w:webHidden/>
              </w:rPr>
              <w:fldChar w:fldCharType="end"/>
            </w:r>
          </w:hyperlink>
        </w:p>
        <w:p w14:paraId="13191CF4" w14:textId="01AAAFFD" w:rsidR="004A20C9" w:rsidRDefault="0082537D">
          <w:pPr>
            <w:pStyle w:val="TOC3"/>
            <w:tabs>
              <w:tab w:val="right" w:leader="dot" w:pos="8290"/>
            </w:tabs>
            <w:rPr>
              <w:rFonts w:asciiTheme="minorHAnsi" w:eastAsiaTheme="minorEastAsia" w:hAnsiTheme="minorHAnsi" w:cstheme="minorBidi"/>
              <w:noProof/>
              <w:lang w:val="en-GB"/>
            </w:rPr>
          </w:pPr>
          <w:hyperlink w:anchor="_Toc526819283" w:history="1">
            <w:r w:rsidR="004A20C9" w:rsidRPr="00436E45">
              <w:rPr>
                <w:rStyle w:val="Hyperlink"/>
                <w:noProof/>
              </w:rPr>
              <w:t>3.5.1  Case Study Data Collection</w:t>
            </w:r>
            <w:r w:rsidR="004A20C9">
              <w:rPr>
                <w:noProof/>
                <w:webHidden/>
              </w:rPr>
              <w:tab/>
            </w:r>
            <w:r w:rsidR="004A20C9">
              <w:rPr>
                <w:noProof/>
                <w:webHidden/>
              </w:rPr>
              <w:fldChar w:fldCharType="begin"/>
            </w:r>
            <w:r w:rsidR="004A20C9">
              <w:rPr>
                <w:noProof/>
                <w:webHidden/>
              </w:rPr>
              <w:instrText xml:space="preserve"> PAGEREF _Toc526819283 \h </w:instrText>
            </w:r>
            <w:r w:rsidR="004A20C9">
              <w:rPr>
                <w:noProof/>
                <w:webHidden/>
              </w:rPr>
            </w:r>
            <w:r w:rsidR="004A20C9">
              <w:rPr>
                <w:noProof/>
                <w:webHidden/>
              </w:rPr>
              <w:fldChar w:fldCharType="separate"/>
            </w:r>
            <w:r w:rsidR="004A20C9">
              <w:rPr>
                <w:noProof/>
                <w:webHidden/>
              </w:rPr>
              <w:t>99</w:t>
            </w:r>
            <w:r w:rsidR="004A20C9">
              <w:rPr>
                <w:noProof/>
                <w:webHidden/>
              </w:rPr>
              <w:fldChar w:fldCharType="end"/>
            </w:r>
          </w:hyperlink>
        </w:p>
        <w:p w14:paraId="45786B52" w14:textId="72381C41" w:rsidR="004A20C9" w:rsidRDefault="0082537D">
          <w:pPr>
            <w:pStyle w:val="TOC4"/>
            <w:tabs>
              <w:tab w:val="right" w:leader="dot" w:pos="8290"/>
            </w:tabs>
            <w:rPr>
              <w:rFonts w:asciiTheme="minorHAnsi" w:eastAsiaTheme="minorEastAsia" w:hAnsiTheme="minorHAnsi" w:cstheme="minorBidi"/>
              <w:noProof/>
              <w:lang w:val="en-GB"/>
            </w:rPr>
          </w:pPr>
          <w:hyperlink w:anchor="_Toc526819284" w:history="1">
            <w:r w:rsidR="004A20C9" w:rsidRPr="00436E45">
              <w:rPr>
                <w:rStyle w:val="Hyperlink"/>
                <w:noProof/>
              </w:rPr>
              <w:t>3.5.1.1 Sample</w:t>
            </w:r>
            <w:r w:rsidR="004A20C9">
              <w:rPr>
                <w:noProof/>
                <w:webHidden/>
              </w:rPr>
              <w:tab/>
            </w:r>
            <w:r w:rsidR="004A20C9">
              <w:rPr>
                <w:noProof/>
                <w:webHidden/>
              </w:rPr>
              <w:fldChar w:fldCharType="begin"/>
            </w:r>
            <w:r w:rsidR="004A20C9">
              <w:rPr>
                <w:noProof/>
                <w:webHidden/>
              </w:rPr>
              <w:instrText xml:space="preserve"> PAGEREF _Toc526819284 \h </w:instrText>
            </w:r>
            <w:r w:rsidR="004A20C9">
              <w:rPr>
                <w:noProof/>
                <w:webHidden/>
              </w:rPr>
            </w:r>
            <w:r w:rsidR="004A20C9">
              <w:rPr>
                <w:noProof/>
                <w:webHidden/>
              </w:rPr>
              <w:fldChar w:fldCharType="separate"/>
            </w:r>
            <w:r w:rsidR="004A20C9">
              <w:rPr>
                <w:noProof/>
                <w:webHidden/>
              </w:rPr>
              <w:t>99</w:t>
            </w:r>
            <w:r w:rsidR="004A20C9">
              <w:rPr>
                <w:noProof/>
                <w:webHidden/>
              </w:rPr>
              <w:fldChar w:fldCharType="end"/>
            </w:r>
          </w:hyperlink>
        </w:p>
        <w:p w14:paraId="37BA08D9" w14:textId="5510B1AA" w:rsidR="004A20C9" w:rsidRDefault="0082537D">
          <w:pPr>
            <w:pStyle w:val="TOC4"/>
            <w:tabs>
              <w:tab w:val="right" w:leader="dot" w:pos="8290"/>
            </w:tabs>
            <w:rPr>
              <w:rFonts w:asciiTheme="minorHAnsi" w:eastAsiaTheme="minorEastAsia" w:hAnsiTheme="minorHAnsi" w:cstheme="minorBidi"/>
              <w:noProof/>
              <w:lang w:val="en-GB"/>
            </w:rPr>
          </w:pPr>
          <w:hyperlink w:anchor="_Toc526819285" w:history="1">
            <w:r w:rsidR="004A20C9" w:rsidRPr="00436E45">
              <w:rPr>
                <w:rStyle w:val="Hyperlink"/>
                <w:noProof/>
              </w:rPr>
              <w:t>3.5.1.2 Achuapa Case Study</w:t>
            </w:r>
            <w:r w:rsidR="004A20C9">
              <w:rPr>
                <w:noProof/>
                <w:webHidden/>
              </w:rPr>
              <w:tab/>
            </w:r>
            <w:r w:rsidR="004A20C9">
              <w:rPr>
                <w:noProof/>
                <w:webHidden/>
              </w:rPr>
              <w:fldChar w:fldCharType="begin"/>
            </w:r>
            <w:r w:rsidR="004A20C9">
              <w:rPr>
                <w:noProof/>
                <w:webHidden/>
              </w:rPr>
              <w:instrText xml:space="preserve"> PAGEREF _Toc526819285 \h </w:instrText>
            </w:r>
            <w:r w:rsidR="004A20C9">
              <w:rPr>
                <w:noProof/>
                <w:webHidden/>
              </w:rPr>
            </w:r>
            <w:r w:rsidR="004A20C9">
              <w:rPr>
                <w:noProof/>
                <w:webHidden/>
              </w:rPr>
              <w:fldChar w:fldCharType="separate"/>
            </w:r>
            <w:r w:rsidR="004A20C9">
              <w:rPr>
                <w:noProof/>
                <w:webHidden/>
              </w:rPr>
              <w:t>100</w:t>
            </w:r>
            <w:r w:rsidR="004A20C9">
              <w:rPr>
                <w:noProof/>
                <w:webHidden/>
              </w:rPr>
              <w:fldChar w:fldCharType="end"/>
            </w:r>
          </w:hyperlink>
        </w:p>
        <w:p w14:paraId="76F2416C" w14:textId="257B8964" w:rsidR="004A20C9" w:rsidRDefault="0082537D">
          <w:pPr>
            <w:pStyle w:val="TOC4"/>
            <w:tabs>
              <w:tab w:val="right" w:leader="dot" w:pos="8290"/>
            </w:tabs>
            <w:rPr>
              <w:rFonts w:asciiTheme="minorHAnsi" w:eastAsiaTheme="minorEastAsia" w:hAnsiTheme="minorHAnsi" w:cstheme="minorBidi"/>
              <w:noProof/>
              <w:lang w:val="en-GB"/>
            </w:rPr>
          </w:pPr>
          <w:hyperlink w:anchor="_Toc526819286" w:history="1">
            <w:r w:rsidR="004A20C9" w:rsidRPr="00436E45">
              <w:rPr>
                <w:rStyle w:val="Hyperlink"/>
                <w:noProof/>
              </w:rPr>
              <w:t>3.5.1.3 San Ramón Case Study</w:t>
            </w:r>
            <w:r w:rsidR="004A20C9">
              <w:rPr>
                <w:noProof/>
                <w:webHidden/>
              </w:rPr>
              <w:tab/>
            </w:r>
            <w:r w:rsidR="004A20C9">
              <w:rPr>
                <w:noProof/>
                <w:webHidden/>
              </w:rPr>
              <w:fldChar w:fldCharType="begin"/>
            </w:r>
            <w:r w:rsidR="004A20C9">
              <w:rPr>
                <w:noProof/>
                <w:webHidden/>
              </w:rPr>
              <w:instrText xml:space="preserve"> PAGEREF _Toc526819286 \h </w:instrText>
            </w:r>
            <w:r w:rsidR="004A20C9">
              <w:rPr>
                <w:noProof/>
                <w:webHidden/>
              </w:rPr>
            </w:r>
            <w:r w:rsidR="004A20C9">
              <w:rPr>
                <w:noProof/>
                <w:webHidden/>
              </w:rPr>
              <w:fldChar w:fldCharType="separate"/>
            </w:r>
            <w:r w:rsidR="004A20C9">
              <w:rPr>
                <w:noProof/>
                <w:webHidden/>
              </w:rPr>
              <w:t>104</w:t>
            </w:r>
            <w:r w:rsidR="004A20C9">
              <w:rPr>
                <w:noProof/>
                <w:webHidden/>
              </w:rPr>
              <w:fldChar w:fldCharType="end"/>
            </w:r>
          </w:hyperlink>
        </w:p>
        <w:p w14:paraId="46C4CF35" w14:textId="0441F6D1" w:rsidR="004A20C9" w:rsidRDefault="0082537D">
          <w:pPr>
            <w:pStyle w:val="TOC3"/>
            <w:tabs>
              <w:tab w:val="right" w:leader="dot" w:pos="8290"/>
            </w:tabs>
            <w:rPr>
              <w:rFonts w:asciiTheme="minorHAnsi" w:eastAsiaTheme="minorEastAsia" w:hAnsiTheme="minorHAnsi" w:cstheme="minorBidi"/>
              <w:noProof/>
              <w:lang w:val="en-GB"/>
            </w:rPr>
          </w:pPr>
          <w:hyperlink w:anchor="_Toc526819287" w:history="1">
            <w:r w:rsidR="004A20C9" w:rsidRPr="00436E45">
              <w:rPr>
                <w:rStyle w:val="Hyperlink"/>
                <w:noProof/>
              </w:rPr>
              <w:t>3.5.2  Expert Interviews</w:t>
            </w:r>
            <w:r w:rsidR="004A20C9">
              <w:rPr>
                <w:noProof/>
                <w:webHidden/>
              </w:rPr>
              <w:tab/>
            </w:r>
            <w:r w:rsidR="004A20C9">
              <w:rPr>
                <w:noProof/>
                <w:webHidden/>
              </w:rPr>
              <w:fldChar w:fldCharType="begin"/>
            </w:r>
            <w:r w:rsidR="004A20C9">
              <w:rPr>
                <w:noProof/>
                <w:webHidden/>
              </w:rPr>
              <w:instrText xml:space="preserve"> PAGEREF _Toc526819287 \h </w:instrText>
            </w:r>
            <w:r w:rsidR="004A20C9">
              <w:rPr>
                <w:noProof/>
                <w:webHidden/>
              </w:rPr>
            </w:r>
            <w:r w:rsidR="004A20C9">
              <w:rPr>
                <w:noProof/>
                <w:webHidden/>
              </w:rPr>
              <w:fldChar w:fldCharType="separate"/>
            </w:r>
            <w:r w:rsidR="004A20C9">
              <w:rPr>
                <w:noProof/>
                <w:webHidden/>
              </w:rPr>
              <w:t>108</w:t>
            </w:r>
            <w:r w:rsidR="004A20C9">
              <w:rPr>
                <w:noProof/>
                <w:webHidden/>
              </w:rPr>
              <w:fldChar w:fldCharType="end"/>
            </w:r>
          </w:hyperlink>
        </w:p>
        <w:p w14:paraId="074E1194" w14:textId="324FCFC0" w:rsidR="004A20C9" w:rsidRDefault="0082537D">
          <w:pPr>
            <w:pStyle w:val="TOC2"/>
            <w:tabs>
              <w:tab w:val="right" w:leader="dot" w:pos="8290"/>
            </w:tabs>
            <w:rPr>
              <w:rFonts w:asciiTheme="minorHAnsi" w:eastAsiaTheme="minorEastAsia" w:hAnsiTheme="minorHAnsi" w:cstheme="minorBidi"/>
              <w:noProof/>
              <w:lang w:val="en-GB"/>
            </w:rPr>
          </w:pPr>
          <w:hyperlink w:anchor="_Toc526819288" w:history="1">
            <w:r w:rsidR="004A20C9" w:rsidRPr="00436E45">
              <w:rPr>
                <w:rStyle w:val="Hyperlink"/>
                <w:noProof/>
                <w:lang w:val="en-GB"/>
              </w:rPr>
              <w:t>3.6  Data Processing and Analysis</w:t>
            </w:r>
            <w:r w:rsidR="004A20C9">
              <w:rPr>
                <w:noProof/>
                <w:webHidden/>
              </w:rPr>
              <w:tab/>
            </w:r>
            <w:r w:rsidR="004A20C9">
              <w:rPr>
                <w:noProof/>
                <w:webHidden/>
              </w:rPr>
              <w:fldChar w:fldCharType="begin"/>
            </w:r>
            <w:r w:rsidR="004A20C9">
              <w:rPr>
                <w:noProof/>
                <w:webHidden/>
              </w:rPr>
              <w:instrText xml:space="preserve"> PAGEREF _Toc526819288 \h </w:instrText>
            </w:r>
            <w:r w:rsidR="004A20C9">
              <w:rPr>
                <w:noProof/>
                <w:webHidden/>
              </w:rPr>
            </w:r>
            <w:r w:rsidR="004A20C9">
              <w:rPr>
                <w:noProof/>
                <w:webHidden/>
              </w:rPr>
              <w:fldChar w:fldCharType="separate"/>
            </w:r>
            <w:r w:rsidR="004A20C9">
              <w:rPr>
                <w:noProof/>
                <w:webHidden/>
              </w:rPr>
              <w:t>109</w:t>
            </w:r>
            <w:r w:rsidR="004A20C9">
              <w:rPr>
                <w:noProof/>
                <w:webHidden/>
              </w:rPr>
              <w:fldChar w:fldCharType="end"/>
            </w:r>
          </w:hyperlink>
        </w:p>
        <w:p w14:paraId="59050EC4" w14:textId="201223DF" w:rsidR="004A20C9" w:rsidRDefault="0082537D">
          <w:pPr>
            <w:pStyle w:val="TOC2"/>
            <w:tabs>
              <w:tab w:val="right" w:leader="dot" w:pos="8290"/>
            </w:tabs>
            <w:rPr>
              <w:rFonts w:asciiTheme="minorHAnsi" w:eastAsiaTheme="minorEastAsia" w:hAnsiTheme="minorHAnsi" w:cstheme="minorBidi"/>
              <w:noProof/>
              <w:lang w:val="en-GB"/>
            </w:rPr>
          </w:pPr>
          <w:hyperlink w:anchor="_Toc526819289" w:history="1">
            <w:r w:rsidR="004A20C9" w:rsidRPr="00436E45">
              <w:rPr>
                <w:rStyle w:val="Hyperlink"/>
                <w:noProof/>
                <w:lang w:val="en-GB"/>
              </w:rPr>
              <w:t>3.7  Ethical Considerations</w:t>
            </w:r>
            <w:r w:rsidR="004A20C9">
              <w:rPr>
                <w:noProof/>
                <w:webHidden/>
              </w:rPr>
              <w:tab/>
            </w:r>
            <w:r w:rsidR="004A20C9">
              <w:rPr>
                <w:noProof/>
                <w:webHidden/>
              </w:rPr>
              <w:fldChar w:fldCharType="begin"/>
            </w:r>
            <w:r w:rsidR="004A20C9">
              <w:rPr>
                <w:noProof/>
                <w:webHidden/>
              </w:rPr>
              <w:instrText xml:space="preserve"> PAGEREF _Toc526819289 \h </w:instrText>
            </w:r>
            <w:r w:rsidR="004A20C9">
              <w:rPr>
                <w:noProof/>
                <w:webHidden/>
              </w:rPr>
            </w:r>
            <w:r w:rsidR="004A20C9">
              <w:rPr>
                <w:noProof/>
                <w:webHidden/>
              </w:rPr>
              <w:fldChar w:fldCharType="separate"/>
            </w:r>
            <w:r w:rsidR="004A20C9">
              <w:rPr>
                <w:noProof/>
                <w:webHidden/>
              </w:rPr>
              <w:t>110</w:t>
            </w:r>
            <w:r w:rsidR="004A20C9">
              <w:rPr>
                <w:noProof/>
                <w:webHidden/>
              </w:rPr>
              <w:fldChar w:fldCharType="end"/>
            </w:r>
          </w:hyperlink>
        </w:p>
        <w:p w14:paraId="3214514B" w14:textId="0C2D57DB" w:rsidR="004A20C9" w:rsidRDefault="0082537D">
          <w:pPr>
            <w:pStyle w:val="TOC2"/>
            <w:tabs>
              <w:tab w:val="right" w:leader="dot" w:pos="8290"/>
            </w:tabs>
            <w:rPr>
              <w:rFonts w:asciiTheme="minorHAnsi" w:eastAsiaTheme="minorEastAsia" w:hAnsiTheme="minorHAnsi" w:cstheme="minorBidi"/>
              <w:noProof/>
              <w:lang w:val="en-GB"/>
            </w:rPr>
          </w:pPr>
          <w:hyperlink w:anchor="_Toc526819290" w:history="1">
            <w:r w:rsidR="004A20C9" w:rsidRPr="00436E45">
              <w:rPr>
                <w:rStyle w:val="Hyperlink"/>
                <w:noProof/>
                <w:lang w:val="en-GB"/>
              </w:rPr>
              <w:t>3.8  Credibility, Dependability, Plausibility and Transferability of the Research</w:t>
            </w:r>
            <w:r w:rsidR="004A20C9">
              <w:rPr>
                <w:noProof/>
                <w:webHidden/>
              </w:rPr>
              <w:tab/>
            </w:r>
            <w:r w:rsidR="004A20C9">
              <w:rPr>
                <w:noProof/>
                <w:webHidden/>
              </w:rPr>
              <w:fldChar w:fldCharType="begin"/>
            </w:r>
            <w:r w:rsidR="004A20C9">
              <w:rPr>
                <w:noProof/>
                <w:webHidden/>
              </w:rPr>
              <w:instrText xml:space="preserve"> PAGEREF _Toc526819290 \h </w:instrText>
            </w:r>
            <w:r w:rsidR="004A20C9">
              <w:rPr>
                <w:noProof/>
                <w:webHidden/>
              </w:rPr>
            </w:r>
            <w:r w:rsidR="004A20C9">
              <w:rPr>
                <w:noProof/>
                <w:webHidden/>
              </w:rPr>
              <w:fldChar w:fldCharType="separate"/>
            </w:r>
            <w:r w:rsidR="004A20C9">
              <w:rPr>
                <w:noProof/>
                <w:webHidden/>
              </w:rPr>
              <w:t>113</w:t>
            </w:r>
            <w:r w:rsidR="004A20C9">
              <w:rPr>
                <w:noProof/>
                <w:webHidden/>
              </w:rPr>
              <w:fldChar w:fldCharType="end"/>
            </w:r>
          </w:hyperlink>
        </w:p>
        <w:p w14:paraId="507F66CA" w14:textId="1669B753" w:rsidR="004A20C9" w:rsidRDefault="0082537D">
          <w:pPr>
            <w:pStyle w:val="TOC3"/>
            <w:tabs>
              <w:tab w:val="right" w:leader="dot" w:pos="8290"/>
            </w:tabs>
            <w:rPr>
              <w:rFonts w:asciiTheme="minorHAnsi" w:eastAsiaTheme="minorEastAsia" w:hAnsiTheme="minorHAnsi" w:cstheme="minorBidi"/>
              <w:noProof/>
              <w:lang w:val="en-GB"/>
            </w:rPr>
          </w:pPr>
          <w:hyperlink w:anchor="_Toc526819291" w:history="1">
            <w:r w:rsidR="004A20C9" w:rsidRPr="00436E45">
              <w:rPr>
                <w:rStyle w:val="Hyperlink"/>
                <w:noProof/>
              </w:rPr>
              <w:t>3.8.1  Credibility</w:t>
            </w:r>
            <w:r w:rsidR="004A20C9">
              <w:rPr>
                <w:noProof/>
                <w:webHidden/>
              </w:rPr>
              <w:tab/>
            </w:r>
            <w:r w:rsidR="004A20C9">
              <w:rPr>
                <w:noProof/>
                <w:webHidden/>
              </w:rPr>
              <w:fldChar w:fldCharType="begin"/>
            </w:r>
            <w:r w:rsidR="004A20C9">
              <w:rPr>
                <w:noProof/>
                <w:webHidden/>
              </w:rPr>
              <w:instrText xml:space="preserve"> PAGEREF _Toc526819291 \h </w:instrText>
            </w:r>
            <w:r w:rsidR="004A20C9">
              <w:rPr>
                <w:noProof/>
                <w:webHidden/>
              </w:rPr>
            </w:r>
            <w:r w:rsidR="004A20C9">
              <w:rPr>
                <w:noProof/>
                <w:webHidden/>
              </w:rPr>
              <w:fldChar w:fldCharType="separate"/>
            </w:r>
            <w:r w:rsidR="004A20C9">
              <w:rPr>
                <w:noProof/>
                <w:webHidden/>
              </w:rPr>
              <w:t>113</w:t>
            </w:r>
            <w:r w:rsidR="004A20C9">
              <w:rPr>
                <w:noProof/>
                <w:webHidden/>
              </w:rPr>
              <w:fldChar w:fldCharType="end"/>
            </w:r>
          </w:hyperlink>
        </w:p>
        <w:p w14:paraId="4297243B" w14:textId="23ACA100" w:rsidR="004A20C9" w:rsidRDefault="0082537D">
          <w:pPr>
            <w:pStyle w:val="TOC3"/>
            <w:tabs>
              <w:tab w:val="right" w:leader="dot" w:pos="8290"/>
            </w:tabs>
            <w:rPr>
              <w:rFonts w:asciiTheme="minorHAnsi" w:eastAsiaTheme="minorEastAsia" w:hAnsiTheme="minorHAnsi" w:cstheme="minorBidi"/>
              <w:noProof/>
              <w:lang w:val="en-GB"/>
            </w:rPr>
          </w:pPr>
          <w:hyperlink w:anchor="_Toc526819292" w:history="1">
            <w:r w:rsidR="004A20C9" w:rsidRPr="00436E45">
              <w:rPr>
                <w:rStyle w:val="Hyperlink"/>
                <w:noProof/>
              </w:rPr>
              <w:t>3.8.2  Dependability</w:t>
            </w:r>
            <w:r w:rsidR="004A20C9">
              <w:rPr>
                <w:noProof/>
                <w:webHidden/>
              </w:rPr>
              <w:tab/>
            </w:r>
            <w:r w:rsidR="004A20C9">
              <w:rPr>
                <w:noProof/>
                <w:webHidden/>
              </w:rPr>
              <w:fldChar w:fldCharType="begin"/>
            </w:r>
            <w:r w:rsidR="004A20C9">
              <w:rPr>
                <w:noProof/>
                <w:webHidden/>
              </w:rPr>
              <w:instrText xml:space="preserve"> PAGEREF _Toc526819292 \h </w:instrText>
            </w:r>
            <w:r w:rsidR="004A20C9">
              <w:rPr>
                <w:noProof/>
                <w:webHidden/>
              </w:rPr>
            </w:r>
            <w:r w:rsidR="004A20C9">
              <w:rPr>
                <w:noProof/>
                <w:webHidden/>
              </w:rPr>
              <w:fldChar w:fldCharType="separate"/>
            </w:r>
            <w:r w:rsidR="004A20C9">
              <w:rPr>
                <w:noProof/>
                <w:webHidden/>
              </w:rPr>
              <w:t>114</w:t>
            </w:r>
            <w:r w:rsidR="004A20C9">
              <w:rPr>
                <w:noProof/>
                <w:webHidden/>
              </w:rPr>
              <w:fldChar w:fldCharType="end"/>
            </w:r>
          </w:hyperlink>
        </w:p>
        <w:p w14:paraId="3B55C4E6" w14:textId="0B275345" w:rsidR="004A20C9" w:rsidRDefault="0082537D">
          <w:pPr>
            <w:pStyle w:val="TOC3"/>
            <w:tabs>
              <w:tab w:val="right" w:leader="dot" w:pos="8290"/>
            </w:tabs>
            <w:rPr>
              <w:rFonts w:asciiTheme="minorHAnsi" w:eastAsiaTheme="minorEastAsia" w:hAnsiTheme="minorHAnsi" w:cstheme="minorBidi"/>
              <w:noProof/>
              <w:lang w:val="en-GB"/>
            </w:rPr>
          </w:pPr>
          <w:hyperlink w:anchor="_Toc526819293" w:history="1">
            <w:r w:rsidR="004A20C9" w:rsidRPr="00436E45">
              <w:rPr>
                <w:rStyle w:val="Hyperlink"/>
                <w:noProof/>
              </w:rPr>
              <w:t>3.8.3  Plausibility</w:t>
            </w:r>
            <w:r w:rsidR="004A20C9">
              <w:rPr>
                <w:noProof/>
                <w:webHidden/>
              </w:rPr>
              <w:tab/>
            </w:r>
            <w:r w:rsidR="004A20C9">
              <w:rPr>
                <w:noProof/>
                <w:webHidden/>
              </w:rPr>
              <w:fldChar w:fldCharType="begin"/>
            </w:r>
            <w:r w:rsidR="004A20C9">
              <w:rPr>
                <w:noProof/>
                <w:webHidden/>
              </w:rPr>
              <w:instrText xml:space="preserve"> PAGEREF _Toc526819293 \h </w:instrText>
            </w:r>
            <w:r w:rsidR="004A20C9">
              <w:rPr>
                <w:noProof/>
                <w:webHidden/>
              </w:rPr>
            </w:r>
            <w:r w:rsidR="004A20C9">
              <w:rPr>
                <w:noProof/>
                <w:webHidden/>
              </w:rPr>
              <w:fldChar w:fldCharType="separate"/>
            </w:r>
            <w:r w:rsidR="004A20C9">
              <w:rPr>
                <w:noProof/>
                <w:webHidden/>
              </w:rPr>
              <w:t>114</w:t>
            </w:r>
            <w:r w:rsidR="004A20C9">
              <w:rPr>
                <w:noProof/>
                <w:webHidden/>
              </w:rPr>
              <w:fldChar w:fldCharType="end"/>
            </w:r>
          </w:hyperlink>
        </w:p>
        <w:p w14:paraId="646F80BF" w14:textId="08198EAC" w:rsidR="004A20C9" w:rsidRDefault="0082537D">
          <w:pPr>
            <w:pStyle w:val="TOC3"/>
            <w:tabs>
              <w:tab w:val="right" w:leader="dot" w:pos="8290"/>
            </w:tabs>
            <w:rPr>
              <w:rFonts w:asciiTheme="minorHAnsi" w:eastAsiaTheme="minorEastAsia" w:hAnsiTheme="minorHAnsi" w:cstheme="minorBidi"/>
              <w:noProof/>
              <w:lang w:val="en-GB"/>
            </w:rPr>
          </w:pPr>
          <w:hyperlink w:anchor="_Toc526819294" w:history="1">
            <w:r w:rsidR="004A20C9" w:rsidRPr="00436E45">
              <w:rPr>
                <w:rStyle w:val="Hyperlink"/>
                <w:noProof/>
              </w:rPr>
              <w:t>3.8.4  Transferability</w:t>
            </w:r>
            <w:r w:rsidR="004A20C9">
              <w:rPr>
                <w:noProof/>
                <w:webHidden/>
              </w:rPr>
              <w:tab/>
            </w:r>
            <w:r w:rsidR="004A20C9">
              <w:rPr>
                <w:noProof/>
                <w:webHidden/>
              </w:rPr>
              <w:fldChar w:fldCharType="begin"/>
            </w:r>
            <w:r w:rsidR="004A20C9">
              <w:rPr>
                <w:noProof/>
                <w:webHidden/>
              </w:rPr>
              <w:instrText xml:space="preserve"> PAGEREF _Toc526819294 \h </w:instrText>
            </w:r>
            <w:r w:rsidR="004A20C9">
              <w:rPr>
                <w:noProof/>
                <w:webHidden/>
              </w:rPr>
            </w:r>
            <w:r w:rsidR="004A20C9">
              <w:rPr>
                <w:noProof/>
                <w:webHidden/>
              </w:rPr>
              <w:fldChar w:fldCharType="separate"/>
            </w:r>
            <w:r w:rsidR="004A20C9">
              <w:rPr>
                <w:noProof/>
                <w:webHidden/>
              </w:rPr>
              <w:t>115</w:t>
            </w:r>
            <w:r w:rsidR="004A20C9">
              <w:rPr>
                <w:noProof/>
                <w:webHidden/>
              </w:rPr>
              <w:fldChar w:fldCharType="end"/>
            </w:r>
          </w:hyperlink>
        </w:p>
        <w:p w14:paraId="24AB0D62" w14:textId="2838D626" w:rsidR="004A20C9" w:rsidRDefault="0082537D">
          <w:pPr>
            <w:pStyle w:val="TOC2"/>
            <w:tabs>
              <w:tab w:val="right" w:leader="dot" w:pos="8290"/>
            </w:tabs>
            <w:rPr>
              <w:rFonts w:asciiTheme="minorHAnsi" w:eastAsiaTheme="minorEastAsia" w:hAnsiTheme="minorHAnsi" w:cstheme="minorBidi"/>
              <w:noProof/>
              <w:lang w:val="en-GB"/>
            </w:rPr>
          </w:pPr>
          <w:hyperlink w:anchor="_Toc526819295" w:history="1">
            <w:r w:rsidR="004A20C9" w:rsidRPr="00436E45">
              <w:rPr>
                <w:rStyle w:val="Hyperlink"/>
                <w:noProof/>
                <w:lang w:val="en-GB"/>
              </w:rPr>
              <w:t>3.9  Limitations</w:t>
            </w:r>
            <w:r w:rsidR="004A20C9">
              <w:rPr>
                <w:noProof/>
                <w:webHidden/>
              </w:rPr>
              <w:tab/>
            </w:r>
            <w:r w:rsidR="004A20C9">
              <w:rPr>
                <w:noProof/>
                <w:webHidden/>
              </w:rPr>
              <w:fldChar w:fldCharType="begin"/>
            </w:r>
            <w:r w:rsidR="004A20C9">
              <w:rPr>
                <w:noProof/>
                <w:webHidden/>
              </w:rPr>
              <w:instrText xml:space="preserve"> PAGEREF _Toc526819295 \h </w:instrText>
            </w:r>
            <w:r w:rsidR="004A20C9">
              <w:rPr>
                <w:noProof/>
                <w:webHidden/>
              </w:rPr>
            </w:r>
            <w:r w:rsidR="004A20C9">
              <w:rPr>
                <w:noProof/>
                <w:webHidden/>
              </w:rPr>
              <w:fldChar w:fldCharType="separate"/>
            </w:r>
            <w:r w:rsidR="004A20C9">
              <w:rPr>
                <w:noProof/>
                <w:webHidden/>
              </w:rPr>
              <w:t>116</w:t>
            </w:r>
            <w:r w:rsidR="004A20C9">
              <w:rPr>
                <w:noProof/>
                <w:webHidden/>
              </w:rPr>
              <w:fldChar w:fldCharType="end"/>
            </w:r>
          </w:hyperlink>
        </w:p>
        <w:p w14:paraId="512D34F4" w14:textId="6E0DF151" w:rsidR="004A20C9" w:rsidRDefault="0082537D">
          <w:pPr>
            <w:pStyle w:val="TOC2"/>
            <w:tabs>
              <w:tab w:val="right" w:leader="dot" w:pos="8290"/>
            </w:tabs>
            <w:rPr>
              <w:rFonts w:asciiTheme="minorHAnsi" w:eastAsiaTheme="minorEastAsia" w:hAnsiTheme="minorHAnsi" w:cstheme="minorBidi"/>
              <w:noProof/>
              <w:lang w:val="en-GB"/>
            </w:rPr>
          </w:pPr>
          <w:hyperlink w:anchor="_Toc526819296" w:history="1">
            <w:r w:rsidR="004A20C9" w:rsidRPr="00436E45">
              <w:rPr>
                <w:rStyle w:val="Hyperlink"/>
                <w:noProof/>
                <w:lang w:val="en-GB"/>
              </w:rPr>
              <w:t>3.10  Conclusion</w:t>
            </w:r>
            <w:r w:rsidR="004A20C9">
              <w:rPr>
                <w:noProof/>
                <w:webHidden/>
              </w:rPr>
              <w:tab/>
            </w:r>
            <w:r w:rsidR="004A20C9">
              <w:rPr>
                <w:noProof/>
                <w:webHidden/>
              </w:rPr>
              <w:fldChar w:fldCharType="begin"/>
            </w:r>
            <w:r w:rsidR="004A20C9">
              <w:rPr>
                <w:noProof/>
                <w:webHidden/>
              </w:rPr>
              <w:instrText xml:space="preserve"> PAGEREF _Toc526819296 \h </w:instrText>
            </w:r>
            <w:r w:rsidR="004A20C9">
              <w:rPr>
                <w:noProof/>
                <w:webHidden/>
              </w:rPr>
            </w:r>
            <w:r w:rsidR="004A20C9">
              <w:rPr>
                <w:noProof/>
                <w:webHidden/>
              </w:rPr>
              <w:fldChar w:fldCharType="separate"/>
            </w:r>
            <w:r w:rsidR="004A20C9">
              <w:rPr>
                <w:noProof/>
                <w:webHidden/>
              </w:rPr>
              <w:t>117</w:t>
            </w:r>
            <w:r w:rsidR="004A20C9">
              <w:rPr>
                <w:noProof/>
                <w:webHidden/>
              </w:rPr>
              <w:fldChar w:fldCharType="end"/>
            </w:r>
          </w:hyperlink>
        </w:p>
        <w:p w14:paraId="4E555200" w14:textId="20767A63" w:rsidR="004A20C9" w:rsidRDefault="0082537D">
          <w:pPr>
            <w:pStyle w:val="TOC1"/>
            <w:tabs>
              <w:tab w:val="right" w:leader="dot" w:pos="8290"/>
            </w:tabs>
            <w:rPr>
              <w:rFonts w:asciiTheme="minorHAnsi" w:eastAsiaTheme="minorEastAsia" w:hAnsiTheme="minorHAnsi" w:cstheme="minorBidi"/>
              <w:noProof/>
              <w:lang w:val="en-GB"/>
            </w:rPr>
          </w:pPr>
          <w:hyperlink w:anchor="_Toc526819297" w:history="1">
            <w:r w:rsidR="004A20C9" w:rsidRPr="00436E45">
              <w:rPr>
                <w:rStyle w:val="Hyperlink"/>
                <w:noProof/>
                <w:shd w:val="clear" w:color="auto" w:fill="FFFFFF"/>
              </w:rPr>
              <w:t>Chapter Four: Gender and Development in Nicaragua</w:t>
            </w:r>
            <w:r w:rsidR="004A20C9">
              <w:rPr>
                <w:noProof/>
                <w:webHidden/>
              </w:rPr>
              <w:tab/>
            </w:r>
            <w:r w:rsidR="004A20C9">
              <w:rPr>
                <w:noProof/>
                <w:webHidden/>
              </w:rPr>
              <w:fldChar w:fldCharType="begin"/>
            </w:r>
            <w:r w:rsidR="004A20C9">
              <w:rPr>
                <w:noProof/>
                <w:webHidden/>
              </w:rPr>
              <w:instrText xml:space="preserve"> PAGEREF _Toc526819297 \h </w:instrText>
            </w:r>
            <w:r w:rsidR="004A20C9">
              <w:rPr>
                <w:noProof/>
                <w:webHidden/>
              </w:rPr>
            </w:r>
            <w:r w:rsidR="004A20C9">
              <w:rPr>
                <w:noProof/>
                <w:webHidden/>
              </w:rPr>
              <w:fldChar w:fldCharType="separate"/>
            </w:r>
            <w:r w:rsidR="004A20C9">
              <w:rPr>
                <w:noProof/>
                <w:webHidden/>
              </w:rPr>
              <w:t>119</w:t>
            </w:r>
            <w:r w:rsidR="004A20C9">
              <w:rPr>
                <w:noProof/>
                <w:webHidden/>
              </w:rPr>
              <w:fldChar w:fldCharType="end"/>
            </w:r>
          </w:hyperlink>
        </w:p>
        <w:p w14:paraId="3A37B047" w14:textId="45270F64" w:rsidR="004A20C9" w:rsidRDefault="0082537D">
          <w:pPr>
            <w:pStyle w:val="TOC2"/>
            <w:tabs>
              <w:tab w:val="right" w:leader="dot" w:pos="8290"/>
            </w:tabs>
            <w:rPr>
              <w:rFonts w:asciiTheme="minorHAnsi" w:eastAsiaTheme="minorEastAsia" w:hAnsiTheme="minorHAnsi" w:cstheme="minorBidi"/>
              <w:noProof/>
              <w:lang w:val="en-GB"/>
            </w:rPr>
          </w:pPr>
          <w:hyperlink w:anchor="_Toc526819298" w:history="1">
            <w:r w:rsidR="004A20C9" w:rsidRPr="00436E45">
              <w:rPr>
                <w:rStyle w:val="Hyperlink"/>
                <w:noProof/>
              </w:rPr>
              <w:t>4.1  Introduction</w:t>
            </w:r>
            <w:r w:rsidR="004A20C9">
              <w:rPr>
                <w:noProof/>
                <w:webHidden/>
              </w:rPr>
              <w:tab/>
            </w:r>
            <w:r w:rsidR="004A20C9">
              <w:rPr>
                <w:noProof/>
                <w:webHidden/>
              </w:rPr>
              <w:fldChar w:fldCharType="begin"/>
            </w:r>
            <w:r w:rsidR="004A20C9">
              <w:rPr>
                <w:noProof/>
                <w:webHidden/>
              </w:rPr>
              <w:instrText xml:space="preserve"> PAGEREF _Toc526819298 \h </w:instrText>
            </w:r>
            <w:r w:rsidR="004A20C9">
              <w:rPr>
                <w:noProof/>
                <w:webHidden/>
              </w:rPr>
            </w:r>
            <w:r w:rsidR="004A20C9">
              <w:rPr>
                <w:noProof/>
                <w:webHidden/>
              </w:rPr>
              <w:fldChar w:fldCharType="separate"/>
            </w:r>
            <w:r w:rsidR="004A20C9">
              <w:rPr>
                <w:noProof/>
                <w:webHidden/>
              </w:rPr>
              <w:t>119</w:t>
            </w:r>
            <w:r w:rsidR="004A20C9">
              <w:rPr>
                <w:noProof/>
                <w:webHidden/>
              </w:rPr>
              <w:fldChar w:fldCharType="end"/>
            </w:r>
          </w:hyperlink>
        </w:p>
        <w:p w14:paraId="05726B50" w14:textId="4825A059" w:rsidR="004A20C9" w:rsidRDefault="0082537D">
          <w:pPr>
            <w:pStyle w:val="TOC2"/>
            <w:tabs>
              <w:tab w:val="right" w:leader="dot" w:pos="8290"/>
            </w:tabs>
            <w:rPr>
              <w:rFonts w:asciiTheme="minorHAnsi" w:eastAsiaTheme="minorEastAsia" w:hAnsiTheme="minorHAnsi" w:cstheme="minorBidi"/>
              <w:noProof/>
              <w:lang w:val="en-GB"/>
            </w:rPr>
          </w:pPr>
          <w:hyperlink w:anchor="_Toc526819299" w:history="1">
            <w:r w:rsidR="004A20C9" w:rsidRPr="00436E45">
              <w:rPr>
                <w:rStyle w:val="Hyperlink"/>
                <w:noProof/>
              </w:rPr>
              <w:t>4.2  Gender and Development in Nicaragua: A Brief Overview of the Current Situation</w:t>
            </w:r>
            <w:r w:rsidR="004A20C9">
              <w:rPr>
                <w:noProof/>
                <w:webHidden/>
              </w:rPr>
              <w:tab/>
            </w:r>
            <w:r w:rsidR="004A20C9">
              <w:rPr>
                <w:noProof/>
                <w:webHidden/>
              </w:rPr>
              <w:fldChar w:fldCharType="begin"/>
            </w:r>
            <w:r w:rsidR="004A20C9">
              <w:rPr>
                <w:noProof/>
                <w:webHidden/>
              </w:rPr>
              <w:instrText xml:space="preserve"> PAGEREF _Toc526819299 \h </w:instrText>
            </w:r>
            <w:r w:rsidR="004A20C9">
              <w:rPr>
                <w:noProof/>
                <w:webHidden/>
              </w:rPr>
            </w:r>
            <w:r w:rsidR="004A20C9">
              <w:rPr>
                <w:noProof/>
                <w:webHidden/>
              </w:rPr>
              <w:fldChar w:fldCharType="separate"/>
            </w:r>
            <w:r w:rsidR="004A20C9">
              <w:rPr>
                <w:noProof/>
                <w:webHidden/>
              </w:rPr>
              <w:t>120</w:t>
            </w:r>
            <w:r w:rsidR="004A20C9">
              <w:rPr>
                <w:noProof/>
                <w:webHidden/>
              </w:rPr>
              <w:fldChar w:fldCharType="end"/>
            </w:r>
          </w:hyperlink>
        </w:p>
        <w:p w14:paraId="118B9589" w14:textId="42DD6216" w:rsidR="004A20C9" w:rsidRDefault="0082537D">
          <w:pPr>
            <w:pStyle w:val="TOC2"/>
            <w:tabs>
              <w:tab w:val="right" w:leader="dot" w:pos="8290"/>
            </w:tabs>
            <w:rPr>
              <w:rFonts w:asciiTheme="minorHAnsi" w:eastAsiaTheme="minorEastAsia" w:hAnsiTheme="minorHAnsi" w:cstheme="minorBidi"/>
              <w:noProof/>
              <w:lang w:val="en-GB"/>
            </w:rPr>
          </w:pPr>
          <w:hyperlink w:anchor="_Toc526819300" w:history="1">
            <w:r w:rsidR="004A20C9" w:rsidRPr="00436E45">
              <w:rPr>
                <w:rStyle w:val="Hyperlink"/>
                <w:noProof/>
              </w:rPr>
              <w:t>4.3  ‘Life is hard’ (‘La vida es dura’): The Masculine and Feminine Sense of Self in Nicaragua</w:t>
            </w:r>
            <w:r w:rsidR="004A20C9">
              <w:rPr>
                <w:noProof/>
                <w:webHidden/>
              </w:rPr>
              <w:tab/>
            </w:r>
            <w:r w:rsidR="004A20C9">
              <w:rPr>
                <w:noProof/>
                <w:webHidden/>
              </w:rPr>
              <w:fldChar w:fldCharType="begin"/>
            </w:r>
            <w:r w:rsidR="004A20C9">
              <w:rPr>
                <w:noProof/>
                <w:webHidden/>
              </w:rPr>
              <w:instrText xml:space="preserve"> PAGEREF _Toc526819300 \h </w:instrText>
            </w:r>
            <w:r w:rsidR="004A20C9">
              <w:rPr>
                <w:noProof/>
                <w:webHidden/>
              </w:rPr>
            </w:r>
            <w:r w:rsidR="004A20C9">
              <w:rPr>
                <w:noProof/>
                <w:webHidden/>
              </w:rPr>
              <w:fldChar w:fldCharType="separate"/>
            </w:r>
            <w:r w:rsidR="004A20C9">
              <w:rPr>
                <w:noProof/>
                <w:webHidden/>
              </w:rPr>
              <w:t>124</w:t>
            </w:r>
            <w:r w:rsidR="004A20C9">
              <w:rPr>
                <w:noProof/>
                <w:webHidden/>
              </w:rPr>
              <w:fldChar w:fldCharType="end"/>
            </w:r>
          </w:hyperlink>
        </w:p>
        <w:p w14:paraId="32F46876" w14:textId="306CE2A8" w:rsidR="004A20C9" w:rsidRDefault="0082537D">
          <w:pPr>
            <w:pStyle w:val="TOC3"/>
            <w:tabs>
              <w:tab w:val="right" w:leader="dot" w:pos="8290"/>
            </w:tabs>
            <w:rPr>
              <w:rFonts w:asciiTheme="minorHAnsi" w:eastAsiaTheme="minorEastAsia" w:hAnsiTheme="minorHAnsi" w:cstheme="minorBidi"/>
              <w:noProof/>
              <w:lang w:val="en-GB"/>
            </w:rPr>
          </w:pPr>
          <w:hyperlink w:anchor="_Toc526819301" w:history="1">
            <w:r w:rsidR="004A20C9" w:rsidRPr="00436E45">
              <w:rPr>
                <w:rStyle w:val="Hyperlink"/>
                <w:noProof/>
              </w:rPr>
              <w:t>4.3.1  The Masculine Sense of Self</w:t>
            </w:r>
            <w:r w:rsidR="004A20C9">
              <w:rPr>
                <w:noProof/>
                <w:webHidden/>
              </w:rPr>
              <w:tab/>
            </w:r>
            <w:r w:rsidR="004A20C9">
              <w:rPr>
                <w:noProof/>
                <w:webHidden/>
              </w:rPr>
              <w:fldChar w:fldCharType="begin"/>
            </w:r>
            <w:r w:rsidR="004A20C9">
              <w:rPr>
                <w:noProof/>
                <w:webHidden/>
              </w:rPr>
              <w:instrText xml:space="preserve"> PAGEREF _Toc526819301 \h </w:instrText>
            </w:r>
            <w:r w:rsidR="004A20C9">
              <w:rPr>
                <w:noProof/>
                <w:webHidden/>
              </w:rPr>
            </w:r>
            <w:r w:rsidR="004A20C9">
              <w:rPr>
                <w:noProof/>
                <w:webHidden/>
              </w:rPr>
              <w:fldChar w:fldCharType="separate"/>
            </w:r>
            <w:r w:rsidR="004A20C9">
              <w:rPr>
                <w:noProof/>
                <w:webHidden/>
              </w:rPr>
              <w:t>124</w:t>
            </w:r>
            <w:r w:rsidR="004A20C9">
              <w:rPr>
                <w:noProof/>
                <w:webHidden/>
              </w:rPr>
              <w:fldChar w:fldCharType="end"/>
            </w:r>
          </w:hyperlink>
        </w:p>
        <w:p w14:paraId="6558397A" w14:textId="3DF5CC13" w:rsidR="004A20C9" w:rsidRDefault="0082537D">
          <w:pPr>
            <w:pStyle w:val="TOC3"/>
            <w:tabs>
              <w:tab w:val="right" w:leader="dot" w:pos="8290"/>
            </w:tabs>
            <w:rPr>
              <w:rFonts w:asciiTheme="minorHAnsi" w:eastAsiaTheme="minorEastAsia" w:hAnsiTheme="minorHAnsi" w:cstheme="minorBidi"/>
              <w:noProof/>
              <w:lang w:val="en-GB"/>
            </w:rPr>
          </w:pPr>
          <w:hyperlink w:anchor="_Toc526819302" w:history="1">
            <w:r w:rsidR="004A20C9" w:rsidRPr="00436E45">
              <w:rPr>
                <w:rStyle w:val="Hyperlink"/>
                <w:noProof/>
              </w:rPr>
              <w:t>4.3.2  The Feminine Sense of Self</w:t>
            </w:r>
            <w:r w:rsidR="004A20C9">
              <w:rPr>
                <w:noProof/>
                <w:webHidden/>
              </w:rPr>
              <w:tab/>
            </w:r>
            <w:r w:rsidR="004A20C9">
              <w:rPr>
                <w:noProof/>
                <w:webHidden/>
              </w:rPr>
              <w:fldChar w:fldCharType="begin"/>
            </w:r>
            <w:r w:rsidR="004A20C9">
              <w:rPr>
                <w:noProof/>
                <w:webHidden/>
              </w:rPr>
              <w:instrText xml:space="preserve"> PAGEREF _Toc526819302 \h </w:instrText>
            </w:r>
            <w:r w:rsidR="004A20C9">
              <w:rPr>
                <w:noProof/>
                <w:webHidden/>
              </w:rPr>
            </w:r>
            <w:r w:rsidR="004A20C9">
              <w:rPr>
                <w:noProof/>
                <w:webHidden/>
              </w:rPr>
              <w:fldChar w:fldCharType="separate"/>
            </w:r>
            <w:r w:rsidR="004A20C9">
              <w:rPr>
                <w:noProof/>
                <w:webHidden/>
              </w:rPr>
              <w:t>126</w:t>
            </w:r>
            <w:r w:rsidR="004A20C9">
              <w:rPr>
                <w:noProof/>
                <w:webHidden/>
              </w:rPr>
              <w:fldChar w:fldCharType="end"/>
            </w:r>
          </w:hyperlink>
        </w:p>
        <w:p w14:paraId="04A1E985" w14:textId="64654009" w:rsidR="004A20C9" w:rsidRDefault="0082537D">
          <w:pPr>
            <w:pStyle w:val="TOC2"/>
            <w:tabs>
              <w:tab w:val="right" w:leader="dot" w:pos="8290"/>
            </w:tabs>
            <w:rPr>
              <w:rFonts w:asciiTheme="minorHAnsi" w:eastAsiaTheme="minorEastAsia" w:hAnsiTheme="minorHAnsi" w:cstheme="minorBidi"/>
              <w:noProof/>
              <w:lang w:val="en-GB"/>
            </w:rPr>
          </w:pPr>
          <w:hyperlink w:anchor="_Toc526819303" w:history="1">
            <w:r w:rsidR="004A20C9" w:rsidRPr="00436E45">
              <w:rPr>
                <w:rStyle w:val="Hyperlink"/>
                <w:noProof/>
              </w:rPr>
              <w:t>4.4  Family, Gender and Revolution</w:t>
            </w:r>
            <w:r w:rsidR="004A20C9">
              <w:rPr>
                <w:noProof/>
                <w:webHidden/>
              </w:rPr>
              <w:tab/>
            </w:r>
            <w:r w:rsidR="004A20C9">
              <w:rPr>
                <w:noProof/>
                <w:webHidden/>
              </w:rPr>
              <w:fldChar w:fldCharType="begin"/>
            </w:r>
            <w:r w:rsidR="004A20C9">
              <w:rPr>
                <w:noProof/>
                <w:webHidden/>
              </w:rPr>
              <w:instrText xml:space="preserve"> PAGEREF _Toc526819303 \h </w:instrText>
            </w:r>
            <w:r w:rsidR="004A20C9">
              <w:rPr>
                <w:noProof/>
                <w:webHidden/>
              </w:rPr>
            </w:r>
            <w:r w:rsidR="004A20C9">
              <w:rPr>
                <w:noProof/>
                <w:webHidden/>
              </w:rPr>
              <w:fldChar w:fldCharType="separate"/>
            </w:r>
            <w:r w:rsidR="004A20C9">
              <w:rPr>
                <w:noProof/>
                <w:webHidden/>
              </w:rPr>
              <w:t>127</w:t>
            </w:r>
            <w:r w:rsidR="004A20C9">
              <w:rPr>
                <w:noProof/>
                <w:webHidden/>
              </w:rPr>
              <w:fldChar w:fldCharType="end"/>
            </w:r>
          </w:hyperlink>
        </w:p>
        <w:p w14:paraId="528851E1" w14:textId="6AF0B281" w:rsidR="004A20C9" w:rsidRDefault="0082537D">
          <w:pPr>
            <w:pStyle w:val="TOC2"/>
            <w:tabs>
              <w:tab w:val="right" w:leader="dot" w:pos="8290"/>
            </w:tabs>
            <w:rPr>
              <w:rFonts w:asciiTheme="minorHAnsi" w:eastAsiaTheme="minorEastAsia" w:hAnsiTheme="minorHAnsi" w:cstheme="minorBidi"/>
              <w:noProof/>
              <w:lang w:val="en-GB"/>
            </w:rPr>
          </w:pPr>
          <w:hyperlink w:anchor="_Toc526819304" w:history="1">
            <w:r w:rsidR="004A20C9" w:rsidRPr="00436E45">
              <w:rPr>
                <w:rStyle w:val="Hyperlink"/>
                <w:noProof/>
              </w:rPr>
              <w:t>4.5  The Gendered Burden of Development in Nicaragua and New Masculinities in Post-Revolutionary Nicaragua</w:t>
            </w:r>
            <w:r w:rsidR="004A20C9">
              <w:rPr>
                <w:noProof/>
                <w:webHidden/>
              </w:rPr>
              <w:tab/>
            </w:r>
            <w:r w:rsidR="004A20C9">
              <w:rPr>
                <w:noProof/>
                <w:webHidden/>
              </w:rPr>
              <w:fldChar w:fldCharType="begin"/>
            </w:r>
            <w:r w:rsidR="004A20C9">
              <w:rPr>
                <w:noProof/>
                <w:webHidden/>
              </w:rPr>
              <w:instrText xml:space="preserve"> PAGEREF _Toc526819304 \h </w:instrText>
            </w:r>
            <w:r w:rsidR="004A20C9">
              <w:rPr>
                <w:noProof/>
                <w:webHidden/>
              </w:rPr>
            </w:r>
            <w:r w:rsidR="004A20C9">
              <w:rPr>
                <w:noProof/>
                <w:webHidden/>
              </w:rPr>
              <w:fldChar w:fldCharType="separate"/>
            </w:r>
            <w:r w:rsidR="004A20C9">
              <w:rPr>
                <w:noProof/>
                <w:webHidden/>
              </w:rPr>
              <w:t>132</w:t>
            </w:r>
            <w:r w:rsidR="004A20C9">
              <w:rPr>
                <w:noProof/>
                <w:webHidden/>
              </w:rPr>
              <w:fldChar w:fldCharType="end"/>
            </w:r>
          </w:hyperlink>
        </w:p>
        <w:p w14:paraId="52BA1847" w14:textId="4C3066A4" w:rsidR="004A20C9" w:rsidRDefault="0082537D">
          <w:pPr>
            <w:pStyle w:val="TOC2"/>
            <w:tabs>
              <w:tab w:val="right" w:leader="dot" w:pos="8290"/>
            </w:tabs>
            <w:rPr>
              <w:rFonts w:asciiTheme="minorHAnsi" w:eastAsiaTheme="minorEastAsia" w:hAnsiTheme="minorHAnsi" w:cstheme="minorBidi"/>
              <w:noProof/>
              <w:lang w:val="en-GB"/>
            </w:rPr>
          </w:pPr>
          <w:hyperlink w:anchor="_Toc526819305" w:history="1">
            <w:r w:rsidR="004A20C9" w:rsidRPr="00436E45">
              <w:rPr>
                <w:rStyle w:val="Hyperlink"/>
                <w:noProof/>
              </w:rPr>
              <w:t>4.6  Gender and Fair Trade in Nicaragua</w:t>
            </w:r>
            <w:r w:rsidR="004A20C9">
              <w:rPr>
                <w:noProof/>
                <w:webHidden/>
              </w:rPr>
              <w:tab/>
            </w:r>
            <w:r w:rsidR="004A20C9">
              <w:rPr>
                <w:noProof/>
                <w:webHidden/>
              </w:rPr>
              <w:fldChar w:fldCharType="begin"/>
            </w:r>
            <w:r w:rsidR="004A20C9">
              <w:rPr>
                <w:noProof/>
                <w:webHidden/>
              </w:rPr>
              <w:instrText xml:space="preserve"> PAGEREF _Toc526819305 \h </w:instrText>
            </w:r>
            <w:r w:rsidR="004A20C9">
              <w:rPr>
                <w:noProof/>
                <w:webHidden/>
              </w:rPr>
            </w:r>
            <w:r w:rsidR="004A20C9">
              <w:rPr>
                <w:noProof/>
                <w:webHidden/>
              </w:rPr>
              <w:fldChar w:fldCharType="separate"/>
            </w:r>
            <w:r w:rsidR="004A20C9">
              <w:rPr>
                <w:noProof/>
                <w:webHidden/>
              </w:rPr>
              <w:t>136</w:t>
            </w:r>
            <w:r w:rsidR="004A20C9">
              <w:rPr>
                <w:noProof/>
                <w:webHidden/>
              </w:rPr>
              <w:fldChar w:fldCharType="end"/>
            </w:r>
          </w:hyperlink>
        </w:p>
        <w:p w14:paraId="48423914" w14:textId="6FF077E3" w:rsidR="004A20C9" w:rsidRDefault="0082537D">
          <w:pPr>
            <w:pStyle w:val="TOC2"/>
            <w:tabs>
              <w:tab w:val="right" w:leader="dot" w:pos="8290"/>
            </w:tabs>
            <w:rPr>
              <w:rFonts w:asciiTheme="minorHAnsi" w:eastAsiaTheme="minorEastAsia" w:hAnsiTheme="minorHAnsi" w:cstheme="minorBidi"/>
              <w:noProof/>
              <w:lang w:val="en-GB"/>
            </w:rPr>
          </w:pPr>
          <w:hyperlink w:anchor="_Toc526819306" w:history="1">
            <w:r w:rsidR="004A20C9" w:rsidRPr="00436E45">
              <w:rPr>
                <w:rStyle w:val="Hyperlink"/>
                <w:noProof/>
              </w:rPr>
              <w:t>4.7  Case Studies</w:t>
            </w:r>
            <w:r w:rsidR="004A20C9">
              <w:rPr>
                <w:noProof/>
                <w:webHidden/>
              </w:rPr>
              <w:tab/>
            </w:r>
            <w:r w:rsidR="004A20C9">
              <w:rPr>
                <w:noProof/>
                <w:webHidden/>
              </w:rPr>
              <w:fldChar w:fldCharType="begin"/>
            </w:r>
            <w:r w:rsidR="004A20C9">
              <w:rPr>
                <w:noProof/>
                <w:webHidden/>
              </w:rPr>
              <w:instrText xml:space="preserve"> PAGEREF _Toc526819306 \h </w:instrText>
            </w:r>
            <w:r w:rsidR="004A20C9">
              <w:rPr>
                <w:noProof/>
                <w:webHidden/>
              </w:rPr>
            </w:r>
            <w:r w:rsidR="004A20C9">
              <w:rPr>
                <w:noProof/>
                <w:webHidden/>
              </w:rPr>
              <w:fldChar w:fldCharType="separate"/>
            </w:r>
            <w:r w:rsidR="004A20C9">
              <w:rPr>
                <w:noProof/>
                <w:webHidden/>
              </w:rPr>
              <w:t>137</w:t>
            </w:r>
            <w:r w:rsidR="004A20C9">
              <w:rPr>
                <w:noProof/>
                <w:webHidden/>
              </w:rPr>
              <w:fldChar w:fldCharType="end"/>
            </w:r>
          </w:hyperlink>
        </w:p>
        <w:p w14:paraId="2F949393" w14:textId="22C5BF23" w:rsidR="004A20C9" w:rsidRDefault="0082537D">
          <w:pPr>
            <w:pStyle w:val="TOC3"/>
            <w:tabs>
              <w:tab w:val="right" w:leader="dot" w:pos="8290"/>
            </w:tabs>
            <w:rPr>
              <w:rFonts w:asciiTheme="minorHAnsi" w:eastAsiaTheme="minorEastAsia" w:hAnsiTheme="minorHAnsi" w:cstheme="minorBidi"/>
              <w:noProof/>
              <w:lang w:val="en-GB"/>
            </w:rPr>
          </w:pPr>
          <w:hyperlink w:anchor="_Toc526819307" w:history="1">
            <w:r w:rsidR="004A20C9" w:rsidRPr="00436E45">
              <w:rPr>
                <w:rStyle w:val="Hyperlink"/>
                <w:noProof/>
              </w:rPr>
              <w:t>4.7.1  Sesame Case Study</w:t>
            </w:r>
            <w:r w:rsidR="004A20C9">
              <w:rPr>
                <w:noProof/>
                <w:webHidden/>
              </w:rPr>
              <w:tab/>
            </w:r>
            <w:r w:rsidR="004A20C9">
              <w:rPr>
                <w:noProof/>
                <w:webHidden/>
              </w:rPr>
              <w:fldChar w:fldCharType="begin"/>
            </w:r>
            <w:r w:rsidR="004A20C9">
              <w:rPr>
                <w:noProof/>
                <w:webHidden/>
              </w:rPr>
              <w:instrText xml:space="preserve"> PAGEREF _Toc526819307 \h </w:instrText>
            </w:r>
            <w:r w:rsidR="004A20C9">
              <w:rPr>
                <w:noProof/>
                <w:webHidden/>
              </w:rPr>
            </w:r>
            <w:r w:rsidR="004A20C9">
              <w:rPr>
                <w:noProof/>
                <w:webHidden/>
              </w:rPr>
              <w:fldChar w:fldCharType="separate"/>
            </w:r>
            <w:r w:rsidR="004A20C9">
              <w:rPr>
                <w:noProof/>
                <w:webHidden/>
              </w:rPr>
              <w:t>137</w:t>
            </w:r>
            <w:r w:rsidR="004A20C9">
              <w:rPr>
                <w:noProof/>
                <w:webHidden/>
              </w:rPr>
              <w:fldChar w:fldCharType="end"/>
            </w:r>
          </w:hyperlink>
        </w:p>
        <w:p w14:paraId="71EE4A09" w14:textId="0DB266D3" w:rsidR="004A20C9" w:rsidRDefault="0082537D">
          <w:pPr>
            <w:pStyle w:val="TOC4"/>
            <w:tabs>
              <w:tab w:val="right" w:leader="dot" w:pos="8290"/>
            </w:tabs>
            <w:rPr>
              <w:rFonts w:asciiTheme="minorHAnsi" w:eastAsiaTheme="minorEastAsia" w:hAnsiTheme="minorHAnsi" w:cstheme="minorBidi"/>
              <w:noProof/>
              <w:lang w:val="en-GB"/>
            </w:rPr>
          </w:pPr>
          <w:hyperlink w:anchor="_Toc526819308" w:history="1">
            <w:r w:rsidR="004A20C9" w:rsidRPr="00436E45">
              <w:rPr>
                <w:rStyle w:val="Hyperlink"/>
                <w:noProof/>
              </w:rPr>
              <w:t>4.7.1.1 Sesame Crop</w:t>
            </w:r>
            <w:r w:rsidR="004A20C9">
              <w:rPr>
                <w:noProof/>
                <w:webHidden/>
              </w:rPr>
              <w:tab/>
            </w:r>
            <w:r w:rsidR="004A20C9">
              <w:rPr>
                <w:noProof/>
                <w:webHidden/>
              </w:rPr>
              <w:fldChar w:fldCharType="begin"/>
            </w:r>
            <w:r w:rsidR="004A20C9">
              <w:rPr>
                <w:noProof/>
                <w:webHidden/>
              </w:rPr>
              <w:instrText xml:space="preserve"> PAGEREF _Toc526819308 \h </w:instrText>
            </w:r>
            <w:r w:rsidR="004A20C9">
              <w:rPr>
                <w:noProof/>
                <w:webHidden/>
              </w:rPr>
            </w:r>
            <w:r w:rsidR="004A20C9">
              <w:rPr>
                <w:noProof/>
                <w:webHidden/>
              </w:rPr>
              <w:fldChar w:fldCharType="separate"/>
            </w:r>
            <w:r w:rsidR="004A20C9">
              <w:rPr>
                <w:noProof/>
                <w:webHidden/>
              </w:rPr>
              <w:t>137</w:t>
            </w:r>
            <w:r w:rsidR="004A20C9">
              <w:rPr>
                <w:noProof/>
                <w:webHidden/>
              </w:rPr>
              <w:fldChar w:fldCharType="end"/>
            </w:r>
          </w:hyperlink>
        </w:p>
        <w:p w14:paraId="5D9B4117" w14:textId="2963F4F7" w:rsidR="004A20C9" w:rsidRDefault="0082537D">
          <w:pPr>
            <w:pStyle w:val="TOC4"/>
            <w:tabs>
              <w:tab w:val="right" w:leader="dot" w:pos="8290"/>
            </w:tabs>
            <w:rPr>
              <w:rFonts w:asciiTheme="minorHAnsi" w:eastAsiaTheme="minorEastAsia" w:hAnsiTheme="minorHAnsi" w:cstheme="minorBidi"/>
              <w:noProof/>
              <w:lang w:val="en-GB"/>
            </w:rPr>
          </w:pPr>
          <w:hyperlink w:anchor="_Toc526819309" w:history="1">
            <w:r w:rsidR="004A20C9" w:rsidRPr="00436E45">
              <w:rPr>
                <w:rStyle w:val="Hyperlink"/>
                <w:noProof/>
              </w:rPr>
              <w:t>4.7.1.2 Cooperativa Juan Francisco Paz de Silva</w:t>
            </w:r>
            <w:r w:rsidR="004A20C9">
              <w:rPr>
                <w:noProof/>
                <w:webHidden/>
              </w:rPr>
              <w:tab/>
            </w:r>
            <w:r w:rsidR="004A20C9">
              <w:rPr>
                <w:noProof/>
                <w:webHidden/>
              </w:rPr>
              <w:fldChar w:fldCharType="begin"/>
            </w:r>
            <w:r w:rsidR="004A20C9">
              <w:rPr>
                <w:noProof/>
                <w:webHidden/>
              </w:rPr>
              <w:instrText xml:space="preserve"> PAGEREF _Toc526819309 \h </w:instrText>
            </w:r>
            <w:r w:rsidR="004A20C9">
              <w:rPr>
                <w:noProof/>
                <w:webHidden/>
              </w:rPr>
            </w:r>
            <w:r w:rsidR="004A20C9">
              <w:rPr>
                <w:noProof/>
                <w:webHidden/>
              </w:rPr>
              <w:fldChar w:fldCharType="separate"/>
            </w:r>
            <w:r w:rsidR="004A20C9">
              <w:rPr>
                <w:noProof/>
                <w:webHidden/>
              </w:rPr>
              <w:t>139</w:t>
            </w:r>
            <w:r w:rsidR="004A20C9">
              <w:rPr>
                <w:noProof/>
                <w:webHidden/>
              </w:rPr>
              <w:fldChar w:fldCharType="end"/>
            </w:r>
          </w:hyperlink>
        </w:p>
        <w:p w14:paraId="281CF915" w14:textId="1925151F" w:rsidR="004A20C9" w:rsidRDefault="0082537D">
          <w:pPr>
            <w:pStyle w:val="TOC4"/>
            <w:tabs>
              <w:tab w:val="right" w:leader="dot" w:pos="8290"/>
            </w:tabs>
            <w:rPr>
              <w:rFonts w:asciiTheme="minorHAnsi" w:eastAsiaTheme="minorEastAsia" w:hAnsiTheme="minorHAnsi" w:cstheme="minorBidi"/>
              <w:noProof/>
              <w:lang w:val="en-GB"/>
            </w:rPr>
          </w:pPr>
          <w:hyperlink w:anchor="_Toc526819310" w:history="1">
            <w:r w:rsidR="004A20C9" w:rsidRPr="00436E45">
              <w:rPr>
                <w:rStyle w:val="Hyperlink"/>
                <w:noProof/>
              </w:rPr>
              <w:t>4.7.1.3 The Buyers: Ético and Body Shop International</w:t>
            </w:r>
            <w:r w:rsidR="004A20C9">
              <w:rPr>
                <w:noProof/>
                <w:webHidden/>
              </w:rPr>
              <w:tab/>
            </w:r>
            <w:r w:rsidR="004A20C9">
              <w:rPr>
                <w:noProof/>
                <w:webHidden/>
              </w:rPr>
              <w:fldChar w:fldCharType="begin"/>
            </w:r>
            <w:r w:rsidR="004A20C9">
              <w:rPr>
                <w:noProof/>
                <w:webHidden/>
              </w:rPr>
              <w:instrText xml:space="preserve"> PAGEREF _Toc526819310 \h </w:instrText>
            </w:r>
            <w:r w:rsidR="004A20C9">
              <w:rPr>
                <w:noProof/>
                <w:webHidden/>
              </w:rPr>
            </w:r>
            <w:r w:rsidR="004A20C9">
              <w:rPr>
                <w:noProof/>
                <w:webHidden/>
              </w:rPr>
              <w:fldChar w:fldCharType="separate"/>
            </w:r>
            <w:r w:rsidR="004A20C9">
              <w:rPr>
                <w:noProof/>
                <w:webHidden/>
              </w:rPr>
              <w:t>140</w:t>
            </w:r>
            <w:r w:rsidR="004A20C9">
              <w:rPr>
                <w:noProof/>
                <w:webHidden/>
              </w:rPr>
              <w:fldChar w:fldCharType="end"/>
            </w:r>
          </w:hyperlink>
        </w:p>
        <w:p w14:paraId="7A8C596A" w14:textId="3457D8C7" w:rsidR="004A20C9" w:rsidRDefault="0082537D">
          <w:pPr>
            <w:pStyle w:val="TOC4"/>
            <w:tabs>
              <w:tab w:val="right" w:leader="dot" w:pos="8290"/>
            </w:tabs>
            <w:rPr>
              <w:rFonts w:asciiTheme="minorHAnsi" w:eastAsiaTheme="minorEastAsia" w:hAnsiTheme="minorHAnsi" w:cstheme="minorBidi"/>
              <w:noProof/>
              <w:lang w:val="en-GB"/>
            </w:rPr>
          </w:pPr>
          <w:hyperlink w:anchor="_Toc526819311" w:history="1">
            <w:r w:rsidR="004A20C9" w:rsidRPr="00436E45">
              <w:rPr>
                <w:rStyle w:val="Hyperlink"/>
                <w:noProof/>
              </w:rPr>
              <w:t>4.7.1.4 The Pricing Model for CFJPS</w:t>
            </w:r>
            <w:r w:rsidR="004A20C9">
              <w:rPr>
                <w:noProof/>
                <w:webHidden/>
              </w:rPr>
              <w:tab/>
            </w:r>
            <w:r w:rsidR="004A20C9">
              <w:rPr>
                <w:noProof/>
                <w:webHidden/>
              </w:rPr>
              <w:fldChar w:fldCharType="begin"/>
            </w:r>
            <w:r w:rsidR="004A20C9">
              <w:rPr>
                <w:noProof/>
                <w:webHidden/>
              </w:rPr>
              <w:instrText xml:space="preserve"> PAGEREF _Toc526819311 \h </w:instrText>
            </w:r>
            <w:r w:rsidR="004A20C9">
              <w:rPr>
                <w:noProof/>
                <w:webHidden/>
              </w:rPr>
            </w:r>
            <w:r w:rsidR="004A20C9">
              <w:rPr>
                <w:noProof/>
                <w:webHidden/>
              </w:rPr>
              <w:fldChar w:fldCharType="separate"/>
            </w:r>
            <w:r w:rsidR="004A20C9">
              <w:rPr>
                <w:noProof/>
                <w:webHidden/>
              </w:rPr>
              <w:t>141</w:t>
            </w:r>
            <w:r w:rsidR="004A20C9">
              <w:rPr>
                <w:noProof/>
                <w:webHidden/>
              </w:rPr>
              <w:fldChar w:fldCharType="end"/>
            </w:r>
          </w:hyperlink>
        </w:p>
        <w:p w14:paraId="754F3FF3" w14:textId="02F31FC1" w:rsidR="004A20C9" w:rsidRDefault="0082537D">
          <w:pPr>
            <w:pStyle w:val="TOC3"/>
            <w:tabs>
              <w:tab w:val="right" w:leader="dot" w:pos="8290"/>
            </w:tabs>
            <w:rPr>
              <w:rFonts w:asciiTheme="minorHAnsi" w:eastAsiaTheme="minorEastAsia" w:hAnsiTheme="minorHAnsi" w:cstheme="minorBidi"/>
              <w:noProof/>
              <w:lang w:val="en-GB"/>
            </w:rPr>
          </w:pPr>
          <w:hyperlink w:anchor="_Toc526819312" w:history="1">
            <w:r w:rsidR="004A20C9" w:rsidRPr="00436E45">
              <w:rPr>
                <w:rStyle w:val="Hyperlink"/>
                <w:noProof/>
              </w:rPr>
              <w:t>4.7.2  Coffee Case Study</w:t>
            </w:r>
            <w:r w:rsidR="004A20C9">
              <w:rPr>
                <w:noProof/>
                <w:webHidden/>
              </w:rPr>
              <w:tab/>
            </w:r>
            <w:r w:rsidR="004A20C9">
              <w:rPr>
                <w:noProof/>
                <w:webHidden/>
              </w:rPr>
              <w:fldChar w:fldCharType="begin"/>
            </w:r>
            <w:r w:rsidR="004A20C9">
              <w:rPr>
                <w:noProof/>
                <w:webHidden/>
              </w:rPr>
              <w:instrText xml:space="preserve"> PAGEREF _Toc526819312 \h </w:instrText>
            </w:r>
            <w:r w:rsidR="004A20C9">
              <w:rPr>
                <w:noProof/>
                <w:webHidden/>
              </w:rPr>
            </w:r>
            <w:r w:rsidR="004A20C9">
              <w:rPr>
                <w:noProof/>
                <w:webHidden/>
              </w:rPr>
              <w:fldChar w:fldCharType="separate"/>
            </w:r>
            <w:r w:rsidR="004A20C9">
              <w:rPr>
                <w:noProof/>
                <w:webHidden/>
              </w:rPr>
              <w:t>145</w:t>
            </w:r>
            <w:r w:rsidR="004A20C9">
              <w:rPr>
                <w:noProof/>
                <w:webHidden/>
              </w:rPr>
              <w:fldChar w:fldCharType="end"/>
            </w:r>
          </w:hyperlink>
        </w:p>
        <w:p w14:paraId="7C5544A2" w14:textId="1F209382" w:rsidR="004A20C9" w:rsidRDefault="0082537D">
          <w:pPr>
            <w:pStyle w:val="TOC4"/>
            <w:tabs>
              <w:tab w:val="right" w:leader="dot" w:pos="8290"/>
            </w:tabs>
            <w:rPr>
              <w:rFonts w:asciiTheme="minorHAnsi" w:eastAsiaTheme="minorEastAsia" w:hAnsiTheme="minorHAnsi" w:cstheme="minorBidi"/>
              <w:noProof/>
              <w:lang w:val="en-GB"/>
            </w:rPr>
          </w:pPr>
          <w:hyperlink w:anchor="_Toc526819313" w:history="1">
            <w:r w:rsidR="004A20C9" w:rsidRPr="00436E45">
              <w:rPr>
                <w:rStyle w:val="Hyperlink"/>
                <w:noProof/>
              </w:rPr>
              <w:t>4.7.2.1 Coffee Crop</w:t>
            </w:r>
            <w:r w:rsidR="004A20C9">
              <w:rPr>
                <w:noProof/>
                <w:webHidden/>
              </w:rPr>
              <w:tab/>
            </w:r>
            <w:r w:rsidR="004A20C9">
              <w:rPr>
                <w:noProof/>
                <w:webHidden/>
              </w:rPr>
              <w:fldChar w:fldCharType="begin"/>
            </w:r>
            <w:r w:rsidR="004A20C9">
              <w:rPr>
                <w:noProof/>
                <w:webHidden/>
              </w:rPr>
              <w:instrText xml:space="preserve"> PAGEREF _Toc526819313 \h </w:instrText>
            </w:r>
            <w:r w:rsidR="004A20C9">
              <w:rPr>
                <w:noProof/>
                <w:webHidden/>
              </w:rPr>
            </w:r>
            <w:r w:rsidR="004A20C9">
              <w:rPr>
                <w:noProof/>
                <w:webHidden/>
              </w:rPr>
              <w:fldChar w:fldCharType="separate"/>
            </w:r>
            <w:r w:rsidR="004A20C9">
              <w:rPr>
                <w:noProof/>
                <w:webHidden/>
              </w:rPr>
              <w:t>145</w:t>
            </w:r>
            <w:r w:rsidR="004A20C9">
              <w:rPr>
                <w:noProof/>
                <w:webHidden/>
              </w:rPr>
              <w:fldChar w:fldCharType="end"/>
            </w:r>
          </w:hyperlink>
        </w:p>
        <w:p w14:paraId="6E3708B0" w14:textId="7E243830" w:rsidR="004A20C9" w:rsidRDefault="0082537D">
          <w:pPr>
            <w:pStyle w:val="TOC4"/>
            <w:tabs>
              <w:tab w:val="right" w:leader="dot" w:pos="8290"/>
            </w:tabs>
            <w:rPr>
              <w:rFonts w:asciiTheme="minorHAnsi" w:eastAsiaTheme="minorEastAsia" w:hAnsiTheme="minorHAnsi" w:cstheme="minorBidi"/>
              <w:noProof/>
              <w:lang w:val="en-GB"/>
            </w:rPr>
          </w:pPr>
          <w:hyperlink w:anchor="_Toc526819314" w:history="1">
            <w:r w:rsidR="004A20C9" w:rsidRPr="00436E45">
              <w:rPr>
                <w:rStyle w:val="Hyperlink"/>
                <w:noProof/>
              </w:rPr>
              <w:t>4.7.4.2 Cooperatives in Case Study</w:t>
            </w:r>
            <w:r w:rsidR="004A20C9">
              <w:rPr>
                <w:noProof/>
                <w:webHidden/>
              </w:rPr>
              <w:tab/>
            </w:r>
            <w:r w:rsidR="004A20C9">
              <w:rPr>
                <w:noProof/>
                <w:webHidden/>
              </w:rPr>
              <w:fldChar w:fldCharType="begin"/>
            </w:r>
            <w:r w:rsidR="004A20C9">
              <w:rPr>
                <w:noProof/>
                <w:webHidden/>
              </w:rPr>
              <w:instrText xml:space="preserve"> PAGEREF _Toc526819314 \h </w:instrText>
            </w:r>
            <w:r w:rsidR="004A20C9">
              <w:rPr>
                <w:noProof/>
                <w:webHidden/>
              </w:rPr>
            </w:r>
            <w:r w:rsidR="004A20C9">
              <w:rPr>
                <w:noProof/>
                <w:webHidden/>
              </w:rPr>
              <w:fldChar w:fldCharType="separate"/>
            </w:r>
            <w:r w:rsidR="004A20C9">
              <w:rPr>
                <w:noProof/>
                <w:webHidden/>
              </w:rPr>
              <w:t>146</w:t>
            </w:r>
            <w:r w:rsidR="004A20C9">
              <w:rPr>
                <w:noProof/>
                <w:webHidden/>
              </w:rPr>
              <w:fldChar w:fldCharType="end"/>
            </w:r>
          </w:hyperlink>
        </w:p>
        <w:p w14:paraId="5055424B" w14:textId="2481A4AB" w:rsidR="004A20C9" w:rsidRDefault="0082537D">
          <w:pPr>
            <w:pStyle w:val="TOC4"/>
            <w:tabs>
              <w:tab w:val="right" w:leader="dot" w:pos="8290"/>
            </w:tabs>
            <w:rPr>
              <w:rFonts w:asciiTheme="minorHAnsi" w:eastAsiaTheme="minorEastAsia" w:hAnsiTheme="minorHAnsi" w:cstheme="minorBidi"/>
              <w:noProof/>
              <w:lang w:val="en-GB"/>
            </w:rPr>
          </w:pPr>
          <w:hyperlink w:anchor="_Toc526819315" w:history="1">
            <w:r w:rsidR="004A20C9" w:rsidRPr="00436E45">
              <w:rPr>
                <w:rStyle w:val="Hyperlink"/>
                <w:noProof/>
              </w:rPr>
              <w:t xml:space="preserve">4.7.4.3 </w:t>
            </w:r>
            <w:r w:rsidR="004A20C9" w:rsidRPr="00436E45">
              <w:rPr>
                <w:rStyle w:val="Hyperlink"/>
                <w:bCs/>
                <w:noProof/>
              </w:rPr>
              <w:t>Buyers in Case Study: The Community Agroecology Network</w:t>
            </w:r>
            <w:r w:rsidR="004A20C9">
              <w:rPr>
                <w:noProof/>
                <w:webHidden/>
              </w:rPr>
              <w:tab/>
            </w:r>
            <w:r w:rsidR="004A20C9">
              <w:rPr>
                <w:noProof/>
                <w:webHidden/>
              </w:rPr>
              <w:fldChar w:fldCharType="begin"/>
            </w:r>
            <w:r w:rsidR="004A20C9">
              <w:rPr>
                <w:noProof/>
                <w:webHidden/>
              </w:rPr>
              <w:instrText xml:space="preserve"> PAGEREF _Toc526819315 \h </w:instrText>
            </w:r>
            <w:r w:rsidR="004A20C9">
              <w:rPr>
                <w:noProof/>
                <w:webHidden/>
              </w:rPr>
            </w:r>
            <w:r w:rsidR="004A20C9">
              <w:rPr>
                <w:noProof/>
                <w:webHidden/>
              </w:rPr>
              <w:fldChar w:fldCharType="separate"/>
            </w:r>
            <w:r w:rsidR="004A20C9">
              <w:rPr>
                <w:noProof/>
                <w:webHidden/>
              </w:rPr>
              <w:t>149</w:t>
            </w:r>
            <w:r w:rsidR="004A20C9">
              <w:rPr>
                <w:noProof/>
                <w:webHidden/>
              </w:rPr>
              <w:fldChar w:fldCharType="end"/>
            </w:r>
          </w:hyperlink>
        </w:p>
        <w:p w14:paraId="71DD28E9" w14:textId="0BDA8F83" w:rsidR="004A20C9" w:rsidRDefault="0082537D">
          <w:pPr>
            <w:pStyle w:val="TOC4"/>
            <w:tabs>
              <w:tab w:val="right" w:leader="dot" w:pos="8290"/>
            </w:tabs>
            <w:rPr>
              <w:rFonts w:asciiTheme="minorHAnsi" w:eastAsiaTheme="minorEastAsia" w:hAnsiTheme="minorHAnsi" w:cstheme="minorBidi"/>
              <w:noProof/>
              <w:lang w:val="en-GB"/>
            </w:rPr>
          </w:pPr>
          <w:hyperlink w:anchor="_Toc526819316" w:history="1">
            <w:r w:rsidR="004A20C9" w:rsidRPr="00436E45">
              <w:rPr>
                <w:rStyle w:val="Hyperlink"/>
                <w:noProof/>
              </w:rPr>
              <w:t>4.7.4.4 The Pricing Model for UCA San Ramón</w:t>
            </w:r>
            <w:r w:rsidR="004A20C9">
              <w:rPr>
                <w:noProof/>
                <w:webHidden/>
              </w:rPr>
              <w:tab/>
            </w:r>
            <w:r w:rsidR="004A20C9">
              <w:rPr>
                <w:noProof/>
                <w:webHidden/>
              </w:rPr>
              <w:fldChar w:fldCharType="begin"/>
            </w:r>
            <w:r w:rsidR="004A20C9">
              <w:rPr>
                <w:noProof/>
                <w:webHidden/>
              </w:rPr>
              <w:instrText xml:space="preserve"> PAGEREF _Toc526819316 \h </w:instrText>
            </w:r>
            <w:r w:rsidR="004A20C9">
              <w:rPr>
                <w:noProof/>
                <w:webHidden/>
              </w:rPr>
            </w:r>
            <w:r w:rsidR="004A20C9">
              <w:rPr>
                <w:noProof/>
                <w:webHidden/>
              </w:rPr>
              <w:fldChar w:fldCharType="separate"/>
            </w:r>
            <w:r w:rsidR="004A20C9">
              <w:rPr>
                <w:noProof/>
                <w:webHidden/>
              </w:rPr>
              <w:t>149</w:t>
            </w:r>
            <w:r w:rsidR="004A20C9">
              <w:rPr>
                <w:noProof/>
                <w:webHidden/>
              </w:rPr>
              <w:fldChar w:fldCharType="end"/>
            </w:r>
          </w:hyperlink>
        </w:p>
        <w:p w14:paraId="4C77618A" w14:textId="08AC0D04" w:rsidR="004A20C9" w:rsidRDefault="0082537D">
          <w:pPr>
            <w:pStyle w:val="TOC1"/>
            <w:tabs>
              <w:tab w:val="right" w:leader="dot" w:pos="8290"/>
            </w:tabs>
            <w:rPr>
              <w:rFonts w:asciiTheme="minorHAnsi" w:eastAsiaTheme="minorEastAsia" w:hAnsiTheme="minorHAnsi" w:cstheme="minorBidi"/>
              <w:noProof/>
              <w:lang w:val="en-GB"/>
            </w:rPr>
          </w:pPr>
          <w:hyperlink w:anchor="_Toc526819317" w:history="1">
            <w:r w:rsidR="004A20C9" w:rsidRPr="00436E45">
              <w:rPr>
                <w:rStyle w:val="Hyperlink"/>
                <w:rFonts w:eastAsia="MS Mincho"/>
                <w:noProof/>
              </w:rPr>
              <w:t>Chapter Five: Defining, Measuring and Valuing Time Use</w:t>
            </w:r>
            <w:r w:rsidR="004A20C9">
              <w:rPr>
                <w:noProof/>
                <w:webHidden/>
              </w:rPr>
              <w:tab/>
            </w:r>
            <w:r w:rsidR="004A20C9">
              <w:rPr>
                <w:noProof/>
                <w:webHidden/>
              </w:rPr>
              <w:fldChar w:fldCharType="begin"/>
            </w:r>
            <w:r w:rsidR="004A20C9">
              <w:rPr>
                <w:noProof/>
                <w:webHidden/>
              </w:rPr>
              <w:instrText xml:space="preserve"> PAGEREF _Toc526819317 \h </w:instrText>
            </w:r>
            <w:r w:rsidR="004A20C9">
              <w:rPr>
                <w:noProof/>
                <w:webHidden/>
              </w:rPr>
            </w:r>
            <w:r w:rsidR="004A20C9">
              <w:rPr>
                <w:noProof/>
                <w:webHidden/>
              </w:rPr>
              <w:fldChar w:fldCharType="separate"/>
            </w:r>
            <w:r w:rsidR="004A20C9">
              <w:rPr>
                <w:noProof/>
                <w:webHidden/>
              </w:rPr>
              <w:t>151</w:t>
            </w:r>
            <w:r w:rsidR="004A20C9">
              <w:rPr>
                <w:noProof/>
                <w:webHidden/>
              </w:rPr>
              <w:fldChar w:fldCharType="end"/>
            </w:r>
          </w:hyperlink>
        </w:p>
        <w:p w14:paraId="1AE5BE61" w14:textId="6497945D" w:rsidR="004A20C9" w:rsidRDefault="0082537D">
          <w:pPr>
            <w:pStyle w:val="TOC2"/>
            <w:tabs>
              <w:tab w:val="right" w:leader="dot" w:pos="8290"/>
            </w:tabs>
            <w:rPr>
              <w:rFonts w:asciiTheme="minorHAnsi" w:eastAsiaTheme="minorEastAsia" w:hAnsiTheme="minorHAnsi" w:cstheme="minorBidi"/>
              <w:noProof/>
              <w:lang w:val="en-GB"/>
            </w:rPr>
          </w:pPr>
          <w:hyperlink w:anchor="_Toc526819318" w:history="1">
            <w:r w:rsidR="004A20C9" w:rsidRPr="00436E45">
              <w:rPr>
                <w:rStyle w:val="Hyperlink"/>
                <w:rFonts w:eastAsia="MS Mincho"/>
                <w:noProof/>
                <w:lang w:val="en-GB"/>
              </w:rPr>
              <w:t>5.1  Introduction</w:t>
            </w:r>
            <w:r w:rsidR="004A20C9">
              <w:rPr>
                <w:noProof/>
                <w:webHidden/>
              </w:rPr>
              <w:tab/>
            </w:r>
            <w:r w:rsidR="004A20C9">
              <w:rPr>
                <w:noProof/>
                <w:webHidden/>
              </w:rPr>
              <w:fldChar w:fldCharType="begin"/>
            </w:r>
            <w:r w:rsidR="004A20C9">
              <w:rPr>
                <w:noProof/>
                <w:webHidden/>
              </w:rPr>
              <w:instrText xml:space="preserve"> PAGEREF _Toc526819318 \h </w:instrText>
            </w:r>
            <w:r w:rsidR="004A20C9">
              <w:rPr>
                <w:noProof/>
                <w:webHidden/>
              </w:rPr>
            </w:r>
            <w:r w:rsidR="004A20C9">
              <w:rPr>
                <w:noProof/>
                <w:webHidden/>
              </w:rPr>
              <w:fldChar w:fldCharType="separate"/>
            </w:r>
            <w:r w:rsidR="004A20C9">
              <w:rPr>
                <w:noProof/>
                <w:webHidden/>
              </w:rPr>
              <w:t>151</w:t>
            </w:r>
            <w:r w:rsidR="004A20C9">
              <w:rPr>
                <w:noProof/>
                <w:webHidden/>
              </w:rPr>
              <w:fldChar w:fldCharType="end"/>
            </w:r>
          </w:hyperlink>
        </w:p>
        <w:p w14:paraId="7AC56182" w14:textId="123BD22C" w:rsidR="004A20C9" w:rsidRDefault="0082537D">
          <w:pPr>
            <w:pStyle w:val="TOC2"/>
            <w:tabs>
              <w:tab w:val="right" w:leader="dot" w:pos="8290"/>
            </w:tabs>
            <w:rPr>
              <w:rFonts w:asciiTheme="minorHAnsi" w:eastAsiaTheme="minorEastAsia" w:hAnsiTheme="minorHAnsi" w:cstheme="minorBidi"/>
              <w:noProof/>
              <w:lang w:val="en-GB"/>
            </w:rPr>
          </w:pPr>
          <w:hyperlink w:anchor="_Toc526819319" w:history="1">
            <w:r w:rsidR="004A20C9" w:rsidRPr="00436E45">
              <w:rPr>
                <w:rStyle w:val="Hyperlink"/>
                <w:rFonts w:eastAsia="MS Mincho"/>
                <w:noProof/>
                <w:lang w:val="en-GB"/>
              </w:rPr>
              <w:t>5.2  Defining Unpaid Work</w:t>
            </w:r>
            <w:r w:rsidR="004A20C9">
              <w:rPr>
                <w:noProof/>
                <w:webHidden/>
              </w:rPr>
              <w:tab/>
            </w:r>
            <w:r w:rsidR="004A20C9">
              <w:rPr>
                <w:noProof/>
                <w:webHidden/>
              </w:rPr>
              <w:fldChar w:fldCharType="begin"/>
            </w:r>
            <w:r w:rsidR="004A20C9">
              <w:rPr>
                <w:noProof/>
                <w:webHidden/>
              </w:rPr>
              <w:instrText xml:space="preserve"> PAGEREF _Toc526819319 \h </w:instrText>
            </w:r>
            <w:r w:rsidR="004A20C9">
              <w:rPr>
                <w:noProof/>
                <w:webHidden/>
              </w:rPr>
            </w:r>
            <w:r w:rsidR="004A20C9">
              <w:rPr>
                <w:noProof/>
                <w:webHidden/>
              </w:rPr>
              <w:fldChar w:fldCharType="separate"/>
            </w:r>
            <w:r w:rsidR="004A20C9">
              <w:rPr>
                <w:noProof/>
                <w:webHidden/>
              </w:rPr>
              <w:t>152</w:t>
            </w:r>
            <w:r w:rsidR="004A20C9">
              <w:rPr>
                <w:noProof/>
                <w:webHidden/>
              </w:rPr>
              <w:fldChar w:fldCharType="end"/>
            </w:r>
          </w:hyperlink>
        </w:p>
        <w:p w14:paraId="013AA301" w14:textId="31FB2BCA" w:rsidR="004A20C9" w:rsidRDefault="0082537D">
          <w:pPr>
            <w:pStyle w:val="TOC3"/>
            <w:tabs>
              <w:tab w:val="right" w:leader="dot" w:pos="8290"/>
            </w:tabs>
            <w:rPr>
              <w:rFonts w:asciiTheme="minorHAnsi" w:eastAsiaTheme="minorEastAsia" w:hAnsiTheme="minorHAnsi" w:cstheme="minorBidi"/>
              <w:noProof/>
              <w:lang w:val="en-GB"/>
            </w:rPr>
          </w:pPr>
          <w:hyperlink w:anchor="_Toc526819320" w:history="1">
            <w:r w:rsidR="004A20C9" w:rsidRPr="00436E45">
              <w:rPr>
                <w:rStyle w:val="Hyperlink"/>
                <w:rFonts w:eastAsia="MS Mincho"/>
                <w:noProof/>
              </w:rPr>
              <w:t>5.2.1  Household Stability</w:t>
            </w:r>
            <w:r w:rsidR="004A20C9">
              <w:rPr>
                <w:noProof/>
                <w:webHidden/>
              </w:rPr>
              <w:tab/>
            </w:r>
            <w:r w:rsidR="004A20C9">
              <w:rPr>
                <w:noProof/>
                <w:webHidden/>
              </w:rPr>
              <w:fldChar w:fldCharType="begin"/>
            </w:r>
            <w:r w:rsidR="004A20C9">
              <w:rPr>
                <w:noProof/>
                <w:webHidden/>
              </w:rPr>
              <w:instrText xml:space="preserve"> PAGEREF _Toc526819320 \h </w:instrText>
            </w:r>
            <w:r w:rsidR="004A20C9">
              <w:rPr>
                <w:noProof/>
                <w:webHidden/>
              </w:rPr>
            </w:r>
            <w:r w:rsidR="004A20C9">
              <w:rPr>
                <w:noProof/>
                <w:webHidden/>
              </w:rPr>
              <w:fldChar w:fldCharType="separate"/>
            </w:r>
            <w:r w:rsidR="004A20C9">
              <w:rPr>
                <w:noProof/>
                <w:webHidden/>
              </w:rPr>
              <w:t>158</w:t>
            </w:r>
            <w:r w:rsidR="004A20C9">
              <w:rPr>
                <w:noProof/>
                <w:webHidden/>
              </w:rPr>
              <w:fldChar w:fldCharType="end"/>
            </w:r>
          </w:hyperlink>
        </w:p>
        <w:p w14:paraId="418C0AB2" w14:textId="50FA8CFD" w:rsidR="004A20C9" w:rsidRDefault="0082537D">
          <w:pPr>
            <w:pStyle w:val="TOC3"/>
            <w:tabs>
              <w:tab w:val="right" w:leader="dot" w:pos="8290"/>
            </w:tabs>
            <w:rPr>
              <w:rFonts w:asciiTheme="minorHAnsi" w:eastAsiaTheme="minorEastAsia" w:hAnsiTheme="minorHAnsi" w:cstheme="minorBidi"/>
              <w:noProof/>
              <w:lang w:val="en-GB"/>
            </w:rPr>
          </w:pPr>
          <w:hyperlink w:anchor="_Toc526819321" w:history="1">
            <w:r w:rsidR="004A20C9" w:rsidRPr="00436E45">
              <w:rPr>
                <w:rStyle w:val="Hyperlink"/>
                <w:rFonts w:eastAsia="MS Mincho"/>
                <w:noProof/>
              </w:rPr>
              <w:t>5.2.2  Unpaid Work and Male Oppression: ‘Rojo y Negro’ (Red and Black Work)</w:t>
            </w:r>
            <w:r w:rsidR="004A20C9">
              <w:rPr>
                <w:noProof/>
                <w:webHidden/>
              </w:rPr>
              <w:tab/>
            </w:r>
            <w:r w:rsidR="004A20C9">
              <w:rPr>
                <w:noProof/>
                <w:webHidden/>
              </w:rPr>
              <w:fldChar w:fldCharType="begin"/>
            </w:r>
            <w:r w:rsidR="004A20C9">
              <w:rPr>
                <w:noProof/>
                <w:webHidden/>
              </w:rPr>
              <w:instrText xml:space="preserve"> PAGEREF _Toc526819321 \h </w:instrText>
            </w:r>
            <w:r w:rsidR="004A20C9">
              <w:rPr>
                <w:noProof/>
                <w:webHidden/>
              </w:rPr>
            </w:r>
            <w:r w:rsidR="004A20C9">
              <w:rPr>
                <w:noProof/>
                <w:webHidden/>
              </w:rPr>
              <w:fldChar w:fldCharType="separate"/>
            </w:r>
            <w:r w:rsidR="004A20C9">
              <w:rPr>
                <w:noProof/>
                <w:webHidden/>
              </w:rPr>
              <w:t>162</w:t>
            </w:r>
            <w:r w:rsidR="004A20C9">
              <w:rPr>
                <w:noProof/>
                <w:webHidden/>
              </w:rPr>
              <w:fldChar w:fldCharType="end"/>
            </w:r>
          </w:hyperlink>
        </w:p>
        <w:p w14:paraId="34832462" w14:textId="28FA47B9" w:rsidR="004A20C9" w:rsidRDefault="0082537D">
          <w:pPr>
            <w:pStyle w:val="TOC3"/>
            <w:tabs>
              <w:tab w:val="right" w:leader="dot" w:pos="8290"/>
            </w:tabs>
            <w:rPr>
              <w:rFonts w:asciiTheme="minorHAnsi" w:eastAsiaTheme="minorEastAsia" w:hAnsiTheme="minorHAnsi" w:cstheme="minorBidi"/>
              <w:noProof/>
              <w:lang w:val="en-GB"/>
            </w:rPr>
          </w:pPr>
          <w:hyperlink w:anchor="_Toc526819322" w:history="1">
            <w:r w:rsidR="004A20C9" w:rsidRPr="00436E45">
              <w:rPr>
                <w:rStyle w:val="Hyperlink"/>
                <w:rFonts w:eastAsia="MS Mincho"/>
                <w:noProof/>
              </w:rPr>
              <w:t>5.2.3  Definition Moving towards a People-Centred Economy</w:t>
            </w:r>
            <w:r w:rsidR="004A20C9">
              <w:rPr>
                <w:noProof/>
                <w:webHidden/>
              </w:rPr>
              <w:tab/>
            </w:r>
            <w:r w:rsidR="004A20C9">
              <w:rPr>
                <w:noProof/>
                <w:webHidden/>
              </w:rPr>
              <w:fldChar w:fldCharType="begin"/>
            </w:r>
            <w:r w:rsidR="004A20C9">
              <w:rPr>
                <w:noProof/>
                <w:webHidden/>
              </w:rPr>
              <w:instrText xml:space="preserve"> PAGEREF _Toc526819322 \h </w:instrText>
            </w:r>
            <w:r w:rsidR="004A20C9">
              <w:rPr>
                <w:noProof/>
                <w:webHidden/>
              </w:rPr>
            </w:r>
            <w:r w:rsidR="004A20C9">
              <w:rPr>
                <w:noProof/>
                <w:webHidden/>
              </w:rPr>
              <w:fldChar w:fldCharType="separate"/>
            </w:r>
            <w:r w:rsidR="004A20C9">
              <w:rPr>
                <w:noProof/>
                <w:webHidden/>
              </w:rPr>
              <w:t>163</w:t>
            </w:r>
            <w:r w:rsidR="004A20C9">
              <w:rPr>
                <w:noProof/>
                <w:webHidden/>
              </w:rPr>
              <w:fldChar w:fldCharType="end"/>
            </w:r>
          </w:hyperlink>
        </w:p>
        <w:p w14:paraId="2617A11D" w14:textId="58129A16" w:rsidR="004A20C9" w:rsidRDefault="0082537D">
          <w:pPr>
            <w:pStyle w:val="TOC2"/>
            <w:tabs>
              <w:tab w:val="right" w:leader="dot" w:pos="8290"/>
            </w:tabs>
            <w:rPr>
              <w:rFonts w:asciiTheme="minorHAnsi" w:eastAsiaTheme="minorEastAsia" w:hAnsiTheme="minorHAnsi" w:cstheme="minorBidi"/>
              <w:noProof/>
              <w:lang w:val="en-GB"/>
            </w:rPr>
          </w:pPr>
          <w:hyperlink w:anchor="_Toc526819323" w:history="1">
            <w:r w:rsidR="004A20C9" w:rsidRPr="00436E45">
              <w:rPr>
                <w:rStyle w:val="Hyperlink"/>
                <w:noProof/>
              </w:rPr>
              <w:t>5.3  Measuring Unpaid Work</w:t>
            </w:r>
            <w:r w:rsidR="004A20C9">
              <w:rPr>
                <w:noProof/>
                <w:webHidden/>
              </w:rPr>
              <w:tab/>
            </w:r>
            <w:r w:rsidR="004A20C9">
              <w:rPr>
                <w:noProof/>
                <w:webHidden/>
              </w:rPr>
              <w:fldChar w:fldCharType="begin"/>
            </w:r>
            <w:r w:rsidR="004A20C9">
              <w:rPr>
                <w:noProof/>
                <w:webHidden/>
              </w:rPr>
              <w:instrText xml:space="preserve"> PAGEREF _Toc526819323 \h </w:instrText>
            </w:r>
            <w:r w:rsidR="004A20C9">
              <w:rPr>
                <w:noProof/>
                <w:webHidden/>
              </w:rPr>
            </w:r>
            <w:r w:rsidR="004A20C9">
              <w:rPr>
                <w:noProof/>
                <w:webHidden/>
              </w:rPr>
              <w:fldChar w:fldCharType="separate"/>
            </w:r>
            <w:r w:rsidR="004A20C9">
              <w:rPr>
                <w:noProof/>
                <w:webHidden/>
              </w:rPr>
              <w:t>165</w:t>
            </w:r>
            <w:r w:rsidR="004A20C9">
              <w:rPr>
                <w:noProof/>
                <w:webHidden/>
              </w:rPr>
              <w:fldChar w:fldCharType="end"/>
            </w:r>
          </w:hyperlink>
        </w:p>
        <w:p w14:paraId="738CA362" w14:textId="515F10A5" w:rsidR="004A20C9" w:rsidRDefault="0082537D">
          <w:pPr>
            <w:pStyle w:val="TOC3"/>
            <w:tabs>
              <w:tab w:val="right" w:leader="dot" w:pos="8290"/>
            </w:tabs>
            <w:rPr>
              <w:rFonts w:asciiTheme="minorHAnsi" w:eastAsiaTheme="minorEastAsia" w:hAnsiTheme="minorHAnsi" w:cstheme="minorBidi"/>
              <w:noProof/>
              <w:lang w:val="en-GB"/>
            </w:rPr>
          </w:pPr>
          <w:hyperlink w:anchor="_Toc526819324" w:history="1">
            <w:r w:rsidR="004A20C9" w:rsidRPr="00436E45">
              <w:rPr>
                <w:rStyle w:val="Hyperlink"/>
                <w:rFonts w:eastAsia="MS Mincho"/>
                <w:noProof/>
              </w:rPr>
              <w:t>5.3.1  Measuring from the Beginning</w:t>
            </w:r>
            <w:r w:rsidR="004A20C9">
              <w:rPr>
                <w:noProof/>
                <w:webHidden/>
              </w:rPr>
              <w:tab/>
            </w:r>
            <w:r w:rsidR="004A20C9">
              <w:rPr>
                <w:noProof/>
                <w:webHidden/>
              </w:rPr>
              <w:fldChar w:fldCharType="begin"/>
            </w:r>
            <w:r w:rsidR="004A20C9">
              <w:rPr>
                <w:noProof/>
                <w:webHidden/>
              </w:rPr>
              <w:instrText xml:space="preserve"> PAGEREF _Toc526819324 \h </w:instrText>
            </w:r>
            <w:r w:rsidR="004A20C9">
              <w:rPr>
                <w:noProof/>
                <w:webHidden/>
              </w:rPr>
            </w:r>
            <w:r w:rsidR="004A20C9">
              <w:rPr>
                <w:noProof/>
                <w:webHidden/>
              </w:rPr>
              <w:fldChar w:fldCharType="separate"/>
            </w:r>
            <w:r w:rsidR="004A20C9">
              <w:rPr>
                <w:noProof/>
                <w:webHidden/>
              </w:rPr>
              <w:t>165</w:t>
            </w:r>
            <w:r w:rsidR="004A20C9">
              <w:rPr>
                <w:noProof/>
                <w:webHidden/>
              </w:rPr>
              <w:fldChar w:fldCharType="end"/>
            </w:r>
          </w:hyperlink>
        </w:p>
        <w:p w14:paraId="7564DC3C" w14:textId="3D2FF3F1" w:rsidR="004A20C9" w:rsidRDefault="0082537D">
          <w:pPr>
            <w:pStyle w:val="TOC3"/>
            <w:tabs>
              <w:tab w:val="right" w:leader="dot" w:pos="8290"/>
            </w:tabs>
            <w:rPr>
              <w:rFonts w:asciiTheme="minorHAnsi" w:eastAsiaTheme="minorEastAsia" w:hAnsiTheme="minorHAnsi" w:cstheme="minorBidi"/>
              <w:noProof/>
              <w:lang w:val="en-GB"/>
            </w:rPr>
          </w:pPr>
          <w:hyperlink w:anchor="_Toc526819325" w:history="1">
            <w:r w:rsidR="004A20C9" w:rsidRPr="00436E45">
              <w:rPr>
                <w:rStyle w:val="Hyperlink"/>
                <w:rFonts w:eastAsia="MS Mincho"/>
                <w:noProof/>
              </w:rPr>
              <w:t>5.3.2  Time Use Surveys and What Is Left Out</w:t>
            </w:r>
            <w:r w:rsidR="004A20C9">
              <w:rPr>
                <w:noProof/>
                <w:webHidden/>
              </w:rPr>
              <w:tab/>
            </w:r>
            <w:r w:rsidR="004A20C9">
              <w:rPr>
                <w:noProof/>
                <w:webHidden/>
              </w:rPr>
              <w:fldChar w:fldCharType="begin"/>
            </w:r>
            <w:r w:rsidR="004A20C9">
              <w:rPr>
                <w:noProof/>
                <w:webHidden/>
              </w:rPr>
              <w:instrText xml:space="preserve"> PAGEREF _Toc526819325 \h </w:instrText>
            </w:r>
            <w:r w:rsidR="004A20C9">
              <w:rPr>
                <w:noProof/>
                <w:webHidden/>
              </w:rPr>
            </w:r>
            <w:r w:rsidR="004A20C9">
              <w:rPr>
                <w:noProof/>
                <w:webHidden/>
              </w:rPr>
              <w:fldChar w:fldCharType="separate"/>
            </w:r>
            <w:r w:rsidR="004A20C9">
              <w:rPr>
                <w:noProof/>
                <w:webHidden/>
              </w:rPr>
              <w:t>167</w:t>
            </w:r>
            <w:r w:rsidR="004A20C9">
              <w:rPr>
                <w:noProof/>
                <w:webHidden/>
              </w:rPr>
              <w:fldChar w:fldCharType="end"/>
            </w:r>
          </w:hyperlink>
        </w:p>
        <w:p w14:paraId="3961F0E5" w14:textId="44FBC08F" w:rsidR="004A20C9" w:rsidRDefault="0082537D">
          <w:pPr>
            <w:pStyle w:val="TOC3"/>
            <w:tabs>
              <w:tab w:val="right" w:leader="dot" w:pos="8290"/>
            </w:tabs>
            <w:rPr>
              <w:rFonts w:asciiTheme="minorHAnsi" w:eastAsiaTheme="minorEastAsia" w:hAnsiTheme="minorHAnsi" w:cstheme="minorBidi"/>
              <w:noProof/>
              <w:lang w:val="en-GB"/>
            </w:rPr>
          </w:pPr>
          <w:hyperlink w:anchor="_Toc526819326" w:history="1">
            <w:r w:rsidR="004A20C9" w:rsidRPr="00436E45">
              <w:rPr>
                <w:rStyle w:val="Hyperlink"/>
                <w:rFonts w:eastAsia="MS Mincho"/>
                <w:noProof/>
              </w:rPr>
              <w:t>5.3.3  What Should Be the Starting Point? Rethinking Values</w:t>
            </w:r>
            <w:r w:rsidR="004A20C9">
              <w:rPr>
                <w:noProof/>
                <w:webHidden/>
              </w:rPr>
              <w:tab/>
            </w:r>
            <w:r w:rsidR="004A20C9">
              <w:rPr>
                <w:noProof/>
                <w:webHidden/>
              </w:rPr>
              <w:fldChar w:fldCharType="begin"/>
            </w:r>
            <w:r w:rsidR="004A20C9">
              <w:rPr>
                <w:noProof/>
                <w:webHidden/>
              </w:rPr>
              <w:instrText xml:space="preserve"> PAGEREF _Toc526819326 \h </w:instrText>
            </w:r>
            <w:r w:rsidR="004A20C9">
              <w:rPr>
                <w:noProof/>
                <w:webHidden/>
              </w:rPr>
            </w:r>
            <w:r w:rsidR="004A20C9">
              <w:rPr>
                <w:noProof/>
                <w:webHidden/>
              </w:rPr>
              <w:fldChar w:fldCharType="separate"/>
            </w:r>
            <w:r w:rsidR="004A20C9">
              <w:rPr>
                <w:noProof/>
                <w:webHidden/>
              </w:rPr>
              <w:t>170</w:t>
            </w:r>
            <w:r w:rsidR="004A20C9">
              <w:rPr>
                <w:noProof/>
                <w:webHidden/>
              </w:rPr>
              <w:fldChar w:fldCharType="end"/>
            </w:r>
          </w:hyperlink>
        </w:p>
        <w:p w14:paraId="7D6347D8" w14:textId="038FC7BD" w:rsidR="004A20C9" w:rsidRDefault="0082537D">
          <w:pPr>
            <w:pStyle w:val="TOC2"/>
            <w:tabs>
              <w:tab w:val="right" w:leader="dot" w:pos="8290"/>
            </w:tabs>
            <w:rPr>
              <w:rFonts w:asciiTheme="minorHAnsi" w:eastAsiaTheme="minorEastAsia" w:hAnsiTheme="minorHAnsi" w:cstheme="minorBidi"/>
              <w:noProof/>
              <w:lang w:val="en-GB"/>
            </w:rPr>
          </w:pPr>
          <w:hyperlink w:anchor="_Toc526819327" w:history="1">
            <w:r w:rsidR="004A20C9" w:rsidRPr="00436E45">
              <w:rPr>
                <w:rStyle w:val="Hyperlink"/>
                <w:rFonts w:eastAsia="MS Mincho"/>
                <w:noProof/>
                <w:lang w:val="en-GB"/>
              </w:rPr>
              <w:t>5.4  Pricing Unpaid Work</w:t>
            </w:r>
            <w:r w:rsidR="004A20C9">
              <w:rPr>
                <w:noProof/>
                <w:webHidden/>
              </w:rPr>
              <w:tab/>
            </w:r>
            <w:r w:rsidR="004A20C9">
              <w:rPr>
                <w:noProof/>
                <w:webHidden/>
              </w:rPr>
              <w:fldChar w:fldCharType="begin"/>
            </w:r>
            <w:r w:rsidR="004A20C9">
              <w:rPr>
                <w:noProof/>
                <w:webHidden/>
              </w:rPr>
              <w:instrText xml:space="preserve"> PAGEREF _Toc526819327 \h </w:instrText>
            </w:r>
            <w:r w:rsidR="004A20C9">
              <w:rPr>
                <w:noProof/>
                <w:webHidden/>
              </w:rPr>
            </w:r>
            <w:r w:rsidR="004A20C9">
              <w:rPr>
                <w:noProof/>
                <w:webHidden/>
              </w:rPr>
              <w:fldChar w:fldCharType="separate"/>
            </w:r>
            <w:r w:rsidR="004A20C9">
              <w:rPr>
                <w:noProof/>
                <w:webHidden/>
              </w:rPr>
              <w:t>172</w:t>
            </w:r>
            <w:r w:rsidR="004A20C9">
              <w:rPr>
                <w:noProof/>
                <w:webHidden/>
              </w:rPr>
              <w:fldChar w:fldCharType="end"/>
            </w:r>
          </w:hyperlink>
        </w:p>
        <w:p w14:paraId="64C834AF" w14:textId="42F54C93" w:rsidR="004A20C9" w:rsidRDefault="0082537D">
          <w:pPr>
            <w:pStyle w:val="TOC3"/>
            <w:tabs>
              <w:tab w:val="right" w:leader="dot" w:pos="8290"/>
            </w:tabs>
            <w:rPr>
              <w:rFonts w:asciiTheme="minorHAnsi" w:eastAsiaTheme="minorEastAsia" w:hAnsiTheme="minorHAnsi" w:cstheme="minorBidi"/>
              <w:noProof/>
              <w:lang w:val="en-GB"/>
            </w:rPr>
          </w:pPr>
          <w:hyperlink w:anchor="_Toc526819328" w:history="1">
            <w:r w:rsidR="004A20C9" w:rsidRPr="00436E45">
              <w:rPr>
                <w:rStyle w:val="Hyperlink"/>
                <w:rFonts w:eastAsia="MS Mincho"/>
                <w:noProof/>
              </w:rPr>
              <w:t>5.4.1  How Men and Women Price and Value Their Work</w:t>
            </w:r>
            <w:r w:rsidR="004A20C9">
              <w:rPr>
                <w:noProof/>
                <w:webHidden/>
              </w:rPr>
              <w:tab/>
            </w:r>
            <w:r w:rsidR="004A20C9">
              <w:rPr>
                <w:noProof/>
                <w:webHidden/>
              </w:rPr>
              <w:fldChar w:fldCharType="begin"/>
            </w:r>
            <w:r w:rsidR="004A20C9">
              <w:rPr>
                <w:noProof/>
                <w:webHidden/>
              </w:rPr>
              <w:instrText xml:space="preserve"> PAGEREF _Toc526819328 \h </w:instrText>
            </w:r>
            <w:r w:rsidR="004A20C9">
              <w:rPr>
                <w:noProof/>
                <w:webHidden/>
              </w:rPr>
            </w:r>
            <w:r w:rsidR="004A20C9">
              <w:rPr>
                <w:noProof/>
                <w:webHidden/>
              </w:rPr>
              <w:fldChar w:fldCharType="separate"/>
            </w:r>
            <w:r w:rsidR="004A20C9">
              <w:rPr>
                <w:noProof/>
                <w:webHidden/>
              </w:rPr>
              <w:t>172</w:t>
            </w:r>
            <w:r w:rsidR="004A20C9">
              <w:rPr>
                <w:noProof/>
                <w:webHidden/>
              </w:rPr>
              <w:fldChar w:fldCharType="end"/>
            </w:r>
          </w:hyperlink>
        </w:p>
        <w:p w14:paraId="6F9A0A4B" w14:textId="2BF57857" w:rsidR="004A20C9" w:rsidRDefault="0082537D">
          <w:pPr>
            <w:pStyle w:val="TOC3"/>
            <w:tabs>
              <w:tab w:val="right" w:leader="dot" w:pos="8290"/>
            </w:tabs>
            <w:rPr>
              <w:rFonts w:asciiTheme="minorHAnsi" w:eastAsiaTheme="minorEastAsia" w:hAnsiTheme="minorHAnsi" w:cstheme="minorBidi"/>
              <w:noProof/>
              <w:lang w:val="en-GB"/>
            </w:rPr>
          </w:pPr>
          <w:hyperlink w:anchor="_Toc526819329" w:history="1">
            <w:r w:rsidR="004A20C9" w:rsidRPr="00436E45">
              <w:rPr>
                <w:rStyle w:val="Hyperlink"/>
                <w:rFonts w:eastAsia="MS Mincho"/>
                <w:noProof/>
              </w:rPr>
              <w:t>5.4.2  Tensions in Pricing Unpaid Work</w:t>
            </w:r>
            <w:r w:rsidR="004A20C9">
              <w:rPr>
                <w:noProof/>
                <w:webHidden/>
              </w:rPr>
              <w:tab/>
            </w:r>
            <w:r w:rsidR="004A20C9">
              <w:rPr>
                <w:noProof/>
                <w:webHidden/>
              </w:rPr>
              <w:fldChar w:fldCharType="begin"/>
            </w:r>
            <w:r w:rsidR="004A20C9">
              <w:rPr>
                <w:noProof/>
                <w:webHidden/>
              </w:rPr>
              <w:instrText xml:space="preserve"> PAGEREF _Toc526819329 \h </w:instrText>
            </w:r>
            <w:r w:rsidR="004A20C9">
              <w:rPr>
                <w:noProof/>
                <w:webHidden/>
              </w:rPr>
            </w:r>
            <w:r w:rsidR="004A20C9">
              <w:rPr>
                <w:noProof/>
                <w:webHidden/>
              </w:rPr>
              <w:fldChar w:fldCharType="separate"/>
            </w:r>
            <w:r w:rsidR="004A20C9">
              <w:rPr>
                <w:noProof/>
                <w:webHidden/>
              </w:rPr>
              <w:t>174</w:t>
            </w:r>
            <w:r w:rsidR="004A20C9">
              <w:rPr>
                <w:noProof/>
                <w:webHidden/>
              </w:rPr>
              <w:fldChar w:fldCharType="end"/>
            </w:r>
          </w:hyperlink>
        </w:p>
        <w:p w14:paraId="0389CE98" w14:textId="51DFC254" w:rsidR="004A20C9" w:rsidRDefault="0082537D">
          <w:pPr>
            <w:pStyle w:val="TOC3"/>
            <w:tabs>
              <w:tab w:val="right" w:leader="dot" w:pos="8290"/>
            </w:tabs>
            <w:rPr>
              <w:rFonts w:asciiTheme="minorHAnsi" w:eastAsiaTheme="minorEastAsia" w:hAnsiTheme="minorHAnsi" w:cstheme="minorBidi"/>
              <w:noProof/>
              <w:lang w:val="en-GB"/>
            </w:rPr>
          </w:pPr>
          <w:hyperlink w:anchor="_Toc526819330" w:history="1">
            <w:r w:rsidR="004A20C9" w:rsidRPr="00436E45">
              <w:rPr>
                <w:rStyle w:val="Hyperlink"/>
                <w:rFonts w:eastAsia="MS Mincho"/>
                <w:noProof/>
              </w:rPr>
              <w:t>5.4.3  Paying for Unpaid Work: Why and How</w:t>
            </w:r>
            <w:r w:rsidR="004A20C9">
              <w:rPr>
                <w:noProof/>
                <w:webHidden/>
              </w:rPr>
              <w:tab/>
            </w:r>
            <w:r w:rsidR="004A20C9">
              <w:rPr>
                <w:noProof/>
                <w:webHidden/>
              </w:rPr>
              <w:fldChar w:fldCharType="begin"/>
            </w:r>
            <w:r w:rsidR="004A20C9">
              <w:rPr>
                <w:noProof/>
                <w:webHidden/>
              </w:rPr>
              <w:instrText xml:space="preserve"> PAGEREF _Toc526819330 \h </w:instrText>
            </w:r>
            <w:r w:rsidR="004A20C9">
              <w:rPr>
                <w:noProof/>
                <w:webHidden/>
              </w:rPr>
            </w:r>
            <w:r w:rsidR="004A20C9">
              <w:rPr>
                <w:noProof/>
                <w:webHidden/>
              </w:rPr>
              <w:fldChar w:fldCharType="separate"/>
            </w:r>
            <w:r w:rsidR="004A20C9">
              <w:rPr>
                <w:noProof/>
                <w:webHidden/>
              </w:rPr>
              <w:t>179</w:t>
            </w:r>
            <w:r w:rsidR="004A20C9">
              <w:rPr>
                <w:noProof/>
                <w:webHidden/>
              </w:rPr>
              <w:fldChar w:fldCharType="end"/>
            </w:r>
          </w:hyperlink>
        </w:p>
        <w:p w14:paraId="58C74DB2" w14:textId="25FC9DBF" w:rsidR="004A20C9" w:rsidRDefault="0082537D">
          <w:pPr>
            <w:pStyle w:val="TOC2"/>
            <w:tabs>
              <w:tab w:val="right" w:leader="dot" w:pos="8290"/>
            </w:tabs>
            <w:rPr>
              <w:rFonts w:asciiTheme="minorHAnsi" w:eastAsiaTheme="minorEastAsia" w:hAnsiTheme="minorHAnsi" w:cstheme="minorBidi"/>
              <w:noProof/>
              <w:lang w:val="en-GB"/>
            </w:rPr>
          </w:pPr>
          <w:hyperlink w:anchor="_Toc526819331" w:history="1">
            <w:r w:rsidR="004A20C9" w:rsidRPr="00436E45">
              <w:rPr>
                <w:rStyle w:val="Hyperlink"/>
                <w:rFonts w:eastAsia="MS Mincho"/>
                <w:noProof/>
                <w:lang w:val="en-GB"/>
              </w:rPr>
              <w:t>5.5  Conclusion</w:t>
            </w:r>
            <w:r w:rsidR="004A20C9">
              <w:rPr>
                <w:noProof/>
                <w:webHidden/>
              </w:rPr>
              <w:tab/>
            </w:r>
            <w:r w:rsidR="004A20C9">
              <w:rPr>
                <w:noProof/>
                <w:webHidden/>
              </w:rPr>
              <w:fldChar w:fldCharType="begin"/>
            </w:r>
            <w:r w:rsidR="004A20C9">
              <w:rPr>
                <w:noProof/>
                <w:webHidden/>
              </w:rPr>
              <w:instrText xml:space="preserve"> PAGEREF _Toc526819331 \h </w:instrText>
            </w:r>
            <w:r w:rsidR="004A20C9">
              <w:rPr>
                <w:noProof/>
                <w:webHidden/>
              </w:rPr>
            </w:r>
            <w:r w:rsidR="004A20C9">
              <w:rPr>
                <w:noProof/>
                <w:webHidden/>
              </w:rPr>
              <w:fldChar w:fldCharType="separate"/>
            </w:r>
            <w:r w:rsidR="004A20C9">
              <w:rPr>
                <w:noProof/>
                <w:webHidden/>
              </w:rPr>
              <w:t>184</w:t>
            </w:r>
            <w:r w:rsidR="004A20C9">
              <w:rPr>
                <w:noProof/>
                <w:webHidden/>
              </w:rPr>
              <w:fldChar w:fldCharType="end"/>
            </w:r>
          </w:hyperlink>
        </w:p>
        <w:p w14:paraId="70FC9382" w14:textId="7CC8A78A" w:rsidR="004A20C9" w:rsidRDefault="0082537D">
          <w:pPr>
            <w:pStyle w:val="TOC1"/>
            <w:tabs>
              <w:tab w:val="right" w:leader="dot" w:pos="8290"/>
            </w:tabs>
            <w:rPr>
              <w:rFonts w:asciiTheme="minorHAnsi" w:eastAsiaTheme="minorEastAsia" w:hAnsiTheme="minorHAnsi" w:cstheme="minorBidi"/>
              <w:noProof/>
              <w:lang w:val="en-GB"/>
            </w:rPr>
          </w:pPr>
          <w:hyperlink w:anchor="_Toc526819332" w:history="1">
            <w:r w:rsidR="004A20C9" w:rsidRPr="00436E45">
              <w:rPr>
                <w:rStyle w:val="Hyperlink"/>
                <w:noProof/>
              </w:rPr>
              <w:t>Chapter Six: Time Use and Distribution of Paid and Unpaid Work</w:t>
            </w:r>
            <w:r w:rsidR="004A20C9">
              <w:rPr>
                <w:noProof/>
                <w:webHidden/>
              </w:rPr>
              <w:tab/>
            </w:r>
            <w:r w:rsidR="004A20C9">
              <w:rPr>
                <w:noProof/>
                <w:webHidden/>
              </w:rPr>
              <w:fldChar w:fldCharType="begin"/>
            </w:r>
            <w:r w:rsidR="004A20C9">
              <w:rPr>
                <w:noProof/>
                <w:webHidden/>
              </w:rPr>
              <w:instrText xml:space="preserve"> PAGEREF _Toc526819332 \h </w:instrText>
            </w:r>
            <w:r w:rsidR="004A20C9">
              <w:rPr>
                <w:noProof/>
                <w:webHidden/>
              </w:rPr>
            </w:r>
            <w:r w:rsidR="004A20C9">
              <w:rPr>
                <w:noProof/>
                <w:webHidden/>
              </w:rPr>
              <w:fldChar w:fldCharType="separate"/>
            </w:r>
            <w:r w:rsidR="004A20C9">
              <w:rPr>
                <w:noProof/>
                <w:webHidden/>
              </w:rPr>
              <w:t>186</w:t>
            </w:r>
            <w:r w:rsidR="004A20C9">
              <w:rPr>
                <w:noProof/>
                <w:webHidden/>
              </w:rPr>
              <w:fldChar w:fldCharType="end"/>
            </w:r>
          </w:hyperlink>
        </w:p>
        <w:p w14:paraId="24B3C702" w14:textId="3785CD91" w:rsidR="004A20C9" w:rsidRDefault="0082537D">
          <w:pPr>
            <w:pStyle w:val="TOC2"/>
            <w:tabs>
              <w:tab w:val="right" w:leader="dot" w:pos="8290"/>
            </w:tabs>
            <w:rPr>
              <w:rFonts w:asciiTheme="minorHAnsi" w:eastAsiaTheme="minorEastAsia" w:hAnsiTheme="minorHAnsi" w:cstheme="minorBidi"/>
              <w:noProof/>
              <w:lang w:val="en-GB"/>
            </w:rPr>
          </w:pPr>
          <w:hyperlink w:anchor="_Toc526819333" w:history="1">
            <w:r w:rsidR="004A20C9" w:rsidRPr="00436E45">
              <w:rPr>
                <w:rStyle w:val="Hyperlink"/>
                <w:rFonts w:eastAsiaTheme="minorHAnsi"/>
                <w:noProof/>
                <w:lang w:val="en-GB" w:eastAsia="en-GB"/>
              </w:rPr>
              <w:t>6.1  Introduction</w:t>
            </w:r>
            <w:r w:rsidR="004A20C9">
              <w:rPr>
                <w:noProof/>
                <w:webHidden/>
              </w:rPr>
              <w:tab/>
            </w:r>
            <w:r w:rsidR="004A20C9">
              <w:rPr>
                <w:noProof/>
                <w:webHidden/>
              </w:rPr>
              <w:fldChar w:fldCharType="begin"/>
            </w:r>
            <w:r w:rsidR="004A20C9">
              <w:rPr>
                <w:noProof/>
                <w:webHidden/>
              </w:rPr>
              <w:instrText xml:space="preserve"> PAGEREF _Toc526819333 \h </w:instrText>
            </w:r>
            <w:r w:rsidR="004A20C9">
              <w:rPr>
                <w:noProof/>
                <w:webHidden/>
              </w:rPr>
            </w:r>
            <w:r w:rsidR="004A20C9">
              <w:rPr>
                <w:noProof/>
                <w:webHidden/>
              </w:rPr>
              <w:fldChar w:fldCharType="separate"/>
            </w:r>
            <w:r w:rsidR="004A20C9">
              <w:rPr>
                <w:noProof/>
                <w:webHidden/>
              </w:rPr>
              <w:t>186</w:t>
            </w:r>
            <w:r w:rsidR="004A20C9">
              <w:rPr>
                <w:noProof/>
                <w:webHidden/>
              </w:rPr>
              <w:fldChar w:fldCharType="end"/>
            </w:r>
          </w:hyperlink>
        </w:p>
        <w:p w14:paraId="1FE6570B" w14:textId="5DC90947" w:rsidR="004A20C9" w:rsidRDefault="0082537D">
          <w:pPr>
            <w:pStyle w:val="TOC2"/>
            <w:tabs>
              <w:tab w:val="right" w:leader="dot" w:pos="8290"/>
            </w:tabs>
            <w:rPr>
              <w:rFonts w:asciiTheme="minorHAnsi" w:eastAsiaTheme="minorEastAsia" w:hAnsiTheme="minorHAnsi" w:cstheme="minorBidi"/>
              <w:noProof/>
              <w:lang w:val="en-GB"/>
            </w:rPr>
          </w:pPr>
          <w:hyperlink w:anchor="_Toc526819334" w:history="1">
            <w:r w:rsidR="004A20C9" w:rsidRPr="00436E45">
              <w:rPr>
                <w:rStyle w:val="Hyperlink"/>
                <w:rFonts w:eastAsiaTheme="minorHAnsi"/>
                <w:noProof/>
                <w:lang w:val="en-GB" w:eastAsia="en-GB"/>
              </w:rPr>
              <w:t>6.2  Case Study One: Sesame</w:t>
            </w:r>
            <w:r w:rsidR="004A20C9">
              <w:rPr>
                <w:noProof/>
                <w:webHidden/>
              </w:rPr>
              <w:tab/>
            </w:r>
            <w:r w:rsidR="004A20C9">
              <w:rPr>
                <w:noProof/>
                <w:webHidden/>
              </w:rPr>
              <w:fldChar w:fldCharType="begin"/>
            </w:r>
            <w:r w:rsidR="004A20C9">
              <w:rPr>
                <w:noProof/>
                <w:webHidden/>
              </w:rPr>
              <w:instrText xml:space="preserve"> PAGEREF _Toc526819334 \h </w:instrText>
            </w:r>
            <w:r w:rsidR="004A20C9">
              <w:rPr>
                <w:noProof/>
                <w:webHidden/>
              </w:rPr>
            </w:r>
            <w:r w:rsidR="004A20C9">
              <w:rPr>
                <w:noProof/>
                <w:webHidden/>
              </w:rPr>
              <w:fldChar w:fldCharType="separate"/>
            </w:r>
            <w:r w:rsidR="004A20C9">
              <w:rPr>
                <w:noProof/>
                <w:webHidden/>
              </w:rPr>
              <w:t>186</w:t>
            </w:r>
            <w:r w:rsidR="004A20C9">
              <w:rPr>
                <w:noProof/>
                <w:webHidden/>
              </w:rPr>
              <w:fldChar w:fldCharType="end"/>
            </w:r>
          </w:hyperlink>
        </w:p>
        <w:p w14:paraId="62A60721" w14:textId="118EAD7A" w:rsidR="004A20C9" w:rsidRDefault="0082537D">
          <w:pPr>
            <w:pStyle w:val="TOC3"/>
            <w:tabs>
              <w:tab w:val="right" w:leader="dot" w:pos="8290"/>
            </w:tabs>
            <w:rPr>
              <w:rFonts w:asciiTheme="minorHAnsi" w:eastAsiaTheme="minorEastAsia" w:hAnsiTheme="minorHAnsi" w:cstheme="minorBidi"/>
              <w:noProof/>
              <w:lang w:val="en-GB"/>
            </w:rPr>
          </w:pPr>
          <w:hyperlink w:anchor="_Toc526819335" w:history="1">
            <w:r w:rsidR="004A20C9" w:rsidRPr="00436E45">
              <w:rPr>
                <w:rStyle w:val="Hyperlink"/>
                <w:rFonts w:eastAsiaTheme="minorHAnsi"/>
                <w:noProof/>
                <w:lang w:eastAsia="en-GB"/>
              </w:rPr>
              <w:t>6.2.1  Elena, Achuapa (Member, producer, 45–54 years old, 3–6 years in the initiative)</w:t>
            </w:r>
            <w:r w:rsidR="004A20C9">
              <w:rPr>
                <w:noProof/>
                <w:webHidden/>
              </w:rPr>
              <w:tab/>
            </w:r>
            <w:r w:rsidR="004A20C9">
              <w:rPr>
                <w:noProof/>
                <w:webHidden/>
              </w:rPr>
              <w:fldChar w:fldCharType="begin"/>
            </w:r>
            <w:r w:rsidR="004A20C9">
              <w:rPr>
                <w:noProof/>
                <w:webHidden/>
              </w:rPr>
              <w:instrText xml:space="preserve"> PAGEREF _Toc526819335 \h </w:instrText>
            </w:r>
            <w:r w:rsidR="004A20C9">
              <w:rPr>
                <w:noProof/>
                <w:webHidden/>
              </w:rPr>
            </w:r>
            <w:r w:rsidR="004A20C9">
              <w:rPr>
                <w:noProof/>
                <w:webHidden/>
              </w:rPr>
              <w:fldChar w:fldCharType="separate"/>
            </w:r>
            <w:r w:rsidR="004A20C9">
              <w:rPr>
                <w:noProof/>
                <w:webHidden/>
              </w:rPr>
              <w:t>192</w:t>
            </w:r>
            <w:r w:rsidR="004A20C9">
              <w:rPr>
                <w:noProof/>
                <w:webHidden/>
              </w:rPr>
              <w:fldChar w:fldCharType="end"/>
            </w:r>
          </w:hyperlink>
        </w:p>
        <w:p w14:paraId="166C576E" w14:textId="67439762" w:rsidR="004A20C9" w:rsidRDefault="0082537D">
          <w:pPr>
            <w:pStyle w:val="TOC3"/>
            <w:tabs>
              <w:tab w:val="right" w:leader="dot" w:pos="8290"/>
            </w:tabs>
            <w:rPr>
              <w:rFonts w:asciiTheme="minorHAnsi" w:eastAsiaTheme="minorEastAsia" w:hAnsiTheme="minorHAnsi" w:cstheme="minorBidi"/>
              <w:noProof/>
              <w:lang w:val="en-GB"/>
            </w:rPr>
          </w:pPr>
          <w:hyperlink w:anchor="_Toc526819336" w:history="1">
            <w:r w:rsidR="004A20C9" w:rsidRPr="00436E45">
              <w:rPr>
                <w:rStyle w:val="Hyperlink"/>
                <w:rFonts w:eastAsiaTheme="minorHAnsi"/>
                <w:noProof/>
                <w:lang w:eastAsia="en-GB"/>
              </w:rPr>
              <w:t>6.2.2  Theresa, Achuapa (Member, not a producer, 55 years and older, single, 3 – 6 years in the initiative)</w:t>
            </w:r>
            <w:r w:rsidR="004A20C9">
              <w:rPr>
                <w:noProof/>
                <w:webHidden/>
              </w:rPr>
              <w:tab/>
            </w:r>
            <w:r w:rsidR="004A20C9">
              <w:rPr>
                <w:noProof/>
                <w:webHidden/>
              </w:rPr>
              <w:fldChar w:fldCharType="begin"/>
            </w:r>
            <w:r w:rsidR="004A20C9">
              <w:rPr>
                <w:noProof/>
                <w:webHidden/>
              </w:rPr>
              <w:instrText xml:space="preserve"> PAGEREF _Toc526819336 \h </w:instrText>
            </w:r>
            <w:r w:rsidR="004A20C9">
              <w:rPr>
                <w:noProof/>
                <w:webHidden/>
              </w:rPr>
            </w:r>
            <w:r w:rsidR="004A20C9">
              <w:rPr>
                <w:noProof/>
                <w:webHidden/>
              </w:rPr>
              <w:fldChar w:fldCharType="separate"/>
            </w:r>
            <w:r w:rsidR="004A20C9">
              <w:rPr>
                <w:noProof/>
                <w:webHidden/>
              </w:rPr>
              <w:t>192</w:t>
            </w:r>
            <w:r w:rsidR="004A20C9">
              <w:rPr>
                <w:noProof/>
                <w:webHidden/>
              </w:rPr>
              <w:fldChar w:fldCharType="end"/>
            </w:r>
          </w:hyperlink>
        </w:p>
        <w:p w14:paraId="5562D3A7" w14:textId="29C448D0" w:rsidR="004A20C9" w:rsidRDefault="0082537D">
          <w:pPr>
            <w:pStyle w:val="TOC3"/>
            <w:tabs>
              <w:tab w:val="right" w:leader="dot" w:pos="8290"/>
            </w:tabs>
            <w:rPr>
              <w:rFonts w:asciiTheme="minorHAnsi" w:eastAsiaTheme="minorEastAsia" w:hAnsiTheme="minorHAnsi" w:cstheme="minorBidi"/>
              <w:noProof/>
              <w:lang w:val="en-GB"/>
            </w:rPr>
          </w:pPr>
          <w:hyperlink w:anchor="_Toc526819337" w:history="1">
            <w:r w:rsidR="004A20C9" w:rsidRPr="00436E45">
              <w:rPr>
                <w:rStyle w:val="Hyperlink"/>
                <w:rFonts w:eastAsiaTheme="minorHAnsi"/>
                <w:noProof/>
                <w:lang w:eastAsia="en-GB"/>
              </w:rPr>
              <w:t>6.2.3 Key Findings of the Sesame Case Study</w:t>
            </w:r>
            <w:r w:rsidR="004A20C9">
              <w:rPr>
                <w:noProof/>
                <w:webHidden/>
              </w:rPr>
              <w:tab/>
            </w:r>
            <w:r w:rsidR="004A20C9">
              <w:rPr>
                <w:noProof/>
                <w:webHidden/>
              </w:rPr>
              <w:fldChar w:fldCharType="begin"/>
            </w:r>
            <w:r w:rsidR="004A20C9">
              <w:rPr>
                <w:noProof/>
                <w:webHidden/>
              </w:rPr>
              <w:instrText xml:space="preserve"> PAGEREF _Toc526819337 \h </w:instrText>
            </w:r>
            <w:r w:rsidR="004A20C9">
              <w:rPr>
                <w:noProof/>
                <w:webHidden/>
              </w:rPr>
            </w:r>
            <w:r w:rsidR="004A20C9">
              <w:rPr>
                <w:noProof/>
                <w:webHidden/>
              </w:rPr>
              <w:fldChar w:fldCharType="separate"/>
            </w:r>
            <w:r w:rsidR="004A20C9">
              <w:rPr>
                <w:noProof/>
                <w:webHidden/>
              </w:rPr>
              <w:t>193</w:t>
            </w:r>
            <w:r w:rsidR="004A20C9">
              <w:rPr>
                <w:noProof/>
                <w:webHidden/>
              </w:rPr>
              <w:fldChar w:fldCharType="end"/>
            </w:r>
          </w:hyperlink>
        </w:p>
        <w:p w14:paraId="4B5E8C74" w14:textId="2300E009" w:rsidR="004A20C9" w:rsidRDefault="0082537D">
          <w:pPr>
            <w:pStyle w:val="TOC2"/>
            <w:tabs>
              <w:tab w:val="right" w:leader="dot" w:pos="8290"/>
            </w:tabs>
            <w:rPr>
              <w:rFonts w:asciiTheme="minorHAnsi" w:eastAsiaTheme="minorEastAsia" w:hAnsiTheme="minorHAnsi" w:cstheme="minorBidi"/>
              <w:noProof/>
              <w:lang w:val="en-GB"/>
            </w:rPr>
          </w:pPr>
          <w:hyperlink w:anchor="_Toc526819338" w:history="1">
            <w:r w:rsidR="004A20C9" w:rsidRPr="00436E45">
              <w:rPr>
                <w:rStyle w:val="Hyperlink"/>
                <w:rFonts w:eastAsiaTheme="minorHAnsi"/>
                <w:noProof/>
                <w:lang w:val="en-GB" w:eastAsia="en-GB"/>
              </w:rPr>
              <w:t>6.3  Case Study Two: Coffee</w:t>
            </w:r>
            <w:r w:rsidR="004A20C9">
              <w:rPr>
                <w:noProof/>
                <w:webHidden/>
              </w:rPr>
              <w:tab/>
            </w:r>
            <w:r w:rsidR="004A20C9">
              <w:rPr>
                <w:noProof/>
                <w:webHidden/>
              </w:rPr>
              <w:fldChar w:fldCharType="begin"/>
            </w:r>
            <w:r w:rsidR="004A20C9">
              <w:rPr>
                <w:noProof/>
                <w:webHidden/>
              </w:rPr>
              <w:instrText xml:space="preserve"> PAGEREF _Toc526819338 \h </w:instrText>
            </w:r>
            <w:r w:rsidR="004A20C9">
              <w:rPr>
                <w:noProof/>
                <w:webHidden/>
              </w:rPr>
            </w:r>
            <w:r w:rsidR="004A20C9">
              <w:rPr>
                <w:noProof/>
                <w:webHidden/>
              </w:rPr>
              <w:fldChar w:fldCharType="separate"/>
            </w:r>
            <w:r w:rsidR="004A20C9">
              <w:rPr>
                <w:noProof/>
                <w:webHidden/>
              </w:rPr>
              <w:t>199</w:t>
            </w:r>
            <w:r w:rsidR="004A20C9">
              <w:rPr>
                <w:noProof/>
                <w:webHidden/>
              </w:rPr>
              <w:fldChar w:fldCharType="end"/>
            </w:r>
          </w:hyperlink>
        </w:p>
        <w:p w14:paraId="053F0F5E" w14:textId="647CA7D4" w:rsidR="004A20C9" w:rsidRDefault="0082537D">
          <w:pPr>
            <w:pStyle w:val="TOC2"/>
            <w:tabs>
              <w:tab w:val="right" w:leader="dot" w:pos="8290"/>
            </w:tabs>
            <w:rPr>
              <w:rFonts w:asciiTheme="minorHAnsi" w:eastAsiaTheme="minorEastAsia" w:hAnsiTheme="minorHAnsi" w:cstheme="minorBidi"/>
              <w:noProof/>
              <w:lang w:val="en-GB"/>
            </w:rPr>
          </w:pPr>
          <w:hyperlink w:anchor="_Toc526819339" w:history="1">
            <w:r w:rsidR="004A20C9" w:rsidRPr="00436E45">
              <w:rPr>
                <w:rStyle w:val="Hyperlink"/>
                <w:rFonts w:eastAsiaTheme="minorHAnsi"/>
                <w:noProof/>
                <w:lang w:val="en-GB" w:eastAsia="en-GB"/>
              </w:rPr>
              <w:t>6.4  Conclusion</w:t>
            </w:r>
            <w:r w:rsidR="004A20C9">
              <w:rPr>
                <w:noProof/>
                <w:webHidden/>
              </w:rPr>
              <w:tab/>
            </w:r>
            <w:r w:rsidR="004A20C9">
              <w:rPr>
                <w:noProof/>
                <w:webHidden/>
              </w:rPr>
              <w:fldChar w:fldCharType="begin"/>
            </w:r>
            <w:r w:rsidR="004A20C9">
              <w:rPr>
                <w:noProof/>
                <w:webHidden/>
              </w:rPr>
              <w:instrText xml:space="preserve"> PAGEREF _Toc526819339 \h </w:instrText>
            </w:r>
            <w:r w:rsidR="004A20C9">
              <w:rPr>
                <w:noProof/>
                <w:webHidden/>
              </w:rPr>
            </w:r>
            <w:r w:rsidR="004A20C9">
              <w:rPr>
                <w:noProof/>
                <w:webHidden/>
              </w:rPr>
              <w:fldChar w:fldCharType="separate"/>
            </w:r>
            <w:r w:rsidR="004A20C9">
              <w:rPr>
                <w:noProof/>
                <w:webHidden/>
              </w:rPr>
              <w:t>211</w:t>
            </w:r>
            <w:r w:rsidR="004A20C9">
              <w:rPr>
                <w:noProof/>
                <w:webHidden/>
              </w:rPr>
              <w:fldChar w:fldCharType="end"/>
            </w:r>
          </w:hyperlink>
        </w:p>
        <w:p w14:paraId="5F3D38BA" w14:textId="2D6AFB92" w:rsidR="004A20C9" w:rsidRDefault="0082537D">
          <w:pPr>
            <w:pStyle w:val="TOC1"/>
            <w:tabs>
              <w:tab w:val="right" w:leader="dot" w:pos="8290"/>
            </w:tabs>
            <w:rPr>
              <w:rFonts w:asciiTheme="minorHAnsi" w:eastAsiaTheme="minorEastAsia" w:hAnsiTheme="minorHAnsi" w:cstheme="minorBidi"/>
              <w:noProof/>
              <w:lang w:val="en-GB"/>
            </w:rPr>
          </w:pPr>
          <w:hyperlink w:anchor="_Toc526819340" w:history="1">
            <w:r w:rsidR="004A20C9" w:rsidRPr="00436E45">
              <w:rPr>
                <w:rStyle w:val="Hyperlink"/>
                <w:noProof/>
              </w:rPr>
              <w:t>Chapter Seven: Social Norms and the Family Distribution of Labour and Time Use</w:t>
            </w:r>
            <w:r w:rsidR="004A20C9">
              <w:rPr>
                <w:noProof/>
                <w:webHidden/>
              </w:rPr>
              <w:tab/>
            </w:r>
            <w:r w:rsidR="004A20C9">
              <w:rPr>
                <w:noProof/>
                <w:webHidden/>
              </w:rPr>
              <w:fldChar w:fldCharType="begin"/>
            </w:r>
            <w:r w:rsidR="004A20C9">
              <w:rPr>
                <w:noProof/>
                <w:webHidden/>
              </w:rPr>
              <w:instrText xml:space="preserve"> PAGEREF _Toc526819340 \h </w:instrText>
            </w:r>
            <w:r w:rsidR="004A20C9">
              <w:rPr>
                <w:noProof/>
                <w:webHidden/>
              </w:rPr>
            </w:r>
            <w:r w:rsidR="004A20C9">
              <w:rPr>
                <w:noProof/>
                <w:webHidden/>
              </w:rPr>
              <w:fldChar w:fldCharType="separate"/>
            </w:r>
            <w:r w:rsidR="004A20C9">
              <w:rPr>
                <w:noProof/>
                <w:webHidden/>
              </w:rPr>
              <w:t>213</w:t>
            </w:r>
            <w:r w:rsidR="004A20C9">
              <w:rPr>
                <w:noProof/>
                <w:webHidden/>
              </w:rPr>
              <w:fldChar w:fldCharType="end"/>
            </w:r>
          </w:hyperlink>
        </w:p>
        <w:p w14:paraId="4AB61E85" w14:textId="37BCEDBE" w:rsidR="004A20C9" w:rsidRDefault="0082537D">
          <w:pPr>
            <w:pStyle w:val="TOC2"/>
            <w:tabs>
              <w:tab w:val="right" w:leader="dot" w:pos="8290"/>
            </w:tabs>
            <w:rPr>
              <w:rFonts w:asciiTheme="minorHAnsi" w:eastAsiaTheme="minorEastAsia" w:hAnsiTheme="minorHAnsi" w:cstheme="minorBidi"/>
              <w:noProof/>
              <w:lang w:val="en-GB"/>
            </w:rPr>
          </w:pPr>
          <w:hyperlink w:anchor="_Toc526819341" w:history="1">
            <w:r w:rsidR="004A20C9" w:rsidRPr="00436E45">
              <w:rPr>
                <w:rStyle w:val="Hyperlink"/>
                <w:rFonts w:eastAsiaTheme="minorHAnsi"/>
                <w:noProof/>
                <w:lang w:val="en-GB" w:eastAsia="en-GB"/>
              </w:rPr>
              <w:t>7.1  Introduction</w:t>
            </w:r>
            <w:r w:rsidR="004A20C9">
              <w:rPr>
                <w:noProof/>
                <w:webHidden/>
              </w:rPr>
              <w:tab/>
            </w:r>
            <w:r w:rsidR="004A20C9">
              <w:rPr>
                <w:noProof/>
                <w:webHidden/>
              </w:rPr>
              <w:fldChar w:fldCharType="begin"/>
            </w:r>
            <w:r w:rsidR="004A20C9">
              <w:rPr>
                <w:noProof/>
                <w:webHidden/>
              </w:rPr>
              <w:instrText xml:space="preserve"> PAGEREF _Toc526819341 \h </w:instrText>
            </w:r>
            <w:r w:rsidR="004A20C9">
              <w:rPr>
                <w:noProof/>
                <w:webHidden/>
              </w:rPr>
            </w:r>
            <w:r w:rsidR="004A20C9">
              <w:rPr>
                <w:noProof/>
                <w:webHidden/>
              </w:rPr>
              <w:fldChar w:fldCharType="separate"/>
            </w:r>
            <w:r w:rsidR="004A20C9">
              <w:rPr>
                <w:noProof/>
                <w:webHidden/>
              </w:rPr>
              <w:t>213</w:t>
            </w:r>
            <w:r w:rsidR="004A20C9">
              <w:rPr>
                <w:noProof/>
                <w:webHidden/>
              </w:rPr>
              <w:fldChar w:fldCharType="end"/>
            </w:r>
          </w:hyperlink>
        </w:p>
        <w:p w14:paraId="47BDC42F" w14:textId="59A81787" w:rsidR="004A20C9" w:rsidRDefault="0082537D">
          <w:pPr>
            <w:pStyle w:val="TOC2"/>
            <w:tabs>
              <w:tab w:val="right" w:leader="dot" w:pos="8290"/>
            </w:tabs>
            <w:rPr>
              <w:rFonts w:asciiTheme="minorHAnsi" w:eastAsiaTheme="minorEastAsia" w:hAnsiTheme="minorHAnsi" w:cstheme="minorBidi"/>
              <w:noProof/>
              <w:lang w:val="en-GB"/>
            </w:rPr>
          </w:pPr>
          <w:hyperlink w:anchor="_Toc526819342" w:history="1">
            <w:r w:rsidR="004A20C9" w:rsidRPr="00436E45">
              <w:rPr>
                <w:rStyle w:val="Hyperlink"/>
                <w:rFonts w:eastAsiaTheme="minorHAnsi"/>
                <w:noProof/>
                <w:lang w:val="en-GB" w:eastAsia="en-GB"/>
              </w:rPr>
              <w:t>7.2  Social Norms, Sanctioning and Surveillance Practices and the Family</w:t>
            </w:r>
            <w:r w:rsidR="004A20C9">
              <w:rPr>
                <w:noProof/>
                <w:webHidden/>
              </w:rPr>
              <w:tab/>
            </w:r>
            <w:r w:rsidR="004A20C9">
              <w:rPr>
                <w:noProof/>
                <w:webHidden/>
              </w:rPr>
              <w:fldChar w:fldCharType="begin"/>
            </w:r>
            <w:r w:rsidR="004A20C9">
              <w:rPr>
                <w:noProof/>
                <w:webHidden/>
              </w:rPr>
              <w:instrText xml:space="preserve"> PAGEREF _Toc526819342 \h </w:instrText>
            </w:r>
            <w:r w:rsidR="004A20C9">
              <w:rPr>
                <w:noProof/>
                <w:webHidden/>
              </w:rPr>
            </w:r>
            <w:r w:rsidR="004A20C9">
              <w:rPr>
                <w:noProof/>
                <w:webHidden/>
              </w:rPr>
              <w:fldChar w:fldCharType="separate"/>
            </w:r>
            <w:r w:rsidR="004A20C9">
              <w:rPr>
                <w:noProof/>
                <w:webHidden/>
              </w:rPr>
              <w:t>214</w:t>
            </w:r>
            <w:r w:rsidR="004A20C9">
              <w:rPr>
                <w:noProof/>
                <w:webHidden/>
              </w:rPr>
              <w:fldChar w:fldCharType="end"/>
            </w:r>
          </w:hyperlink>
        </w:p>
        <w:p w14:paraId="561C202E" w14:textId="78511652" w:rsidR="004A20C9" w:rsidRDefault="0082537D">
          <w:pPr>
            <w:pStyle w:val="TOC3"/>
            <w:tabs>
              <w:tab w:val="right" w:leader="dot" w:pos="8290"/>
            </w:tabs>
            <w:rPr>
              <w:rFonts w:asciiTheme="minorHAnsi" w:eastAsiaTheme="minorEastAsia" w:hAnsiTheme="minorHAnsi" w:cstheme="minorBidi"/>
              <w:noProof/>
              <w:lang w:val="en-GB"/>
            </w:rPr>
          </w:pPr>
          <w:hyperlink w:anchor="_Toc526819343" w:history="1">
            <w:r w:rsidR="004A20C9" w:rsidRPr="00436E45">
              <w:rPr>
                <w:rStyle w:val="Hyperlink"/>
                <w:rFonts w:eastAsiaTheme="minorHAnsi"/>
                <w:noProof/>
                <w:lang w:eastAsia="en-GB"/>
              </w:rPr>
              <w:t>7.2.1  Norm 1: Division Of Labour, Time Use and Perceived Appropriate Types of Work</w:t>
            </w:r>
            <w:r w:rsidR="004A20C9">
              <w:rPr>
                <w:noProof/>
                <w:webHidden/>
              </w:rPr>
              <w:tab/>
            </w:r>
            <w:r w:rsidR="004A20C9">
              <w:rPr>
                <w:noProof/>
                <w:webHidden/>
              </w:rPr>
              <w:fldChar w:fldCharType="begin"/>
            </w:r>
            <w:r w:rsidR="004A20C9">
              <w:rPr>
                <w:noProof/>
                <w:webHidden/>
              </w:rPr>
              <w:instrText xml:space="preserve"> PAGEREF _Toc526819343 \h </w:instrText>
            </w:r>
            <w:r w:rsidR="004A20C9">
              <w:rPr>
                <w:noProof/>
                <w:webHidden/>
              </w:rPr>
            </w:r>
            <w:r w:rsidR="004A20C9">
              <w:rPr>
                <w:noProof/>
                <w:webHidden/>
              </w:rPr>
              <w:fldChar w:fldCharType="separate"/>
            </w:r>
            <w:r w:rsidR="004A20C9">
              <w:rPr>
                <w:noProof/>
                <w:webHidden/>
              </w:rPr>
              <w:t>215</w:t>
            </w:r>
            <w:r w:rsidR="004A20C9">
              <w:rPr>
                <w:noProof/>
                <w:webHidden/>
              </w:rPr>
              <w:fldChar w:fldCharType="end"/>
            </w:r>
          </w:hyperlink>
        </w:p>
        <w:p w14:paraId="100B6E23" w14:textId="7F73F7B5" w:rsidR="004A20C9" w:rsidRDefault="0082537D">
          <w:pPr>
            <w:pStyle w:val="TOC4"/>
            <w:tabs>
              <w:tab w:val="right" w:leader="dot" w:pos="8290"/>
            </w:tabs>
            <w:rPr>
              <w:rFonts w:asciiTheme="minorHAnsi" w:eastAsiaTheme="minorEastAsia" w:hAnsiTheme="minorHAnsi" w:cstheme="minorBidi"/>
              <w:noProof/>
              <w:lang w:val="en-GB"/>
            </w:rPr>
          </w:pPr>
          <w:hyperlink w:anchor="_Toc526819344" w:history="1">
            <w:r w:rsidR="004A20C9" w:rsidRPr="00436E45">
              <w:rPr>
                <w:rStyle w:val="Hyperlink"/>
                <w:rFonts w:eastAsiaTheme="minorHAnsi"/>
                <w:noProof/>
              </w:rPr>
              <w:t>7.2.1.1 External Sanctions</w:t>
            </w:r>
            <w:r w:rsidR="004A20C9">
              <w:rPr>
                <w:noProof/>
                <w:webHidden/>
              </w:rPr>
              <w:tab/>
            </w:r>
            <w:r w:rsidR="004A20C9">
              <w:rPr>
                <w:noProof/>
                <w:webHidden/>
              </w:rPr>
              <w:fldChar w:fldCharType="begin"/>
            </w:r>
            <w:r w:rsidR="004A20C9">
              <w:rPr>
                <w:noProof/>
                <w:webHidden/>
              </w:rPr>
              <w:instrText xml:space="preserve"> PAGEREF _Toc526819344 \h </w:instrText>
            </w:r>
            <w:r w:rsidR="004A20C9">
              <w:rPr>
                <w:noProof/>
                <w:webHidden/>
              </w:rPr>
            </w:r>
            <w:r w:rsidR="004A20C9">
              <w:rPr>
                <w:noProof/>
                <w:webHidden/>
              </w:rPr>
              <w:fldChar w:fldCharType="separate"/>
            </w:r>
            <w:r w:rsidR="004A20C9">
              <w:rPr>
                <w:noProof/>
                <w:webHidden/>
              </w:rPr>
              <w:t>215</w:t>
            </w:r>
            <w:r w:rsidR="004A20C9">
              <w:rPr>
                <w:noProof/>
                <w:webHidden/>
              </w:rPr>
              <w:fldChar w:fldCharType="end"/>
            </w:r>
          </w:hyperlink>
        </w:p>
        <w:p w14:paraId="218CFDFF" w14:textId="75012981" w:rsidR="004A20C9" w:rsidRDefault="0082537D">
          <w:pPr>
            <w:pStyle w:val="TOC4"/>
            <w:tabs>
              <w:tab w:val="right" w:leader="dot" w:pos="8290"/>
            </w:tabs>
            <w:rPr>
              <w:rFonts w:asciiTheme="minorHAnsi" w:eastAsiaTheme="minorEastAsia" w:hAnsiTheme="minorHAnsi" w:cstheme="minorBidi"/>
              <w:noProof/>
              <w:lang w:val="en-GB"/>
            </w:rPr>
          </w:pPr>
          <w:hyperlink w:anchor="_Toc526819345" w:history="1">
            <w:r w:rsidR="004A20C9" w:rsidRPr="00436E45">
              <w:rPr>
                <w:rStyle w:val="Hyperlink"/>
                <w:rFonts w:eastAsiaTheme="minorHAnsi"/>
                <w:noProof/>
              </w:rPr>
              <w:t>7.2.1.2 Self-Sanctions</w:t>
            </w:r>
            <w:r w:rsidR="004A20C9">
              <w:rPr>
                <w:noProof/>
                <w:webHidden/>
              </w:rPr>
              <w:tab/>
            </w:r>
            <w:r w:rsidR="004A20C9">
              <w:rPr>
                <w:noProof/>
                <w:webHidden/>
              </w:rPr>
              <w:fldChar w:fldCharType="begin"/>
            </w:r>
            <w:r w:rsidR="004A20C9">
              <w:rPr>
                <w:noProof/>
                <w:webHidden/>
              </w:rPr>
              <w:instrText xml:space="preserve"> PAGEREF _Toc526819345 \h </w:instrText>
            </w:r>
            <w:r w:rsidR="004A20C9">
              <w:rPr>
                <w:noProof/>
                <w:webHidden/>
              </w:rPr>
            </w:r>
            <w:r w:rsidR="004A20C9">
              <w:rPr>
                <w:noProof/>
                <w:webHidden/>
              </w:rPr>
              <w:fldChar w:fldCharType="separate"/>
            </w:r>
            <w:r w:rsidR="004A20C9">
              <w:rPr>
                <w:noProof/>
                <w:webHidden/>
              </w:rPr>
              <w:t>221</w:t>
            </w:r>
            <w:r w:rsidR="004A20C9">
              <w:rPr>
                <w:noProof/>
                <w:webHidden/>
              </w:rPr>
              <w:fldChar w:fldCharType="end"/>
            </w:r>
          </w:hyperlink>
        </w:p>
        <w:p w14:paraId="38F8EBD7" w14:textId="7235E088" w:rsidR="004A20C9" w:rsidRDefault="0082537D">
          <w:pPr>
            <w:pStyle w:val="TOC3"/>
            <w:tabs>
              <w:tab w:val="right" w:leader="dot" w:pos="8290"/>
            </w:tabs>
            <w:rPr>
              <w:rFonts w:asciiTheme="minorHAnsi" w:eastAsiaTheme="minorEastAsia" w:hAnsiTheme="minorHAnsi" w:cstheme="minorBidi"/>
              <w:noProof/>
              <w:lang w:val="en-GB"/>
            </w:rPr>
          </w:pPr>
          <w:hyperlink w:anchor="_Toc526819346" w:history="1">
            <w:r w:rsidR="004A20C9" w:rsidRPr="00436E45">
              <w:rPr>
                <w:rStyle w:val="Hyperlink"/>
                <w:noProof/>
              </w:rPr>
              <w:t>7.2.2  Norm 2: Gendered Division of Decision Making</w:t>
            </w:r>
            <w:r w:rsidR="004A20C9">
              <w:rPr>
                <w:noProof/>
                <w:webHidden/>
              </w:rPr>
              <w:tab/>
            </w:r>
            <w:r w:rsidR="004A20C9">
              <w:rPr>
                <w:noProof/>
                <w:webHidden/>
              </w:rPr>
              <w:fldChar w:fldCharType="begin"/>
            </w:r>
            <w:r w:rsidR="004A20C9">
              <w:rPr>
                <w:noProof/>
                <w:webHidden/>
              </w:rPr>
              <w:instrText xml:space="preserve"> PAGEREF _Toc526819346 \h </w:instrText>
            </w:r>
            <w:r w:rsidR="004A20C9">
              <w:rPr>
                <w:noProof/>
                <w:webHidden/>
              </w:rPr>
            </w:r>
            <w:r w:rsidR="004A20C9">
              <w:rPr>
                <w:noProof/>
                <w:webHidden/>
              </w:rPr>
              <w:fldChar w:fldCharType="separate"/>
            </w:r>
            <w:r w:rsidR="004A20C9">
              <w:rPr>
                <w:noProof/>
                <w:webHidden/>
              </w:rPr>
              <w:t>231</w:t>
            </w:r>
            <w:r w:rsidR="004A20C9">
              <w:rPr>
                <w:noProof/>
                <w:webHidden/>
              </w:rPr>
              <w:fldChar w:fldCharType="end"/>
            </w:r>
          </w:hyperlink>
        </w:p>
        <w:p w14:paraId="407C6688" w14:textId="1F2E3631" w:rsidR="004A20C9" w:rsidRDefault="0082537D">
          <w:pPr>
            <w:pStyle w:val="TOC4"/>
            <w:tabs>
              <w:tab w:val="right" w:leader="dot" w:pos="8290"/>
            </w:tabs>
            <w:rPr>
              <w:rFonts w:asciiTheme="minorHAnsi" w:eastAsiaTheme="minorEastAsia" w:hAnsiTheme="minorHAnsi" w:cstheme="minorBidi"/>
              <w:noProof/>
              <w:lang w:val="en-GB"/>
            </w:rPr>
          </w:pPr>
          <w:hyperlink w:anchor="_Toc526819347" w:history="1">
            <w:r w:rsidR="004A20C9" w:rsidRPr="00436E45">
              <w:rPr>
                <w:rStyle w:val="Hyperlink"/>
                <w:rFonts w:eastAsiaTheme="minorHAnsi"/>
                <w:noProof/>
              </w:rPr>
              <w:t>7.2.2.1  External Sanctions</w:t>
            </w:r>
            <w:r w:rsidR="004A20C9">
              <w:rPr>
                <w:noProof/>
                <w:webHidden/>
              </w:rPr>
              <w:tab/>
            </w:r>
            <w:r w:rsidR="004A20C9">
              <w:rPr>
                <w:noProof/>
                <w:webHidden/>
              </w:rPr>
              <w:fldChar w:fldCharType="begin"/>
            </w:r>
            <w:r w:rsidR="004A20C9">
              <w:rPr>
                <w:noProof/>
                <w:webHidden/>
              </w:rPr>
              <w:instrText xml:space="preserve"> PAGEREF _Toc526819347 \h </w:instrText>
            </w:r>
            <w:r w:rsidR="004A20C9">
              <w:rPr>
                <w:noProof/>
                <w:webHidden/>
              </w:rPr>
            </w:r>
            <w:r w:rsidR="004A20C9">
              <w:rPr>
                <w:noProof/>
                <w:webHidden/>
              </w:rPr>
              <w:fldChar w:fldCharType="separate"/>
            </w:r>
            <w:r w:rsidR="004A20C9">
              <w:rPr>
                <w:noProof/>
                <w:webHidden/>
              </w:rPr>
              <w:t>232</w:t>
            </w:r>
            <w:r w:rsidR="004A20C9">
              <w:rPr>
                <w:noProof/>
                <w:webHidden/>
              </w:rPr>
              <w:fldChar w:fldCharType="end"/>
            </w:r>
          </w:hyperlink>
        </w:p>
        <w:p w14:paraId="7F76378F" w14:textId="42676D63" w:rsidR="004A20C9" w:rsidRDefault="0082537D">
          <w:pPr>
            <w:pStyle w:val="TOC4"/>
            <w:tabs>
              <w:tab w:val="right" w:leader="dot" w:pos="8290"/>
            </w:tabs>
            <w:rPr>
              <w:rFonts w:asciiTheme="minorHAnsi" w:eastAsiaTheme="minorEastAsia" w:hAnsiTheme="minorHAnsi" w:cstheme="minorBidi"/>
              <w:noProof/>
              <w:lang w:val="en-GB"/>
            </w:rPr>
          </w:pPr>
          <w:hyperlink w:anchor="_Toc526819348" w:history="1">
            <w:r w:rsidR="004A20C9" w:rsidRPr="00436E45">
              <w:rPr>
                <w:rStyle w:val="Hyperlink"/>
                <w:rFonts w:eastAsiaTheme="minorHAnsi"/>
                <w:noProof/>
              </w:rPr>
              <w:t>7.2.2.2  Self-Sanctions</w:t>
            </w:r>
            <w:r w:rsidR="004A20C9">
              <w:rPr>
                <w:noProof/>
                <w:webHidden/>
              </w:rPr>
              <w:tab/>
            </w:r>
            <w:r w:rsidR="004A20C9">
              <w:rPr>
                <w:noProof/>
                <w:webHidden/>
              </w:rPr>
              <w:fldChar w:fldCharType="begin"/>
            </w:r>
            <w:r w:rsidR="004A20C9">
              <w:rPr>
                <w:noProof/>
                <w:webHidden/>
              </w:rPr>
              <w:instrText xml:space="preserve"> PAGEREF _Toc526819348 \h </w:instrText>
            </w:r>
            <w:r w:rsidR="004A20C9">
              <w:rPr>
                <w:noProof/>
                <w:webHidden/>
              </w:rPr>
            </w:r>
            <w:r w:rsidR="004A20C9">
              <w:rPr>
                <w:noProof/>
                <w:webHidden/>
              </w:rPr>
              <w:fldChar w:fldCharType="separate"/>
            </w:r>
            <w:r w:rsidR="004A20C9">
              <w:rPr>
                <w:noProof/>
                <w:webHidden/>
              </w:rPr>
              <w:t>233</w:t>
            </w:r>
            <w:r w:rsidR="004A20C9">
              <w:rPr>
                <w:noProof/>
                <w:webHidden/>
              </w:rPr>
              <w:fldChar w:fldCharType="end"/>
            </w:r>
          </w:hyperlink>
        </w:p>
        <w:p w14:paraId="753E6614" w14:textId="10336351" w:rsidR="004A20C9" w:rsidRDefault="0082537D">
          <w:pPr>
            <w:pStyle w:val="TOC4"/>
            <w:tabs>
              <w:tab w:val="right" w:leader="dot" w:pos="8290"/>
            </w:tabs>
            <w:rPr>
              <w:rFonts w:asciiTheme="minorHAnsi" w:eastAsiaTheme="minorEastAsia" w:hAnsiTheme="minorHAnsi" w:cstheme="minorBidi"/>
              <w:noProof/>
              <w:lang w:val="en-GB"/>
            </w:rPr>
          </w:pPr>
          <w:hyperlink w:anchor="_Toc526819349" w:history="1">
            <w:r w:rsidR="004A20C9" w:rsidRPr="00436E45">
              <w:rPr>
                <w:rStyle w:val="Hyperlink"/>
                <w:rFonts w:eastAsiaTheme="minorHAnsi"/>
                <w:noProof/>
              </w:rPr>
              <w:t>7.2.2.3  Surveillance Practices</w:t>
            </w:r>
            <w:r w:rsidR="004A20C9">
              <w:rPr>
                <w:noProof/>
                <w:webHidden/>
              </w:rPr>
              <w:tab/>
            </w:r>
            <w:r w:rsidR="004A20C9">
              <w:rPr>
                <w:noProof/>
                <w:webHidden/>
              </w:rPr>
              <w:fldChar w:fldCharType="begin"/>
            </w:r>
            <w:r w:rsidR="004A20C9">
              <w:rPr>
                <w:noProof/>
                <w:webHidden/>
              </w:rPr>
              <w:instrText xml:space="preserve"> PAGEREF _Toc526819349 \h </w:instrText>
            </w:r>
            <w:r w:rsidR="004A20C9">
              <w:rPr>
                <w:noProof/>
                <w:webHidden/>
              </w:rPr>
            </w:r>
            <w:r w:rsidR="004A20C9">
              <w:rPr>
                <w:noProof/>
                <w:webHidden/>
              </w:rPr>
              <w:fldChar w:fldCharType="separate"/>
            </w:r>
            <w:r w:rsidR="004A20C9">
              <w:rPr>
                <w:noProof/>
                <w:webHidden/>
              </w:rPr>
              <w:t>236</w:t>
            </w:r>
            <w:r w:rsidR="004A20C9">
              <w:rPr>
                <w:noProof/>
                <w:webHidden/>
              </w:rPr>
              <w:fldChar w:fldCharType="end"/>
            </w:r>
          </w:hyperlink>
        </w:p>
        <w:p w14:paraId="75DEF44A" w14:textId="6EF26E77" w:rsidR="004A20C9" w:rsidRDefault="0082537D">
          <w:pPr>
            <w:pStyle w:val="TOC3"/>
            <w:tabs>
              <w:tab w:val="right" w:leader="dot" w:pos="8290"/>
            </w:tabs>
            <w:rPr>
              <w:rFonts w:asciiTheme="minorHAnsi" w:eastAsiaTheme="minorEastAsia" w:hAnsiTheme="minorHAnsi" w:cstheme="minorBidi"/>
              <w:noProof/>
              <w:lang w:val="en-GB"/>
            </w:rPr>
          </w:pPr>
          <w:hyperlink w:anchor="_Toc526819350" w:history="1">
            <w:r w:rsidR="004A20C9" w:rsidRPr="00436E45">
              <w:rPr>
                <w:rStyle w:val="Hyperlink"/>
                <w:rFonts w:eastAsiaTheme="minorHAnsi"/>
                <w:noProof/>
              </w:rPr>
              <w:t>7.2.3  Norm 3: Social Norms on Mobility and Gender</w:t>
            </w:r>
            <w:r w:rsidR="004A20C9">
              <w:rPr>
                <w:noProof/>
                <w:webHidden/>
              </w:rPr>
              <w:tab/>
            </w:r>
            <w:r w:rsidR="004A20C9">
              <w:rPr>
                <w:noProof/>
                <w:webHidden/>
              </w:rPr>
              <w:fldChar w:fldCharType="begin"/>
            </w:r>
            <w:r w:rsidR="004A20C9">
              <w:rPr>
                <w:noProof/>
                <w:webHidden/>
              </w:rPr>
              <w:instrText xml:space="preserve"> PAGEREF _Toc526819350 \h </w:instrText>
            </w:r>
            <w:r w:rsidR="004A20C9">
              <w:rPr>
                <w:noProof/>
                <w:webHidden/>
              </w:rPr>
            </w:r>
            <w:r w:rsidR="004A20C9">
              <w:rPr>
                <w:noProof/>
                <w:webHidden/>
              </w:rPr>
              <w:fldChar w:fldCharType="separate"/>
            </w:r>
            <w:r w:rsidR="004A20C9">
              <w:rPr>
                <w:noProof/>
                <w:webHidden/>
              </w:rPr>
              <w:t>238</w:t>
            </w:r>
            <w:r w:rsidR="004A20C9">
              <w:rPr>
                <w:noProof/>
                <w:webHidden/>
              </w:rPr>
              <w:fldChar w:fldCharType="end"/>
            </w:r>
          </w:hyperlink>
        </w:p>
        <w:p w14:paraId="054EB1CC" w14:textId="0C8E5F78" w:rsidR="004A20C9" w:rsidRDefault="0082537D">
          <w:pPr>
            <w:pStyle w:val="TOC4"/>
            <w:tabs>
              <w:tab w:val="right" w:leader="dot" w:pos="8290"/>
            </w:tabs>
            <w:rPr>
              <w:rFonts w:asciiTheme="minorHAnsi" w:eastAsiaTheme="minorEastAsia" w:hAnsiTheme="minorHAnsi" w:cstheme="minorBidi"/>
              <w:noProof/>
              <w:lang w:val="en-GB"/>
            </w:rPr>
          </w:pPr>
          <w:hyperlink w:anchor="_Toc526819351" w:history="1">
            <w:r w:rsidR="004A20C9" w:rsidRPr="00436E45">
              <w:rPr>
                <w:rStyle w:val="Hyperlink"/>
                <w:rFonts w:eastAsiaTheme="minorHAnsi"/>
                <w:noProof/>
              </w:rPr>
              <w:t>7.2.3.1  External Sanctions</w:t>
            </w:r>
            <w:r w:rsidR="004A20C9">
              <w:rPr>
                <w:noProof/>
                <w:webHidden/>
              </w:rPr>
              <w:tab/>
            </w:r>
            <w:r w:rsidR="004A20C9">
              <w:rPr>
                <w:noProof/>
                <w:webHidden/>
              </w:rPr>
              <w:fldChar w:fldCharType="begin"/>
            </w:r>
            <w:r w:rsidR="004A20C9">
              <w:rPr>
                <w:noProof/>
                <w:webHidden/>
              </w:rPr>
              <w:instrText xml:space="preserve"> PAGEREF _Toc526819351 \h </w:instrText>
            </w:r>
            <w:r w:rsidR="004A20C9">
              <w:rPr>
                <w:noProof/>
                <w:webHidden/>
              </w:rPr>
            </w:r>
            <w:r w:rsidR="004A20C9">
              <w:rPr>
                <w:noProof/>
                <w:webHidden/>
              </w:rPr>
              <w:fldChar w:fldCharType="separate"/>
            </w:r>
            <w:r w:rsidR="004A20C9">
              <w:rPr>
                <w:noProof/>
                <w:webHidden/>
              </w:rPr>
              <w:t>239</w:t>
            </w:r>
            <w:r w:rsidR="004A20C9">
              <w:rPr>
                <w:noProof/>
                <w:webHidden/>
              </w:rPr>
              <w:fldChar w:fldCharType="end"/>
            </w:r>
          </w:hyperlink>
        </w:p>
        <w:p w14:paraId="37079CC7" w14:textId="23888196" w:rsidR="004A20C9" w:rsidRDefault="0082537D">
          <w:pPr>
            <w:pStyle w:val="TOC4"/>
            <w:tabs>
              <w:tab w:val="right" w:leader="dot" w:pos="8290"/>
            </w:tabs>
            <w:rPr>
              <w:rFonts w:asciiTheme="minorHAnsi" w:eastAsiaTheme="minorEastAsia" w:hAnsiTheme="minorHAnsi" w:cstheme="minorBidi"/>
              <w:noProof/>
              <w:lang w:val="en-GB"/>
            </w:rPr>
          </w:pPr>
          <w:hyperlink w:anchor="_Toc526819352" w:history="1">
            <w:r w:rsidR="004A20C9" w:rsidRPr="00436E45">
              <w:rPr>
                <w:rStyle w:val="Hyperlink"/>
                <w:rFonts w:eastAsiaTheme="minorHAnsi"/>
                <w:noProof/>
              </w:rPr>
              <w:t>7.2.3.2  Self-Sanctions</w:t>
            </w:r>
            <w:r w:rsidR="004A20C9">
              <w:rPr>
                <w:noProof/>
                <w:webHidden/>
              </w:rPr>
              <w:tab/>
            </w:r>
            <w:r w:rsidR="004A20C9">
              <w:rPr>
                <w:noProof/>
                <w:webHidden/>
              </w:rPr>
              <w:fldChar w:fldCharType="begin"/>
            </w:r>
            <w:r w:rsidR="004A20C9">
              <w:rPr>
                <w:noProof/>
                <w:webHidden/>
              </w:rPr>
              <w:instrText xml:space="preserve"> PAGEREF _Toc526819352 \h </w:instrText>
            </w:r>
            <w:r w:rsidR="004A20C9">
              <w:rPr>
                <w:noProof/>
                <w:webHidden/>
              </w:rPr>
            </w:r>
            <w:r w:rsidR="004A20C9">
              <w:rPr>
                <w:noProof/>
                <w:webHidden/>
              </w:rPr>
              <w:fldChar w:fldCharType="separate"/>
            </w:r>
            <w:r w:rsidR="004A20C9">
              <w:rPr>
                <w:noProof/>
                <w:webHidden/>
              </w:rPr>
              <w:t>239</w:t>
            </w:r>
            <w:r w:rsidR="004A20C9">
              <w:rPr>
                <w:noProof/>
                <w:webHidden/>
              </w:rPr>
              <w:fldChar w:fldCharType="end"/>
            </w:r>
          </w:hyperlink>
        </w:p>
        <w:p w14:paraId="3A164494" w14:textId="370BBF9F" w:rsidR="004A20C9" w:rsidRDefault="0082537D">
          <w:pPr>
            <w:pStyle w:val="TOC4"/>
            <w:tabs>
              <w:tab w:val="right" w:leader="dot" w:pos="8290"/>
            </w:tabs>
            <w:rPr>
              <w:rFonts w:asciiTheme="minorHAnsi" w:eastAsiaTheme="minorEastAsia" w:hAnsiTheme="minorHAnsi" w:cstheme="minorBidi"/>
              <w:noProof/>
              <w:lang w:val="en-GB"/>
            </w:rPr>
          </w:pPr>
          <w:hyperlink w:anchor="_Toc526819353" w:history="1">
            <w:r w:rsidR="004A20C9" w:rsidRPr="00436E45">
              <w:rPr>
                <w:rStyle w:val="Hyperlink"/>
                <w:rFonts w:eastAsiaTheme="minorHAnsi"/>
                <w:noProof/>
              </w:rPr>
              <w:t>7.2.3.3  Surveillance Practices</w:t>
            </w:r>
            <w:r w:rsidR="004A20C9">
              <w:rPr>
                <w:noProof/>
                <w:webHidden/>
              </w:rPr>
              <w:tab/>
            </w:r>
            <w:r w:rsidR="004A20C9">
              <w:rPr>
                <w:noProof/>
                <w:webHidden/>
              </w:rPr>
              <w:fldChar w:fldCharType="begin"/>
            </w:r>
            <w:r w:rsidR="004A20C9">
              <w:rPr>
                <w:noProof/>
                <w:webHidden/>
              </w:rPr>
              <w:instrText xml:space="preserve"> PAGEREF _Toc526819353 \h </w:instrText>
            </w:r>
            <w:r w:rsidR="004A20C9">
              <w:rPr>
                <w:noProof/>
                <w:webHidden/>
              </w:rPr>
            </w:r>
            <w:r w:rsidR="004A20C9">
              <w:rPr>
                <w:noProof/>
                <w:webHidden/>
              </w:rPr>
              <w:fldChar w:fldCharType="separate"/>
            </w:r>
            <w:r w:rsidR="004A20C9">
              <w:rPr>
                <w:noProof/>
                <w:webHidden/>
              </w:rPr>
              <w:t>240</w:t>
            </w:r>
            <w:r w:rsidR="004A20C9">
              <w:rPr>
                <w:noProof/>
                <w:webHidden/>
              </w:rPr>
              <w:fldChar w:fldCharType="end"/>
            </w:r>
          </w:hyperlink>
        </w:p>
        <w:p w14:paraId="0351A3C8" w14:textId="1EB99959" w:rsidR="004A20C9" w:rsidRDefault="0082537D">
          <w:pPr>
            <w:pStyle w:val="TOC3"/>
            <w:tabs>
              <w:tab w:val="right" w:leader="dot" w:pos="8290"/>
            </w:tabs>
            <w:rPr>
              <w:rFonts w:asciiTheme="minorHAnsi" w:eastAsiaTheme="minorEastAsia" w:hAnsiTheme="minorHAnsi" w:cstheme="minorBidi"/>
              <w:noProof/>
              <w:lang w:val="en-GB"/>
            </w:rPr>
          </w:pPr>
          <w:hyperlink w:anchor="_Toc526819354" w:history="1">
            <w:r w:rsidR="004A20C9" w:rsidRPr="00436E45">
              <w:rPr>
                <w:rStyle w:val="Hyperlink"/>
                <w:rFonts w:eastAsiaTheme="minorHAnsi"/>
                <w:noProof/>
                <w:lang w:eastAsia="en-GB"/>
              </w:rPr>
              <w:t>7.2.4  Norms 4: Gender-Based Violence and Restrictions on Landownership and Assets</w:t>
            </w:r>
            <w:r w:rsidR="004A20C9">
              <w:rPr>
                <w:noProof/>
                <w:webHidden/>
              </w:rPr>
              <w:tab/>
            </w:r>
            <w:r w:rsidR="004A20C9">
              <w:rPr>
                <w:noProof/>
                <w:webHidden/>
              </w:rPr>
              <w:fldChar w:fldCharType="begin"/>
            </w:r>
            <w:r w:rsidR="004A20C9">
              <w:rPr>
                <w:noProof/>
                <w:webHidden/>
              </w:rPr>
              <w:instrText xml:space="preserve"> PAGEREF _Toc526819354 \h </w:instrText>
            </w:r>
            <w:r w:rsidR="004A20C9">
              <w:rPr>
                <w:noProof/>
                <w:webHidden/>
              </w:rPr>
            </w:r>
            <w:r w:rsidR="004A20C9">
              <w:rPr>
                <w:noProof/>
                <w:webHidden/>
              </w:rPr>
              <w:fldChar w:fldCharType="separate"/>
            </w:r>
            <w:r w:rsidR="004A20C9">
              <w:rPr>
                <w:noProof/>
                <w:webHidden/>
              </w:rPr>
              <w:t>241</w:t>
            </w:r>
            <w:r w:rsidR="004A20C9">
              <w:rPr>
                <w:noProof/>
                <w:webHidden/>
              </w:rPr>
              <w:fldChar w:fldCharType="end"/>
            </w:r>
          </w:hyperlink>
        </w:p>
        <w:p w14:paraId="6E04E41B" w14:textId="6E44BCB9" w:rsidR="004A20C9" w:rsidRDefault="0082537D">
          <w:pPr>
            <w:pStyle w:val="TOC4"/>
            <w:tabs>
              <w:tab w:val="right" w:leader="dot" w:pos="8290"/>
            </w:tabs>
            <w:rPr>
              <w:rFonts w:asciiTheme="minorHAnsi" w:eastAsiaTheme="minorEastAsia" w:hAnsiTheme="minorHAnsi" w:cstheme="minorBidi"/>
              <w:noProof/>
              <w:lang w:val="en-GB"/>
            </w:rPr>
          </w:pPr>
          <w:hyperlink w:anchor="_Toc526819355" w:history="1">
            <w:r w:rsidR="004A20C9" w:rsidRPr="00436E45">
              <w:rPr>
                <w:rStyle w:val="Hyperlink"/>
                <w:rFonts w:eastAsiaTheme="minorHAnsi"/>
                <w:noProof/>
              </w:rPr>
              <w:t>7.2.4.1  External Sanctions</w:t>
            </w:r>
            <w:r w:rsidR="004A20C9">
              <w:rPr>
                <w:noProof/>
                <w:webHidden/>
              </w:rPr>
              <w:tab/>
            </w:r>
            <w:r w:rsidR="004A20C9">
              <w:rPr>
                <w:noProof/>
                <w:webHidden/>
              </w:rPr>
              <w:fldChar w:fldCharType="begin"/>
            </w:r>
            <w:r w:rsidR="004A20C9">
              <w:rPr>
                <w:noProof/>
                <w:webHidden/>
              </w:rPr>
              <w:instrText xml:space="preserve"> PAGEREF _Toc526819355 \h </w:instrText>
            </w:r>
            <w:r w:rsidR="004A20C9">
              <w:rPr>
                <w:noProof/>
                <w:webHidden/>
              </w:rPr>
            </w:r>
            <w:r w:rsidR="004A20C9">
              <w:rPr>
                <w:noProof/>
                <w:webHidden/>
              </w:rPr>
              <w:fldChar w:fldCharType="separate"/>
            </w:r>
            <w:r w:rsidR="004A20C9">
              <w:rPr>
                <w:noProof/>
                <w:webHidden/>
              </w:rPr>
              <w:t>241</w:t>
            </w:r>
            <w:r w:rsidR="004A20C9">
              <w:rPr>
                <w:noProof/>
                <w:webHidden/>
              </w:rPr>
              <w:fldChar w:fldCharType="end"/>
            </w:r>
          </w:hyperlink>
        </w:p>
        <w:p w14:paraId="4CAFBF58" w14:textId="5EA95B82" w:rsidR="004A20C9" w:rsidRDefault="0082537D">
          <w:pPr>
            <w:pStyle w:val="TOC4"/>
            <w:tabs>
              <w:tab w:val="right" w:leader="dot" w:pos="8290"/>
            </w:tabs>
            <w:rPr>
              <w:rFonts w:asciiTheme="minorHAnsi" w:eastAsiaTheme="minorEastAsia" w:hAnsiTheme="minorHAnsi" w:cstheme="minorBidi"/>
              <w:noProof/>
              <w:lang w:val="en-GB"/>
            </w:rPr>
          </w:pPr>
          <w:hyperlink w:anchor="_Toc526819356" w:history="1">
            <w:r w:rsidR="004A20C9" w:rsidRPr="00436E45">
              <w:rPr>
                <w:rStyle w:val="Hyperlink"/>
                <w:rFonts w:eastAsiaTheme="minorHAnsi"/>
                <w:noProof/>
              </w:rPr>
              <w:t>7.2.4.3  Surveillance Practices</w:t>
            </w:r>
            <w:r w:rsidR="004A20C9">
              <w:rPr>
                <w:noProof/>
                <w:webHidden/>
              </w:rPr>
              <w:tab/>
            </w:r>
            <w:r w:rsidR="004A20C9">
              <w:rPr>
                <w:noProof/>
                <w:webHidden/>
              </w:rPr>
              <w:fldChar w:fldCharType="begin"/>
            </w:r>
            <w:r w:rsidR="004A20C9">
              <w:rPr>
                <w:noProof/>
                <w:webHidden/>
              </w:rPr>
              <w:instrText xml:space="preserve"> PAGEREF _Toc526819356 \h </w:instrText>
            </w:r>
            <w:r w:rsidR="004A20C9">
              <w:rPr>
                <w:noProof/>
                <w:webHidden/>
              </w:rPr>
            </w:r>
            <w:r w:rsidR="004A20C9">
              <w:rPr>
                <w:noProof/>
                <w:webHidden/>
              </w:rPr>
              <w:fldChar w:fldCharType="separate"/>
            </w:r>
            <w:r w:rsidR="004A20C9">
              <w:rPr>
                <w:noProof/>
                <w:webHidden/>
              </w:rPr>
              <w:t>245</w:t>
            </w:r>
            <w:r w:rsidR="004A20C9">
              <w:rPr>
                <w:noProof/>
                <w:webHidden/>
              </w:rPr>
              <w:fldChar w:fldCharType="end"/>
            </w:r>
          </w:hyperlink>
        </w:p>
        <w:p w14:paraId="0D4C7427" w14:textId="48DFD454" w:rsidR="004A20C9" w:rsidRDefault="0082537D">
          <w:pPr>
            <w:pStyle w:val="TOC2"/>
            <w:tabs>
              <w:tab w:val="right" w:leader="dot" w:pos="8290"/>
            </w:tabs>
            <w:rPr>
              <w:rFonts w:asciiTheme="minorHAnsi" w:eastAsiaTheme="minorEastAsia" w:hAnsiTheme="minorHAnsi" w:cstheme="minorBidi"/>
              <w:noProof/>
              <w:lang w:val="en-GB"/>
            </w:rPr>
          </w:pPr>
          <w:hyperlink w:anchor="_Toc526819357" w:history="1">
            <w:r w:rsidR="004A20C9" w:rsidRPr="00436E45">
              <w:rPr>
                <w:rStyle w:val="Hyperlink"/>
                <w:rFonts w:eastAsiaTheme="minorHAnsi"/>
                <w:noProof/>
                <w:lang w:val="en-GB" w:eastAsia="en-GB"/>
              </w:rPr>
              <w:t>7.3  Conclusion</w:t>
            </w:r>
            <w:r w:rsidR="004A20C9">
              <w:rPr>
                <w:noProof/>
                <w:webHidden/>
              </w:rPr>
              <w:tab/>
            </w:r>
            <w:r w:rsidR="004A20C9">
              <w:rPr>
                <w:noProof/>
                <w:webHidden/>
              </w:rPr>
              <w:fldChar w:fldCharType="begin"/>
            </w:r>
            <w:r w:rsidR="004A20C9">
              <w:rPr>
                <w:noProof/>
                <w:webHidden/>
              </w:rPr>
              <w:instrText xml:space="preserve"> PAGEREF _Toc526819357 \h </w:instrText>
            </w:r>
            <w:r w:rsidR="004A20C9">
              <w:rPr>
                <w:noProof/>
                <w:webHidden/>
              </w:rPr>
            </w:r>
            <w:r w:rsidR="004A20C9">
              <w:rPr>
                <w:noProof/>
                <w:webHidden/>
              </w:rPr>
              <w:fldChar w:fldCharType="separate"/>
            </w:r>
            <w:r w:rsidR="004A20C9">
              <w:rPr>
                <w:noProof/>
                <w:webHidden/>
              </w:rPr>
              <w:t>246</w:t>
            </w:r>
            <w:r w:rsidR="004A20C9">
              <w:rPr>
                <w:noProof/>
                <w:webHidden/>
              </w:rPr>
              <w:fldChar w:fldCharType="end"/>
            </w:r>
          </w:hyperlink>
        </w:p>
        <w:p w14:paraId="4910C632" w14:textId="10D69A1D" w:rsidR="004A20C9" w:rsidRDefault="0082537D">
          <w:pPr>
            <w:pStyle w:val="TOC1"/>
            <w:tabs>
              <w:tab w:val="right" w:leader="dot" w:pos="8290"/>
            </w:tabs>
            <w:rPr>
              <w:rFonts w:asciiTheme="minorHAnsi" w:eastAsiaTheme="minorEastAsia" w:hAnsiTheme="minorHAnsi" w:cstheme="minorBidi"/>
              <w:noProof/>
              <w:lang w:val="en-GB"/>
            </w:rPr>
          </w:pPr>
          <w:hyperlink w:anchor="_Toc526819358" w:history="1">
            <w:r w:rsidR="004A20C9" w:rsidRPr="00436E45">
              <w:rPr>
                <w:rStyle w:val="Hyperlink"/>
                <w:noProof/>
              </w:rPr>
              <w:t>Chapter Eight: Empowerment</w:t>
            </w:r>
            <w:r w:rsidR="004A20C9">
              <w:rPr>
                <w:noProof/>
                <w:webHidden/>
              </w:rPr>
              <w:tab/>
            </w:r>
            <w:r w:rsidR="004A20C9">
              <w:rPr>
                <w:noProof/>
                <w:webHidden/>
              </w:rPr>
              <w:fldChar w:fldCharType="begin"/>
            </w:r>
            <w:r w:rsidR="004A20C9">
              <w:rPr>
                <w:noProof/>
                <w:webHidden/>
              </w:rPr>
              <w:instrText xml:space="preserve"> PAGEREF _Toc526819358 \h </w:instrText>
            </w:r>
            <w:r w:rsidR="004A20C9">
              <w:rPr>
                <w:noProof/>
                <w:webHidden/>
              </w:rPr>
            </w:r>
            <w:r w:rsidR="004A20C9">
              <w:rPr>
                <w:noProof/>
                <w:webHidden/>
              </w:rPr>
              <w:fldChar w:fldCharType="separate"/>
            </w:r>
            <w:r w:rsidR="004A20C9">
              <w:rPr>
                <w:noProof/>
                <w:webHidden/>
              </w:rPr>
              <w:t>247</w:t>
            </w:r>
            <w:r w:rsidR="004A20C9">
              <w:rPr>
                <w:noProof/>
                <w:webHidden/>
              </w:rPr>
              <w:fldChar w:fldCharType="end"/>
            </w:r>
          </w:hyperlink>
        </w:p>
        <w:p w14:paraId="239057B0" w14:textId="12A7018E" w:rsidR="004A20C9" w:rsidRDefault="0082537D">
          <w:pPr>
            <w:pStyle w:val="TOC2"/>
            <w:tabs>
              <w:tab w:val="right" w:leader="dot" w:pos="8290"/>
            </w:tabs>
            <w:rPr>
              <w:rFonts w:asciiTheme="minorHAnsi" w:eastAsiaTheme="minorEastAsia" w:hAnsiTheme="minorHAnsi" w:cstheme="minorBidi"/>
              <w:noProof/>
              <w:lang w:val="en-GB"/>
            </w:rPr>
          </w:pPr>
          <w:hyperlink w:anchor="_Toc526819359" w:history="1">
            <w:r w:rsidR="004A20C9" w:rsidRPr="00436E45">
              <w:rPr>
                <w:rStyle w:val="Hyperlink"/>
                <w:rFonts w:eastAsiaTheme="minorHAnsi"/>
                <w:noProof/>
                <w:lang w:val="en-GB" w:eastAsia="en-GB"/>
              </w:rPr>
              <w:t>8.1  Introduction</w:t>
            </w:r>
            <w:r w:rsidR="004A20C9">
              <w:rPr>
                <w:noProof/>
                <w:webHidden/>
              </w:rPr>
              <w:tab/>
            </w:r>
            <w:r w:rsidR="004A20C9">
              <w:rPr>
                <w:noProof/>
                <w:webHidden/>
              </w:rPr>
              <w:fldChar w:fldCharType="begin"/>
            </w:r>
            <w:r w:rsidR="004A20C9">
              <w:rPr>
                <w:noProof/>
                <w:webHidden/>
              </w:rPr>
              <w:instrText xml:space="preserve"> PAGEREF _Toc526819359 \h </w:instrText>
            </w:r>
            <w:r w:rsidR="004A20C9">
              <w:rPr>
                <w:noProof/>
                <w:webHidden/>
              </w:rPr>
            </w:r>
            <w:r w:rsidR="004A20C9">
              <w:rPr>
                <w:noProof/>
                <w:webHidden/>
              </w:rPr>
              <w:fldChar w:fldCharType="separate"/>
            </w:r>
            <w:r w:rsidR="004A20C9">
              <w:rPr>
                <w:noProof/>
                <w:webHidden/>
              </w:rPr>
              <w:t>247</w:t>
            </w:r>
            <w:r w:rsidR="004A20C9">
              <w:rPr>
                <w:noProof/>
                <w:webHidden/>
              </w:rPr>
              <w:fldChar w:fldCharType="end"/>
            </w:r>
          </w:hyperlink>
        </w:p>
        <w:p w14:paraId="7380C783" w14:textId="1381D49F" w:rsidR="004A20C9" w:rsidRDefault="0082537D">
          <w:pPr>
            <w:pStyle w:val="TOC2"/>
            <w:tabs>
              <w:tab w:val="right" w:leader="dot" w:pos="8290"/>
            </w:tabs>
            <w:rPr>
              <w:rFonts w:asciiTheme="minorHAnsi" w:eastAsiaTheme="minorEastAsia" w:hAnsiTheme="minorHAnsi" w:cstheme="minorBidi"/>
              <w:noProof/>
              <w:lang w:val="en-GB"/>
            </w:rPr>
          </w:pPr>
          <w:hyperlink w:anchor="_Toc526819360" w:history="1">
            <w:r w:rsidR="004A20C9" w:rsidRPr="00436E45">
              <w:rPr>
                <w:rStyle w:val="Hyperlink"/>
                <w:rFonts w:eastAsiaTheme="minorHAnsi"/>
                <w:noProof/>
                <w:lang w:val="en-GB" w:eastAsia="en-GB"/>
              </w:rPr>
              <w:t>8.2  Definition of Empowerment and Starting Point in Each Case Study</w:t>
            </w:r>
            <w:r w:rsidR="004A20C9">
              <w:rPr>
                <w:noProof/>
                <w:webHidden/>
              </w:rPr>
              <w:tab/>
            </w:r>
            <w:r w:rsidR="004A20C9">
              <w:rPr>
                <w:noProof/>
                <w:webHidden/>
              </w:rPr>
              <w:fldChar w:fldCharType="begin"/>
            </w:r>
            <w:r w:rsidR="004A20C9">
              <w:rPr>
                <w:noProof/>
                <w:webHidden/>
              </w:rPr>
              <w:instrText xml:space="preserve"> PAGEREF _Toc526819360 \h </w:instrText>
            </w:r>
            <w:r w:rsidR="004A20C9">
              <w:rPr>
                <w:noProof/>
                <w:webHidden/>
              </w:rPr>
            </w:r>
            <w:r w:rsidR="004A20C9">
              <w:rPr>
                <w:noProof/>
                <w:webHidden/>
              </w:rPr>
              <w:fldChar w:fldCharType="separate"/>
            </w:r>
            <w:r w:rsidR="004A20C9">
              <w:rPr>
                <w:noProof/>
                <w:webHidden/>
              </w:rPr>
              <w:t>247</w:t>
            </w:r>
            <w:r w:rsidR="004A20C9">
              <w:rPr>
                <w:noProof/>
                <w:webHidden/>
              </w:rPr>
              <w:fldChar w:fldCharType="end"/>
            </w:r>
          </w:hyperlink>
        </w:p>
        <w:p w14:paraId="2E72DEDB" w14:textId="44B2AB0C" w:rsidR="004A20C9" w:rsidRDefault="0082537D">
          <w:pPr>
            <w:pStyle w:val="TOC2"/>
            <w:tabs>
              <w:tab w:val="right" w:leader="dot" w:pos="8290"/>
            </w:tabs>
            <w:rPr>
              <w:rFonts w:asciiTheme="minorHAnsi" w:eastAsiaTheme="minorEastAsia" w:hAnsiTheme="minorHAnsi" w:cstheme="minorBidi"/>
              <w:noProof/>
              <w:lang w:val="en-GB"/>
            </w:rPr>
          </w:pPr>
          <w:hyperlink w:anchor="_Toc526819361" w:history="1">
            <w:r w:rsidR="004A20C9" w:rsidRPr="00436E45">
              <w:rPr>
                <w:rStyle w:val="Hyperlink"/>
                <w:rFonts w:eastAsiaTheme="minorHAnsi"/>
                <w:noProof/>
                <w:lang w:val="en-GB" w:eastAsia="en-GB"/>
              </w:rPr>
              <w:t>8.3  From the Framework to Reality</w:t>
            </w:r>
            <w:r w:rsidR="004A20C9">
              <w:rPr>
                <w:noProof/>
                <w:webHidden/>
              </w:rPr>
              <w:tab/>
            </w:r>
            <w:r w:rsidR="004A20C9">
              <w:rPr>
                <w:noProof/>
                <w:webHidden/>
              </w:rPr>
              <w:fldChar w:fldCharType="begin"/>
            </w:r>
            <w:r w:rsidR="004A20C9">
              <w:rPr>
                <w:noProof/>
                <w:webHidden/>
              </w:rPr>
              <w:instrText xml:space="preserve"> PAGEREF _Toc526819361 \h </w:instrText>
            </w:r>
            <w:r w:rsidR="004A20C9">
              <w:rPr>
                <w:noProof/>
                <w:webHidden/>
              </w:rPr>
            </w:r>
            <w:r w:rsidR="004A20C9">
              <w:rPr>
                <w:noProof/>
                <w:webHidden/>
              </w:rPr>
              <w:fldChar w:fldCharType="separate"/>
            </w:r>
            <w:r w:rsidR="004A20C9">
              <w:rPr>
                <w:noProof/>
                <w:webHidden/>
              </w:rPr>
              <w:t>255</w:t>
            </w:r>
            <w:r w:rsidR="004A20C9">
              <w:rPr>
                <w:noProof/>
                <w:webHidden/>
              </w:rPr>
              <w:fldChar w:fldCharType="end"/>
            </w:r>
          </w:hyperlink>
        </w:p>
        <w:p w14:paraId="07DC518D" w14:textId="3654A675" w:rsidR="004A20C9" w:rsidRDefault="0082537D">
          <w:pPr>
            <w:pStyle w:val="TOC3"/>
            <w:tabs>
              <w:tab w:val="right" w:leader="dot" w:pos="8290"/>
            </w:tabs>
            <w:rPr>
              <w:rFonts w:asciiTheme="minorHAnsi" w:eastAsiaTheme="minorEastAsia" w:hAnsiTheme="minorHAnsi" w:cstheme="minorBidi"/>
              <w:noProof/>
              <w:lang w:val="en-GB"/>
            </w:rPr>
          </w:pPr>
          <w:hyperlink w:anchor="_Toc526819362" w:history="1">
            <w:r w:rsidR="004A20C9" w:rsidRPr="00436E45">
              <w:rPr>
                <w:rStyle w:val="Hyperlink"/>
                <w:rFonts w:eastAsiaTheme="minorHAnsi"/>
                <w:noProof/>
                <w:lang w:eastAsia="en-GB"/>
              </w:rPr>
              <w:t>8.3.1  Changes in Identity and Capacity to Aspire: ‘Power Within’</w:t>
            </w:r>
            <w:r w:rsidR="004A20C9">
              <w:rPr>
                <w:noProof/>
                <w:webHidden/>
              </w:rPr>
              <w:tab/>
            </w:r>
            <w:r w:rsidR="004A20C9">
              <w:rPr>
                <w:noProof/>
                <w:webHidden/>
              </w:rPr>
              <w:fldChar w:fldCharType="begin"/>
            </w:r>
            <w:r w:rsidR="004A20C9">
              <w:rPr>
                <w:noProof/>
                <w:webHidden/>
              </w:rPr>
              <w:instrText xml:space="preserve"> PAGEREF _Toc526819362 \h </w:instrText>
            </w:r>
            <w:r w:rsidR="004A20C9">
              <w:rPr>
                <w:noProof/>
                <w:webHidden/>
              </w:rPr>
            </w:r>
            <w:r w:rsidR="004A20C9">
              <w:rPr>
                <w:noProof/>
                <w:webHidden/>
              </w:rPr>
              <w:fldChar w:fldCharType="separate"/>
            </w:r>
            <w:r w:rsidR="004A20C9">
              <w:rPr>
                <w:noProof/>
                <w:webHidden/>
              </w:rPr>
              <w:t>255</w:t>
            </w:r>
            <w:r w:rsidR="004A20C9">
              <w:rPr>
                <w:noProof/>
                <w:webHidden/>
              </w:rPr>
              <w:fldChar w:fldCharType="end"/>
            </w:r>
          </w:hyperlink>
        </w:p>
        <w:p w14:paraId="2A314778" w14:textId="5072B5CF" w:rsidR="004A20C9" w:rsidRDefault="0082537D">
          <w:pPr>
            <w:pStyle w:val="TOC3"/>
            <w:tabs>
              <w:tab w:val="right" w:leader="dot" w:pos="8290"/>
            </w:tabs>
            <w:rPr>
              <w:rFonts w:asciiTheme="minorHAnsi" w:eastAsiaTheme="minorEastAsia" w:hAnsiTheme="minorHAnsi" w:cstheme="minorBidi"/>
              <w:noProof/>
              <w:lang w:val="en-GB"/>
            </w:rPr>
          </w:pPr>
          <w:hyperlink w:anchor="_Toc526819363" w:history="1">
            <w:r w:rsidR="004A20C9" w:rsidRPr="00436E45">
              <w:rPr>
                <w:rStyle w:val="Hyperlink"/>
                <w:rFonts w:eastAsiaTheme="minorHAnsi"/>
                <w:noProof/>
                <w:lang w:eastAsia="en-GB"/>
              </w:rPr>
              <w:t>8.3.2  Women Participating: ‘Power To’</w:t>
            </w:r>
            <w:r w:rsidR="004A20C9">
              <w:rPr>
                <w:noProof/>
                <w:webHidden/>
              </w:rPr>
              <w:tab/>
            </w:r>
            <w:r w:rsidR="004A20C9">
              <w:rPr>
                <w:noProof/>
                <w:webHidden/>
              </w:rPr>
              <w:fldChar w:fldCharType="begin"/>
            </w:r>
            <w:r w:rsidR="004A20C9">
              <w:rPr>
                <w:noProof/>
                <w:webHidden/>
              </w:rPr>
              <w:instrText xml:space="preserve"> PAGEREF _Toc526819363 \h </w:instrText>
            </w:r>
            <w:r w:rsidR="004A20C9">
              <w:rPr>
                <w:noProof/>
                <w:webHidden/>
              </w:rPr>
            </w:r>
            <w:r w:rsidR="004A20C9">
              <w:rPr>
                <w:noProof/>
                <w:webHidden/>
              </w:rPr>
              <w:fldChar w:fldCharType="separate"/>
            </w:r>
            <w:r w:rsidR="004A20C9">
              <w:rPr>
                <w:noProof/>
                <w:webHidden/>
              </w:rPr>
              <w:t>257</w:t>
            </w:r>
            <w:r w:rsidR="004A20C9">
              <w:rPr>
                <w:noProof/>
                <w:webHidden/>
              </w:rPr>
              <w:fldChar w:fldCharType="end"/>
            </w:r>
          </w:hyperlink>
        </w:p>
        <w:p w14:paraId="3F8F97BE" w14:textId="742F0991" w:rsidR="004A20C9" w:rsidRDefault="0082537D">
          <w:pPr>
            <w:pStyle w:val="TOC2"/>
            <w:tabs>
              <w:tab w:val="right" w:leader="dot" w:pos="8290"/>
            </w:tabs>
            <w:rPr>
              <w:rFonts w:asciiTheme="minorHAnsi" w:eastAsiaTheme="minorEastAsia" w:hAnsiTheme="minorHAnsi" w:cstheme="minorBidi"/>
              <w:noProof/>
              <w:lang w:val="en-GB"/>
            </w:rPr>
          </w:pPr>
          <w:hyperlink w:anchor="_Toc526819364" w:history="1">
            <w:r w:rsidR="004A20C9" w:rsidRPr="00436E45">
              <w:rPr>
                <w:rStyle w:val="Hyperlink"/>
                <w:rFonts w:eastAsiaTheme="minorHAnsi"/>
                <w:noProof/>
                <w:lang w:val="en-GB" w:eastAsia="en-GB"/>
              </w:rPr>
              <w:t>8.4  Key Messages</w:t>
            </w:r>
            <w:r w:rsidR="004A20C9">
              <w:rPr>
                <w:noProof/>
                <w:webHidden/>
              </w:rPr>
              <w:tab/>
            </w:r>
            <w:r w:rsidR="004A20C9">
              <w:rPr>
                <w:noProof/>
                <w:webHidden/>
              </w:rPr>
              <w:fldChar w:fldCharType="begin"/>
            </w:r>
            <w:r w:rsidR="004A20C9">
              <w:rPr>
                <w:noProof/>
                <w:webHidden/>
              </w:rPr>
              <w:instrText xml:space="preserve"> PAGEREF _Toc526819364 \h </w:instrText>
            </w:r>
            <w:r w:rsidR="004A20C9">
              <w:rPr>
                <w:noProof/>
                <w:webHidden/>
              </w:rPr>
            </w:r>
            <w:r w:rsidR="004A20C9">
              <w:rPr>
                <w:noProof/>
                <w:webHidden/>
              </w:rPr>
              <w:fldChar w:fldCharType="separate"/>
            </w:r>
            <w:r w:rsidR="004A20C9">
              <w:rPr>
                <w:noProof/>
                <w:webHidden/>
              </w:rPr>
              <w:t>260</w:t>
            </w:r>
            <w:r w:rsidR="004A20C9">
              <w:rPr>
                <w:noProof/>
                <w:webHidden/>
              </w:rPr>
              <w:fldChar w:fldCharType="end"/>
            </w:r>
          </w:hyperlink>
        </w:p>
        <w:p w14:paraId="02BD2300" w14:textId="72AF78B7" w:rsidR="004A20C9" w:rsidRDefault="0082537D">
          <w:pPr>
            <w:pStyle w:val="TOC3"/>
            <w:tabs>
              <w:tab w:val="right" w:leader="dot" w:pos="8290"/>
            </w:tabs>
            <w:rPr>
              <w:rFonts w:asciiTheme="minorHAnsi" w:eastAsiaTheme="minorEastAsia" w:hAnsiTheme="minorHAnsi" w:cstheme="minorBidi"/>
              <w:noProof/>
              <w:lang w:val="en-GB"/>
            </w:rPr>
          </w:pPr>
          <w:hyperlink w:anchor="_Toc526819365" w:history="1">
            <w:r w:rsidR="004A20C9" w:rsidRPr="00436E45">
              <w:rPr>
                <w:rStyle w:val="Hyperlink"/>
                <w:rFonts w:eastAsiaTheme="minorHAnsi"/>
                <w:noProof/>
                <w:lang w:eastAsia="en-GB"/>
              </w:rPr>
              <w:t>8.4.1  Women’s Economic Empowerment Is Not Enough</w:t>
            </w:r>
            <w:r w:rsidR="004A20C9">
              <w:rPr>
                <w:noProof/>
                <w:webHidden/>
              </w:rPr>
              <w:tab/>
            </w:r>
            <w:r w:rsidR="004A20C9">
              <w:rPr>
                <w:noProof/>
                <w:webHidden/>
              </w:rPr>
              <w:fldChar w:fldCharType="begin"/>
            </w:r>
            <w:r w:rsidR="004A20C9">
              <w:rPr>
                <w:noProof/>
                <w:webHidden/>
              </w:rPr>
              <w:instrText xml:space="preserve"> PAGEREF _Toc526819365 \h </w:instrText>
            </w:r>
            <w:r w:rsidR="004A20C9">
              <w:rPr>
                <w:noProof/>
                <w:webHidden/>
              </w:rPr>
            </w:r>
            <w:r w:rsidR="004A20C9">
              <w:rPr>
                <w:noProof/>
                <w:webHidden/>
              </w:rPr>
              <w:fldChar w:fldCharType="separate"/>
            </w:r>
            <w:r w:rsidR="004A20C9">
              <w:rPr>
                <w:noProof/>
                <w:webHidden/>
              </w:rPr>
              <w:t>260</w:t>
            </w:r>
            <w:r w:rsidR="004A20C9">
              <w:rPr>
                <w:noProof/>
                <w:webHidden/>
              </w:rPr>
              <w:fldChar w:fldCharType="end"/>
            </w:r>
          </w:hyperlink>
        </w:p>
        <w:p w14:paraId="2CF47BB6" w14:textId="0E1EBE1C" w:rsidR="004A20C9" w:rsidRDefault="0082537D">
          <w:pPr>
            <w:pStyle w:val="TOC3"/>
            <w:tabs>
              <w:tab w:val="right" w:leader="dot" w:pos="8290"/>
            </w:tabs>
            <w:rPr>
              <w:rFonts w:asciiTheme="minorHAnsi" w:eastAsiaTheme="minorEastAsia" w:hAnsiTheme="minorHAnsi" w:cstheme="minorBidi"/>
              <w:noProof/>
              <w:lang w:val="en-GB"/>
            </w:rPr>
          </w:pPr>
          <w:hyperlink w:anchor="_Toc526819366" w:history="1">
            <w:r w:rsidR="004A20C9" w:rsidRPr="00436E45">
              <w:rPr>
                <w:rStyle w:val="Hyperlink"/>
                <w:noProof/>
              </w:rPr>
              <w:t>8.4.2  Individual versus Collective Empowerment Strategies Are Problematic</w:t>
            </w:r>
            <w:r w:rsidR="004A20C9">
              <w:rPr>
                <w:noProof/>
                <w:webHidden/>
              </w:rPr>
              <w:tab/>
            </w:r>
            <w:r w:rsidR="004A20C9">
              <w:rPr>
                <w:noProof/>
                <w:webHidden/>
              </w:rPr>
              <w:fldChar w:fldCharType="begin"/>
            </w:r>
            <w:r w:rsidR="004A20C9">
              <w:rPr>
                <w:noProof/>
                <w:webHidden/>
              </w:rPr>
              <w:instrText xml:space="preserve"> PAGEREF _Toc526819366 \h </w:instrText>
            </w:r>
            <w:r w:rsidR="004A20C9">
              <w:rPr>
                <w:noProof/>
                <w:webHidden/>
              </w:rPr>
            </w:r>
            <w:r w:rsidR="004A20C9">
              <w:rPr>
                <w:noProof/>
                <w:webHidden/>
              </w:rPr>
              <w:fldChar w:fldCharType="separate"/>
            </w:r>
            <w:r w:rsidR="004A20C9">
              <w:rPr>
                <w:noProof/>
                <w:webHidden/>
              </w:rPr>
              <w:t>262</w:t>
            </w:r>
            <w:r w:rsidR="004A20C9">
              <w:rPr>
                <w:noProof/>
                <w:webHidden/>
              </w:rPr>
              <w:fldChar w:fldCharType="end"/>
            </w:r>
          </w:hyperlink>
        </w:p>
        <w:p w14:paraId="3A3ABE40" w14:textId="3050BFB0" w:rsidR="004A20C9" w:rsidRDefault="0082537D">
          <w:pPr>
            <w:pStyle w:val="TOC3"/>
            <w:tabs>
              <w:tab w:val="right" w:leader="dot" w:pos="8290"/>
            </w:tabs>
            <w:rPr>
              <w:rFonts w:asciiTheme="minorHAnsi" w:eastAsiaTheme="minorEastAsia" w:hAnsiTheme="minorHAnsi" w:cstheme="minorBidi"/>
              <w:noProof/>
              <w:lang w:val="en-GB"/>
            </w:rPr>
          </w:pPr>
          <w:hyperlink w:anchor="_Toc526819367" w:history="1">
            <w:r w:rsidR="004A20C9" w:rsidRPr="00436E45">
              <w:rPr>
                <w:rStyle w:val="Hyperlink"/>
                <w:noProof/>
              </w:rPr>
              <w:t>8.4.3  Individual Choice Is Not a Free Choice as Women Have Adapted Preferences</w:t>
            </w:r>
            <w:r w:rsidR="004A20C9">
              <w:rPr>
                <w:noProof/>
                <w:webHidden/>
              </w:rPr>
              <w:tab/>
            </w:r>
            <w:r w:rsidR="004A20C9">
              <w:rPr>
                <w:noProof/>
                <w:webHidden/>
              </w:rPr>
              <w:fldChar w:fldCharType="begin"/>
            </w:r>
            <w:r w:rsidR="004A20C9">
              <w:rPr>
                <w:noProof/>
                <w:webHidden/>
              </w:rPr>
              <w:instrText xml:space="preserve"> PAGEREF _Toc526819367 \h </w:instrText>
            </w:r>
            <w:r w:rsidR="004A20C9">
              <w:rPr>
                <w:noProof/>
                <w:webHidden/>
              </w:rPr>
            </w:r>
            <w:r w:rsidR="004A20C9">
              <w:rPr>
                <w:noProof/>
                <w:webHidden/>
              </w:rPr>
              <w:fldChar w:fldCharType="separate"/>
            </w:r>
            <w:r w:rsidR="004A20C9">
              <w:rPr>
                <w:noProof/>
                <w:webHidden/>
              </w:rPr>
              <w:t>265</w:t>
            </w:r>
            <w:r w:rsidR="004A20C9">
              <w:rPr>
                <w:noProof/>
                <w:webHidden/>
              </w:rPr>
              <w:fldChar w:fldCharType="end"/>
            </w:r>
          </w:hyperlink>
        </w:p>
        <w:p w14:paraId="7AA17284" w14:textId="66C2BAE5" w:rsidR="004A20C9" w:rsidRDefault="0082537D">
          <w:pPr>
            <w:pStyle w:val="TOC3"/>
            <w:tabs>
              <w:tab w:val="right" w:leader="dot" w:pos="8290"/>
            </w:tabs>
            <w:rPr>
              <w:rFonts w:asciiTheme="minorHAnsi" w:eastAsiaTheme="minorEastAsia" w:hAnsiTheme="minorHAnsi" w:cstheme="minorBidi"/>
              <w:noProof/>
              <w:lang w:val="en-GB"/>
            </w:rPr>
          </w:pPr>
          <w:hyperlink w:anchor="_Toc526819368" w:history="1">
            <w:r w:rsidR="004A20C9" w:rsidRPr="00436E45">
              <w:rPr>
                <w:rStyle w:val="Hyperlink"/>
                <w:noProof/>
              </w:rPr>
              <w:t>8.4.4  Resilience or Empowerment? Measuring Survival</w:t>
            </w:r>
            <w:r w:rsidR="004A20C9">
              <w:rPr>
                <w:noProof/>
                <w:webHidden/>
              </w:rPr>
              <w:tab/>
            </w:r>
            <w:r w:rsidR="004A20C9">
              <w:rPr>
                <w:noProof/>
                <w:webHidden/>
              </w:rPr>
              <w:fldChar w:fldCharType="begin"/>
            </w:r>
            <w:r w:rsidR="004A20C9">
              <w:rPr>
                <w:noProof/>
                <w:webHidden/>
              </w:rPr>
              <w:instrText xml:space="preserve"> PAGEREF _Toc526819368 \h </w:instrText>
            </w:r>
            <w:r w:rsidR="004A20C9">
              <w:rPr>
                <w:noProof/>
                <w:webHidden/>
              </w:rPr>
            </w:r>
            <w:r w:rsidR="004A20C9">
              <w:rPr>
                <w:noProof/>
                <w:webHidden/>
              </w:rPr>
              <w:fldChar w:fldCharType="separate"/>
            </w:r>
            <w:r w:rsidR="004A20C9">
              <w:rPr>
                <w:noProof/>
                <w:webHidden/>
              </w:rPr>
              <w:t>266</w:t>
            </w:r>
            <w:r w:rsidR="004A20C9">
              <w:rPr>
                <w:noProof/>
                <w:webHidden/>
              </w:rPr>
              <w:fldChar w:fldCharType="end"/>
            </w:r>
          </w:hyperlink>
        </w:p>
        <w:p w14:paraId="1EB326EB" w14:textId="4EF545E4" w:rsidR="004A20C9" w:rsidRDefault="0082537D">
          <w:pPr>
            <w:pStyle w:val="TOC2"/>
            <w:tabs>
              <w:tab w:val="right" w:leader="dot" w:pos="8290"/>
            </w:tabs>
            <w:rPr>
              <w:rFonts w:asciiTheme="minorHAnsi" w:eastAsiaTheme="minorEastAsia" w:hAnsiTheme="minorHAnsi" w:cstheme="minorBidi"/>
              <w:noProof/>
              <w:lang w:val="en-GB"/>
            </w:rPr>
          </w:pPr>
          <w:hyperlink w:anchor="_Toc526819369" w:history="1">
            <w:r w:rsidR="004A20C9" w:rsidRPr="00436E45">
              <w:rPr>
                <w:rStyle w:val="Hyperlink"/>
                <w:rFonts w:eastAsiaTheme="minorHAnsi"/>
                <w:noProof/>
                <w:lang w:val="en-GB" w:eastAsia="en-GB"/>
              </w:rPr>
              <w:t>8.5  Conclusion</w:t>
            </w:r>
            <w:r w:rsidR="004A20C9">
              <w:rPr>
                <w:noProof/>
                <w:webHidden/>
              </w:rPr>
              <w:tab/>
            </w:r>
            <w:r w:rsidR="004A20C9">
              <w:rPr>
                <w:noProof/>
                <w:webHidden/>
              </w:rPr>
              <w:fldChar w:fldCharType="begin"/>
            </w:r>
            <w:r w:rsidR="004A20C9">
              <w:rPr>
                <w:noProof/>
                <w:webHidden/>
              </w:rPr>
              <w:instrText xml:space="preserve"> PAGEREF _Toc526819369 \h </w:instrText>
            </w:r>
            <w:r w:rsidR="004A20C9">
              <w:rPr>
                <w:noProof/>
                <w:webHidden/>
              </w:rPr>
            </w:r>
            <w:r w:rsidR="004A20C9">
              <w:rPr>
                <w:noProof/>
                <w:webHidden/>
              </w:rPr>
              <w:fldChar w:fldCharType="separate"/>
            </w:r>
            <w:r w:rsidR="004A20C9">
              <w:rPr>
                <w:noProof/>
                <w:webHidden/>
              </w:rPr>
              <w:t>268</w:t>
            </w:r>
            <w:r w:rsidR="004A20C9">
              <w:rPr>
                <w:noProof/>
                <w:webHidden/>
              </w:rPr>
              <w:fldChar w:fldCharType="end"/>
            </w:r>
          </w:hyperlink>
        </w:p>
        <w:p w14:paraId="59E8CDAD" w14:textId="48C7EDF1" w:rsidR="004A20C9" w:rsidRDefault="0082537D">
          <w:pPr>
            <w:pStyle w:val="TOC1"/>
            <w:tabs>
              <w:tab w:val="right" w:leader="dot" w:pos="8290"/>
            </w:tabs>
            <w:rPr>
              <w:rFonts w:asciiTheme="minorHAnsi" w:eastAsiaTheme="minorEastAsia" w:hAnsiTheme="minorHAnsi" w:cstheme="minorBidi"/>
              <w:noProof/>
              <w:lang w:val="en-GB"/>
            </w:rPr>
          </w:pPr>
          <w:hyperlink w:anchor="_Toc526819370" w:history="1">
            <w:r w:rsidR="004A20C9" w:rsidRPr="00436E45">
              <w:rPr>
                <w:rStyle w:val="Hyperlink"/>
                <w:noProof/>
              </w:rPr>
              <w:t>Chapter Nine: Conclusion</w:t>
            </w:r>
            <w:r w:rsidR="004A20C9">
              <w:rPr>
                <w:noProof/>
                <w:webHidden/>
              </w:rPr>
              <w:tab/>
            </w:r>
            <w:r w:rsidR="004A20C9">
              <w:rPr>
                <w:noProof/>
                <w:webHidden/>
              </w:rPr>
              <w:fldChar w:fldCharType="begin"/>
            </w:r>
            <w:r w:rsidR="004A20C9">
              <w:rPr>
                <w:noProof/>
                <w:webHidden/>
              </w:rPr>
              <w:instrText xml:space="preserve"> PAGEREF _Toc526819370 \h </w:instrText>
            </w:r>
            <w:r w:rsidR="004A20C9">
              <w:rPr>
                <w:noProof/>
                <w:webHidden/>
              </w:rPr>
            </w:r>
            <w:r w:rsidR="004A20C9">
              <w:rPr>
                <w:noProof/>
                <w:webHidden/>
              </w:rPr>
              <w:fldChar w:fldCharType="separate"/>
            </w:r>
            <w:r w:rsidR="004A20C9">
              <w:rPr>
                <w:noProof/>
                <w:webHidden/>
              </w:rPr>
              <w:t>270</w:t>
            </w:r>
            <w:r w:rsidR="004A20C9">
              <w:rPr>
                <w:noProof/>
                <w:webHidden/>
              </w:rPr>
              <w:fldChar w:fldCharType="end"/>
            </w:r>
          </w:hyperlink>
        </w:p>
        <w:p w14:paraId="53274A8D" w14:textId="4BAC4691" w:rsidR="004A20C9" w:rsidRDefault="0082537D">
          <w:pPr>
            <w:pStyle w:val="TOC2"/>
            <w:tabs>
              <w:tab w:val="right" w:leader="dot" w:pos="8290"/>
            </w:tabs>
            <w:rPr>
              <w:rFonts w:asciiTheme="minorHAnsi" w:eastAsiaTheme="minorEastAsia" w:hAnsiTheme="minorHAnsi" w:cstheme="minorBidi"/>
              <w:noProof/>
              <w:lang w:val="en-GB"/>
            </w:rPr>
          </w:pPr>
          <w:hyperlink w:anchor="_Toc526819371" w:history="1">
            <w:r w:rsidR="004A20C9" w:rsidRPr="00436E45">
              <w:rPr>
                <w:rStyle w:val="Hyperlink"/>
                <w:rFonts w:eastAsiaTheme="minorHAnsi"/>
                <w:noProof/>
                <w:lang w:eastAsia="en-GB"/>
              </w:rPr>
              <w:t>9.1  Introduction</w:t>
            </w:r>
            <w:r w:rsidR="004A20C9">
              <w:rPr>
                <w:noProof/>
                <w:webHidden/>
              </w:rPr>
              <w:tab/>
            </w:r>
            <w:r w:rsidR="004A20C9">
              <w:rPr>
                <w:noProof/>
                <w:webHidden/>
              </w:rPr>
              <w:fldChar w:fldCharType="begin"/>
            </w:r>
            <w:r w:rsidR="004A20C9">
              <w:rPr>
                <w:noProof/>
                <w:webHidden/>
              </w:rPr>
              <w:instrText xml:space="preserve"> PAGEREF _Toc526819371 \h </w:instrText>
            </w:r>
            <w:r w:rsidR="004A20C9">
              <w:rPr>
                <w:noProof/>
                <w:webHidden/>
              </w:rPr>
            </w:r>
            <w:r w:rsidR="004A20C9">
              <w:rPr>
                <w:noProof/>
                <w:webHidden/>
              </w:rPr>
              <w:fldChar w:fldCharType="separate"/>
            </w:r>
            <w:r w:rsidR="004A20C9">
              <w:rPr>
                <w:noProof/>
                <w:webHidden/>
              </w:rPr>
              <w:t>270</w:t>
            </w:r>
            <w:r w:rsidR="004A20C9">
              <w:rPr>
                <w:noProof/>
                <w:webHidden/>
              </w:rPr>
              <w:fldChar w:fldCharType="end"/>
            </w:r>
          </w:hyperlink>
        </w:p>
        <w:p w14:paraId="2563E1DC" w14:textId="08D6C189" w:rsidR="004A20C9" w:rsidRDefault="0082537D">
          <w:pPr>
            <w:pStyle w:val="TOC2"/>
            <w:tabs>
              <w:tab w:val="right" w:leader="dot" w:pos="8290"/>
            </w:tabs>
            <w:rPr>
              <w:rFonts w:asciiTheme="minorHAnsi" w:eastAsiaTheme="minorEastAsia" w:hAnsiTheme="minorHAnsi" w:cstheme="minorBidi"/>
              <w:noProof/>
              <w:lang w:val="en-GB"/>
            </w:rPr>
          </w:pPr>
          <w:hyperlink w:anchor="_Toc526819372" w:history="1">
            <w:r w:rsidR="004A20C9" w:rsidRPr="00436E45">
              <w:rPr>
                <w:rStyle w:val="Hyperlink"/>
                <w:rFonts w:eastAsiaTheme="minorHAnsi"/>
                <w:noProof/>
                <w:lang w:val="en-GB" w:eastAsia="en-GB"/>
              </w:rPr>
              <w:t>9.2  Defining Unpaid Work</w:t>
            </w:r>
            <w:r w:rsidR="004A20C9">
              <w:rPr>
                <w:noProof/>
                <w:webHidden/>
              </w:rPr>
              <w:tab/>
            </w:r>
            <w:r w:rsidR="004A20C9">
              <w:rPr>
                <w:noProof/>
                <w:webHidden/>
              </w:rPr>
              <w:fldChar w:fldCharType="begin"/>
            </w:r>
            <w:r w:rsidR="004A20C9">
              <w:rPr>
                <w:noProof/>
                <w:webHidden/>
              </w:rPr>
              <w:instrText xml:space="preserve"> PAGEREF _Toc526819372 \h </w:instrText>
            </w:r>
            <w:r w:rsidR="004A20C9">
              <w:rPr>
                <w:noProof/>
                <w:webHidden/>
              </w:rPr>
            </w:r>
            <w:r w:rsidR="004A20C9">
              <w:rPr>
                <w:noProof/>
                <w:webHidden/>
              </w:rPr>
              <w:fldChar w:fldCharType="separate"/>
            </w:r>
            <w:r w:rsidR="004A20C9">
              <w:rPr>
                <w:noProof/>
                <w:webHidden/>
              </w:rPr>
              <w:t>271</w:t>
            </w:r>
            <w:r w:rsidR="004A20C9">
              <w:rPr>
                <w:noProof/>
                <w:webHidden/>
              </w:rPr>
              <w:fldChar w:fldCharType="end"/>
            </w:r>
          </w:hyperlink>
        </w:p>
        <w:p w14:paraId="03DC7836" w14:textId="7A720822" w:rsidR="004A20C9" w:rsidRDefault="0082537D">
          <w:pPr>
            <w:pStyle w:val="TOC2"/>
            <w:tabs>
              <w:tab w:val="right" w:leader="dot" w:pos="8290"/>
            </w:tabs>
            <w:rPr>
              <w:rFonts w:asciiTheme="minorHAnsi" w:eastAsiaTheme="minorEastAsia" w:hAnsiTheme="minorHAnsi" w:cstheme="minorBidi"/>
              <w:noProof/>
              <w:lang w:val="en-GB"/>
            </w:rPr>
          </w:pPr>
          <w:hyperlink w:anchor="_Toc526819373" w:history="1">
            <w:r w:rsidR="004A20C9" w:rsidRPr="00436E45">
              <w:rPr>
                <w:rStyle w:val="Hyperlink"/>
                <w:rFonts w:eastAsiaTheme="minorHAnsi"/>
                <w:noProof/>
                <w:lang w:eastAsia="en-GB"/>
              </w:rPr>
              <w:t>9.3  Measuring Unpaid Work</w:t>
            </w:r>
            <w:r w:rsidR="004A20C9">
              <w:rPr>
                <w:noProof/>
                <w:webHidden/>
              </w:rPr>
              <w:tab/>
            </w:r>
            <w:r w:rsidR="004A20C9">
              <w:rPr>
                <w:noProof/>
                <w:webHidden/>
              </w:rPr>
              <w:fldChar w:fldCharType="begin"/>
            </w:r>
            <w:r w:rsidR="004A20C9">
              <w:rPr>
                <w:noProof/>
                <w:webHidden/>
              </w:rPr>
              <w:instrText xml:space="preserve"> PAGEREF _Toc526819373 \h </w:instrText>
            </w:r>
            <w:r w:rsidR="004A20C9">
              <w:rPr>
                <w:noProof/>
                <w:webHidden/>
              </w:rPr>
            </w:r>
            <w:r w:rsidR="004A20C9">
              <w:rPr>
                <w:noProof/>
                <w:webHidden/>
              </w:rPr>
              <w:fldChar w:fldCharType="separate"/>
            </w:r>
            <w:r w:rsidR="004A20C9">
              <w:rPr>
                <w:noProof/>
                <w:webHidden/>
              </w:rPr>
              <w:t>272</w:t>
            </w:r>
            <w:r w:rsidR="004A20C9">
              <w:rPr>
                <w:noProof/>
                <w:webHidden/>
              </w:rPr>
              <w:fldChar w:fldCharType="end"/>
            </w:r>
          </w:hyperlink>
        </w:p>
        <w:p w14:paraId="3BFC6770" w14:textId="7E3C5BE8" w:rsidR="004A20C9" w:rsidRDefault="0082537D">
          <w:pPr>
            <w:pStyle w:val="TOC2"/>
            <w:tabs>
              <w:tab w:val="right" w:leader="dot" w:pos="8290"/>
            </w:tabs>
            <w:rPr>
              <w:rFonts w:asciiTheme="minorHAnsi" w:eastAsiaTheme="minorEastAsia" w:hAnsiTheme="minorHAnsi" w:cstheme="minorBidi"/>
              <w:noProof/>
              <w:lang w:val="en-GB"/>
            </w:rPr>
          </w:pPr>
          <w:hyperlink w:anchor="_Toc526819374" w:history="1">
            <w:r w:rsidR="004A20C9" w:rsidRPr="00436E45">
              <w:rPr>
                <w:rStyle w:val="Hyperlink"/>
                <w:rFonts w:eastAsiaTheme="minorHAnsi"/>
                <w:noProof/>
                <w:lang w:eastAsia="en-GB"/>
              </w:rPr>
              <w:t>9.4  Pricing Unpaid Work</w:t>
            </w:r>
            <w:r w:rsidR="004A20C9">
              <w:rPr>
                <w:noProof/>
                <w:webHidden/>
              </w:rPr>
              <w:tab/>
            </w:r>
            <w:r w:rsidR="004A20C9">
              <w:rPr>
                <w:noProof/>
                <w:webHidden/>
              </w:rPr>
              <w:fldChar w:fldCharType="begin"/>
            </w:r>
            <w:r w:rsidR="004A20C9">
              <w:rPr>
                <w:noProof/>
                <w:webHidden/>
              </w:rPr>
              <w:instrText xml:space="preserve"> PAGEREF _Toc526819374 \h </w:instrText>
            </w:r>
            <w:r w:rsidR="004A20C9">
              <w:rPr>
                <w:noProof/>
                <w:webHidden/>
              </w:rPr>
            </w:r>
            <w:r w:rsidR="004A20C9">
              <w:rPr>
                <w:noProof/>
                <w:webHidden/>
              </w:rPr>
              <w:fldChar w:fldCharType="separate"/>
            </w:r>
            <w:r w:rsidR="004A20C9">
              <w:rPr>
                <w:noProof/>
                <w:webHidden/>
              </w:rPr>
              <w:t>274</w:t>
            </w:r>
            <w:r w:rsidR="004A20C9">
              <w:rPr>
                <w:noProof/>
                <w:webHidden/>
              </w:rPr>
              <w:fldChar w:fldCharType="end"/>
            </w:r>
          </w:hyperlink>
        </w:p>
        <w:p w14:paraId="5D1919E3" w14:textId="1179986D" w:rsidR="004A20C9" w:rsidRDefault="0082537D">
          <w:pPr>
            <w:pStyle w:val="TOC2"/>
            <w:tabs>
              <w:tab w:val="right" w:leader="dot" w:pos="8290"/>
            </w:tabs>
            <w:rPr>
              <w:rFonts w:asciiTheme="minorHAnsi" w:eastAsiaTheme="minorEastAsia" w:hAnsiTheme="minorHAnsi" w:cstheme="minorBidi"/>
              <w:noProof/>
              <w:lang w:val="en-GB"/>
            </w:rPr>
          </w:pPr>
          <w:hyperlink w:anchor="_Toc526819375" w:history="1">
            <w:r w:rsidR="004A20C9" w:rsidRPr="00436E45">
              <w:rPr>
                <w:rStyle w:val="Hyperlink"/>
                <w:rFonts w:eastAsiaTheme="minorHAnsi"/>
                <w:noProof/>
                <w:lang w:val="en-GB" w:eastAsia="en-GB"/>
              </w:rPr>
              <w:t>9.5  Family Distribution of Time Use</w:t>
            </w:r>
            <w:r w:rsidR="004A20C9">
              <w:rPr>
                <w:noProof/>
                <w:webHidden/>
              </w:rPr>
              <w:tab/>
            </w:r>
            <w:r w:rsidR="004A20C9">
              <w:rPr>
                <w:noProof/>
                <w:webHidden/>
              </w:rPr>
              <w:fldChar w:fldCharType="begin"/>
            </w:r>
            <w:r w:rsidR="004A20C9">
              <w:rPr>
                <w:noProof/>
                <w:webHidden/>
              </w:rPr>
              <w:instrText xml:space="preserve"> PAGEREF _Toc526819375 \h </w:instrText>
            </w:r>
            <w:r w:rsidR="004A20C9">
              <w:rPr>
                <w:noProof/>
                <w:webHidden/>
              </w:rPr>
            </w:r>
            <w:r w:rsidR="004A20C9">
              <w:rPr>
                <w:noProof/>
                <w:webHidden/>
              </w:rPr>
              <w:fldChar w:fldCharType="separate"/>
            </w:r>
            <w:r w:rsidR="004A20C9">
              <w:rPr>
                <w:noProof/>
                <w:webHidden/>
              </w:rPr>
              <w:t>276</w:t>
            </w:r>
            <w:r w:rsidR="004A20C9">
              <w:rPr>
                <w:noProof/>
                <w:webHidden/>
              </w:rPr>
              <w:fldChar w:fldCharType="end"/>
            </w:r>
          </w:hyperlink>
        </w:p>
        <w:p w14:paraId="27031061" w14:textId="27ED6A05" w:rsidR="004A20C9" w:rsidRDefault="0082537D">
          <w:pPr>
            <w:pStyle w:val="TOC2"/>
            <w:tabs>
              <w:tab w:val="right" w:leader="dot" w:pos="8290"/>
            </w:tabs>
            <w:rPr>
              <w:rFonts w:asciiTheme="minorHAnsi" w:eastAsiaTheme="minorEastAsia" w:hAnsiTheme="minorHAnsi" w:cstheme="minorBidi"/>
              <w:noProof/>
              <w:lang w:val="en-GB"/>
            </w:rPr>
          </w:pPr>
          <w:hyperlink w:anchor="_Toc526819376" w:history="1">
            <w:r w:rsidR="004A20C9" w:rsidRPr="00436E45">
              <w:rPr>
                <w:rStyle w:val="Hyperlink"/>
                <w:rFonts w:eastAsiaTheme="minorHAnsi"/>
                <w:noProof/>
                <w:lang w:eastAsia="en-GB"/>
              </w:rPr>
              <w:t>9.6  Factors that Influence Time Use</w:t>
            </w:r>
            <w:r w:rsidR="004A20C9">
              <w:rPr>
                <w:noProof/>
                <w:webHidden/>
              </w:rPr>
              <w:tab/>
            </w:r>
            <w:r w:rsidR="004A20C9">
              <w:rPr>
                <w:noProof/>
                <w:webHidden/>
              </w:rPr>
              <w:fldChar w:fldCharType="begin"/>
            </w:r>
            <w:r w:rsidR="004A20C9">
              <w:rPr>
                <w:noProof/>
                <w:webHidden/>
              </w:rPr>
              <w:instrText xml:space="preserve"> PAGEREF _Toc526819376 \h </w:instrText>
            </w:r>
            <w:r w:rsidR="004A20C9">
              <w:rPr>
                <w:noProof/>
                <w:webHidden/>
              </w:rPr>
            </w:r>
            <w:r w:rsidR="004A20C9">
              <w:rPr>
                <w:noProof/>
                <w:webHidden/>
              </w:rPr>
              <w:fldChar w:fldCharType="separate"/>
            </w:r>
            <w:r w:rsidR="004A20C9">
              <w:rPr>
                <w:noProof/>
                <w:webHidden/>
              </w:rPr>
              <w:t>277</w:t>
            </w:r>
            <w:r w:rsidR="004A20C9">
              <w:rPr>
                <w:noProof/>
                <w:webHidden/>
              </w:rPr>
              <w:fldChar w:fldCharType="end"/>
            </w:r>
          </w:hyperlink>
        </w:p>
        <w:p w14:paraId="3B9816D4" w14:textId="034A5E71" w:rsidR="004A20C9" w:rsidRDefault="0082537D">
          <w:pPr>
            <w:pStyle w:val="TOC2"/>
            <w:tabs>
              <w:tab w:val="right" w:leader="dot" w:pos="8290"/>
            </w:tabs>
            <w:rPr>
              <w:rFonts w:asciiTheme="minorHAnsi" w:eastAsiaTheme="minorEastAsia" w:hAnsiTheme="minorHAnsi" w:cstheme="minorBidi"/>
              <w:noProof/>
              <w:lang w:val="en-GB"/>
            </w:rPr>
          </w:pPr>
          <w:hyperlink w:anchor="_Toc526819377" w:history="1">
            <w:r w:rsidR="004A20C9" w:rsidRPr="00436E45">
              <w:rPr>
                <w:rStyle w:val="Hyperlink"/>
                <w:noProof/>
              </w:rPr>
              <w:t>9.7  Empowerment</w:t>
            </w:r>
            <w:r w:rsidR="004A20C9">
              <w:rPr>
                <w:noProof/>
                <w:webHidden/>
              </w:rPr>
              <w:tab/>
            </w:r>
            <w:r w:rsidR="004A20C9">
              <w:rPr>
                <w:noProof/>
                <w:webHidden/>
              </w:rPr>
              <w:fldChar w:fldCharType="begin"/>
            </w:r>
            <w:r w:rsidR="004A20C9">
              <w:rPr>
                <w:noProof/>
                <w:webHidden/>
              </w:rPr>
              <w:instrText xml:space="preserve"> PAGEREF _Toc526819377 \h </w:instrText>
            </w:r>
            <w:r w:rsidR="004A20C9">
              <w:rPr>
                <w:noProof/>
                <w:webHidden/>
              </w:rPr>
            </w:r>
            <w:r w:rsidR="004A20C9">
              <w:rPr>
                <w:noProof/>
                <w:webHidden/>
              </w:rPr>
              <w:fldChar w:fldCharType="separate"/>
            </w:r>
            <w:r w:rsidR="004A20C9">
              <w:rPr>
                <w:noProof/>
                <w:webHidden/>
              </w:rPr>
              <w:t>278</w:t>
            </w:r>
            <w:r w:rsidR="004A20C9">
              <w:rPr>
                <w:noProof/>
                <w:webHidden/>
              </w:rPr>
              <w:fldChar w:fldCharType="end"/>
            </w:r>
          </w:hyperlink>
        </w:p>
        <w:p w14:paraId="54B0A8B1" w14:textId="29E9D835" w:rsidR="004A20C9" w:rsidRDefault="0082537D">
          <w:pPr>
            <w:pStyle w:val="TOC2"/>
            <w:tabs>
              <w:tab w:val="right" w:leader="dot" w:pos="8290"/>
            </w:tabs>
            <w:rPr>
              <w:rFonts w:asciiTheme="minorHAnsi" w:eastAsiaTheme="minorEastAsia" w:hAnsiTheme="minorHAnsi" w:cstheme="minorBidi"/>
              <w:noProof/>
              <w:lang w:val="en-GB"/>
            </w:rPr>
          </w:pPr>
          <w:hyperlink w:anchor="_Toc526819378" w:history="1">
            <w:r w:rsidR="004A20C9" w:rsidRPr="00436E45">
              <w:rPr>
                <w:rStyle w:val="Hyperlink"/>
                <w:rFonts w:eastAsiaTheme="minorHAnsi"/>
                <w:noProof/>
                <w:lang w:eastAsia="en-GB"/>
              </w:rPr>
              <w:t>9.8  Contributions of My Study</w:t>
            </w:r>
            <w:r w:rsidR="004A20C9">
              <w:rPr>
                <w:noProof/>
                <w:webHidden/>
              </w:rPr>
              <w:tab/>
            </w:r>
            <w:r w:rsidR="004A20C9">
              <w:rPr>
                <w:noProof/>
                <w:webHidden/>
              </w:rPr>
              <w:fldChar w:fldCharType="begin"/>
            </w:r>
            <w:r w:rsidR="004A20C9">
              <w:rPr>
                <w:noProof/>
                <w:webHidden/>
              </w:rPr>
              <w:instrText xml:space="preserve"> PAGEREF _Toc526819378 \h </w:instrText>
            </w:r>
            <w:r w:rsidR="004A20C9">
              <w:rPr>
                <w:noProof/>
                <w:webHidden/>
              </w:rPr>
            </w:r>
            <w:r w:rsidR="004A20C9">
              <w:rPr>
                <w:noProof/>
                <w:webHidden/>
              </w:rPr>
              <w:fldChar w:fldCharType="separate"/>
            </w:r>
            <w:r w:rsidR="004A20C9">
              <w:rPr>
                <w:noProof/>
                <w:webHidden/>
              </w:rPr>
              <w:t>280</w:t>
            </w:r>
            <w:r w:rsidR="004A20C9">
              <w:rPr>
                <w:noProof/>
                <w:webHidden/>
              </w:rPr>
              <w:fldChar w:fldCharType="end"/>
            </w:r>
          </w:hyperlink>
        </w:p>
        <w:p w14:paraId="18447ACD" w14:textId="5126D976" w:rsidR="004A20C9" w:rsidRDefault="0082537D">
          <w:pPr>
            <w:pStyle w:val="TOC2"/>
            <w:tabs>
              <w:tab w:val="right" w:leader="dot" w:pos="8290"/>
            </w:tabs>
            <w:rPr>
              <w:rFonts w:asciiTheme="minorHAnsi" w:eastAsiaTheme="minorEastAsia" w:hAnsiTheme="minorHAnsi" w:cstheme="minorBidi"/>
              <w:noProof/>
              <w:lang w:val="en-GB"/>
            </w:rPr>
          </w:pPr>
          <w:hyperlink w:anchor="_Toc526819379" w:history="1">
            <w:r w:rsidR="004A20C9" w:rsidRPr="00436E45">
              <w:rPr>
                <w:rStyle w:val="Hyperlink"/>
                <w:rFonts w:eastAsiaTheme="minorHAnsi"/>
                <w:noProof/>
                <w:lang w:eastAsia="en-GB"/>
              </w:rPr>
              <w:t>9.9  Final Reflection</w:t>
            </w:r>
            <w:r w:rsidR="004A20C9">
              <w:rPr>
                <w:noProof/>
                <w:webHidden/>
              </w:rPr>
              <w:tab/>
            </w:r>
            <w:r w:rsidR="004A20C9">
              <w:rPr>
                <w:noProof/>
                <w:webHidden/>
              </w:rPr>
              <w:fldChar w:fldCharType="begin"/>
            </w:r>
            <w:r w:rsidR="004A20C9">
              <w:rPr>
                <w:noProof/>
                <w:webHidden/>
              </w:rPr>
              <w:instrText xml:space="preserve"> PAGEREF _Toc526819379 \h </w:instrText>
            </w:r>
            <w:r w:rsidR="004A20C9">
              <w:rPr>
                <w:noProof/>
                <w:webHidden/>
              </w:rPr>
            </w:r>
            <w:r w:rsidR="004A20C9">
              <w:rPr>
                <w:noProof/>
                <w:webHidden/>
              </w:rPr>
              <w:fldChar w:fldCharType="separate"/>
            </w:r>
            <w:r w:rsidR="004A20C9">
              <w:rPr>
                <w:noProof/>
                <w:webHidden/>
              </w:rPr>
              <w:t>281</w:t>
            </w:r>
            <w:r w:rsidR="004A20C9">
              <w:rPr>
                <w:noProof/>
                <w:webHidden/>
              </w:rPr>
              <w:fldChar w:fldCharType="end"/>
            </w:r>
          </w:hyperlink>
        </w:p>
        <w:p w14:paraId="1627BE8D" w14:textId="3EBB6E1E" w:rsidR="004A20C9" w:rsidRDefault="0082537D">
          <w:pPr>
            <w:pStyle w:val="TOC2"/>
            <w:tabs>
              <w:tab w:val="right" w:leader="dot" w:pos="8290"/>
            </w:tabs>
            <w:rPr>
              <w:rFonts w:asciiTheme="minorHAnsi" w:eastAsiaTheme="minorEastAsia" w:hAnsiTheme="minorHAnsi" w:cstheme="minorBidi"/>
              <w:noProof/>
              <w:lang w:val="en-GB"/>
            </w:rPr>
          </w:pPr>
          <w:hyperlink w:anchor="_Toc526819380" w:history="1">
            <w:r w:rsidR="004A20C9" w:rsidRPr="00436E45">
              <w:rPr>
                <w:rStyle w:val="Hyperlink"/>
                <w:rFonts w:eastAsiaTheme="minorHAnsi"/>
                <w:noProof/>
                <w:lang w:eastAsia="en-GB"/>
              </w:rPr>
              <w:t>9.10  Future Directions</w:t>
            </w:r>
            <w:r w:rsidR="004A20C9">
              <w:rPr>
                <w:noProof/>
                <w:webHidden/>
              </w:rPr>
              <w:tab/>
            </w:r>
            <w:r w:rsidR="004A20C9">
              <w:rPr>
                <w:noProof/>
                <w:webHidden/>
              </w:rPr>
              <w:fldChar w:fldCharType="begin"/>
            </w:r>
            <w:r w:rsidR="004A20C9">
              <w:rPr>
                <w:noProof/>
                <w:webHidden/>
              </w:rPr>
              <w:instrText xml:space="preserve"> PAGEREF _Toc526819380 \h </w:instrText>
            </w:r>
            <w:r w:rsidR="004A20C9">
              <w:rPr>
                <w:noProof/>
                <w:webHidden/>
              </w:rPr>
            </w:r>
            <w:r w:rsidR="004A20C9">
              <w:rPr>
                <w:noProof/>
                <w:webHidden/>
              </w:rPr>
              <w:fldChar w:fldCharType="separate"/>
            </w:r>
            <w:r w:rsidR="004A20C9">
              <w:rPr>
                <w:noProof/>
                <w:webHidden/>
              </w:rPr>
              <w:t>282</w:t>
            </w:r>
            <w:r w:rsidR="004A20C9">
              <w:rPr>
                <w:noProof/>
                <w:webHidden/>
              </w:rPr>
              <w:fldChar w:fldCharType="end"/>
            </w:r>
          </w:hyperlink>
        </w:p>
        <w:p w14:paraId="0DC5E3EB" w14:textId="35873395" w:rsidR="004A20C9" w:rsidRDefault="0082537D">
          <w:pPr>
            <w:pStyle w:val="TOC1"/>
            <w:tabs>
              <w:tab w:val="right" w:leader="dot" w:pos="8290"/>
            </w:tabs>
            <w:rPr>
              <w:rFonts w:asciiTheme="minorHAnsi" w:eastAsiaTheme="minorEastAsia" w:hAnsiTheme="minorHAnsi" w:cstheme="minorBidi"/>
              <w:noProof/>
              <w:lang w:val="en-GB"/>
            </w:rPr>
          </w:pPr>
          <w:hyperlink w:anchor="_Toc526819381" w:history="1">
            <w:r w:rsidR="004A20C9" w:rsidRPr="00436E45">
              <w:rPr>
                <w:rStyle w:val="Hyperlink"/>
                <w:noProof/>
              </w:rPr>
              <w:t>BIBLIOGRAPHY</w:t>
            </w:r>
            <w:r w:rsidR="004A20C9">
              <w:rPr>
                <w:noProof/>
                <w:webHidden/>
              </w:rPr>
              <w:tab/>
            </w:r>
            <w:r w:rsidR="004A20C9">
              <w:rPr>
                <w:noProof/>
                <w:webHidden/>
              </w:rPr>
              <w:fldChar w:fldCharType="begin"/>
            </w:r>
            <w:r w:rsidR="004A20C9">
              <w:rPr>
                <w:noProof/>
                <w:webHidden/>
              </w:rPr>
              <w:instrText xml:space="preserve"> PAGEREF _Toc526819381 \h </w:instrText>
            </w:r>
            <w:r w:rsidR="004A20C9">
              <w:rPr>
                <w:noProof/>
                <w:webHidden/>
              </w:rPr>
            </w:r>
            <w:r w:rsidR="004A20C9">
              <w:rPr>
                <w:noProof/>
                <w:webHidden/>
              </w:rPr>
              <w:fldChar w:fldCharType="separate"/>
            </w:r>
            <w:r w:rsidR="004A20C9">
              <w:rPr>
                <w:noProof/>
                <w:webHidden/>
              </w:rPr>
              <w:t>284</w:t>
            </w:r>
            <w:r w:rsidR="004A20C9">
              <w:rPr>
                <w:noProof/>
                <w:webHidden/>
              </w:rPr>
              <w:fldChar w:fldCharType="end"/>
            </w:r>
          </w:hyperlink>
        </w:p>
        <w:p w14:paraId="7BC566CA" w14:textId="698510C1" w:rsidR="004A20C9" w:rsidRDefault="0082537D">
          <w:pPr>
            <w:pStyle w:val="TOC1"/>
            <w:tabs>
              <w:tab w:val="right" w:leader="dot" w:pos="8290"/>
            </w:tabs>
            <w:rPr>
              <w:rFonts w:asciiTheme="minorHAnsi" w:eastAsiaTheme="minorEastAsia" w:hAnsiTheme="minorHAnsi" w:cstheme="minorBidi"/>
              <w:noProof/>
              <w:lang w:val="en-GB"/>
            </w:rPr>
          </w:pPr>
          <w:hyperlink w:anchor="_Toc526819382" w:history="1">
            <w:r w:rsidR="004A20C9" w:rsidRPr="00436E45">
              <w:rPr>
                <w:rStyle w:val="Hyperlink"/>
                <w:noProof/>
              </w:rPr>
              <w:t xml:space="preserve">United Nations (2007) </w:t>
            </w:r>
            <w:r w:rsidR="004A20C9" w:rsidRPr="00436E45">
              <w:rPr>
                <w:rStyle w:val="Hyperlink"/>
                <w:i/>
                <w:noProof/>
              </w:rPr>
              <w:t>Nicaraguan Institute for Women instrumental in mainstreaming gender equality strategies, women’s anti-discrimination told</w:t>
            </w:r>
            <w:r w:rsidR="004A20C9" w:rsidRPr="00436E45">
              <w:rPr>
                <w:rStyle w:val="Hyperlink"/>
                <w:noProof/>
              </w:rPr>
              <w:t>. [Press release] Available from: https://www.un.org/press/en/2007/wom1595.doc.htm [Accessed 4th August 2017].</w:t>
            </w:r>
            <w:r w:rsidR="004A20C9">
              <w:rPr>
                <w:noProof/>
                <w:webHidden/>
              </w:rPr>
              <w:tab/>
            </w:r>
            <w:r w:rsidR="004A20C9">
              <w:rPr>
                <w:noProof/>
                <w:webHidden/>
              </w:rPr>
              <w:fldChar w:fldCharType="begin"/>
            </w:r>
            <w:r w:rsidR="004A20C9">
              <w:rPr>
                <w:noProof/>
                <w:webHidden/>
              </w:rPr>
              <w:instrText xml:space="preserve"> PAGEREF _Toc526819382 \h </w:instrText>
            </w:r>
            <w:r w:rsidR="004A20C9">
              <w:rPr>
                <w:noProof/>
                <w:webHidden/>
              </w:rPr>
            </w:r>
            <w:r w:rsidR="004A20C9">
              <w:rPr>
                <w:noProof/>
                <w:webHidden/>
              </w:rPr>
              <w:fldChar w:fldCharType="separate"/>
            </w:r>
            <w:r w:rsidR="004A20C9">
              <w:rPr>
                <w:noProof/>
                <w:webHidden/>
              </w:rPr>
              <w:t>327</w:t>
            </w:r>
            <w:r w:rsidR="004A20C9">
              <w:rPr>
                <w:noProof/>
                <w:webHidden/>
              </w:rPr>
              <w:fldChar w:fldCharType="end"/>
            </w:r>
          </w:hyperlink>
        </w:p>
        <w:p w14:paraId="5F054AF7" w14:textId="5051FC53" w:rsidR="004A20C9" w:rsidRDefault="0082537D">
          <w:pPr>
            <w:pStyle w:val="TOC1"/>
            <w:tabs>
              <w:tab w:val="right" w:leader="dot" w:pos="8290"/>
            </w:tabs>
            <w:rPr>
              <w:rFonts w:asciiTheme="minorHAnsi" w:eastAsiaTheme="minorEastAsia" w:hAnsiTheme="minorHAnsi" w:cstheme="minorBidi"/>
              <w:noProof/>
              <w:lang w:val="en-GB"/>
            </w:rPr>
          </w:pPr>
          <w:hyperlink w:anchor="_Toc526819383" w:history="1">
            <w:r w:rsidR="004A20C9" w:rsidRPr="00436E45">
              <w:rPr>
                <w:rStyle w:val="Hyperlink"/>
                <w:noProof/>
              </w:rPr>
              <w:t>APPENDIX A: Initial Vision Of The Initiative</w:t>
            </w:r>
            <w:r w:rsidR="004A20C9">
              <w:rPr>
                <w:noProof/>
                <w:webHidden/>
              </w:rPr>
              <w:tab/>
            </w:r>
            <w:r w:rsidR="004A20C9">
              <w:rPr>
                <w:noProof/>
                <w:webHidden/>
              </w:rPr>
              <w:fldChar w:fldCharType="begin"/>
            </w:r>
            <w:r w:rsidR="004A20C9">
              <w:rPr>
                <w:noProof/>
                <w:webHidden/>
              </w:rPr>
              <w:instrText xml:space="preserve"> PAGEREF _Toc526819383 \h </w:instrText>
            </w:r>
            <w:r w:rsidR="004A20C9">
              <w:rPr>
                <w:noProof/>
                <w:webHidden/>
              </w:rPr>
            </w:r>
            <w:r w:rsidR="004A20C9">
              <w:rPr>
                <w:noProof/>
                <w:webHidden/>
              </w:rPr>
              <w:fldChar w:fldCharType="separate"/>
            </w:r>
            <w:r w:rsidR="004A20C9">
              <w:rPr>
                <w:noProof/>
                <w:webHidden/>
              </w:rPr>
              <w:t>334</w:t>
            </w:r>
            <w:r w:rsidR="004A20C9">
              <w:rPr>
                <w:noProof/>
                <w:webHidden/>
              </w:rPr>
              <w:fldChar w:fldCharType="end"/>
            </w:r>
          </w:hyperlink>
        </w:p>
        <w:p w14:paraId="6919E209" w14:textId="2F15F9E1" w:rsidR="004A20C9" w:rsidRDefault="0082537D">
          <w:pPr>
            <w:pStyle w:val="TOC1"/>
            <w:tabs>
              <w:tab w:val="right" w:leader="dot" w:pos="8290"/>
            </w:tabs>
            <w:rPr>
              <w:rFonts w:asciiTheme="minorHAnsi" w:eastAsiaTheme="minorEastAsia" w:hAnsiTheme="minorHAnsi" w:cstheme="minorBidi"/>
              <w:noProof/>
              <w:lang w:val="en-GB"/>
            </w:rPr>
          </w:pPr>
          <w:hyperlink w:anchor="_Toc526819384" w:history="1">
            <w:r w:rsidR="004A20C9" w:rsidRPr="00436E45">
              <w:rPr>
                <w:rStyle w:val="Hyperlink"/>
                <w:noProof/>
              </w:rPr>
              <w:t>APPENDIX B: ROUNDTABLE DISCUSSION</w:t>
            </w:r>
            <w:r w:rsidR="004A20C9">
              <w:rPr>
                <w:noProof/>
                <w:webHidden/>
              </w:rPr>
              <w:tab/>
            </w:r>
            <w:r w:rsidR="004A20C9">
              <w:rPr>
                <w:noProof/>
                <w:webHidden/>
              </w:rPr>
              <w:fldChar w:fldCharType="begin"/>
            </w:r>
            <w:r w:rsidR="004A20C9">
              <w:rPr>
                <w:noProof/>
                <w:webHidden/>
              </w:rPr>
              <w:instrText xml:space="preserve"> PAGEREF _Toc526819384 \h </w:instrText>
            </w:r>
            <w:r w:rsidR="004A20C9">
              <w:rPr>
                <w:noProof/>
                <w:webHidden/>
              </w:rPr>
            </w:r>
            <w:r w:rsidR="004A20C9">
              <w:rPr>
                <w:noProof/>
                <w:webHidden/>
              </w:rPr>
              <w:fldChar w:fldCharType="separate"/>
            </w:r>
            <w:r w:rsidR="004A20C9">
              <w:rPr>
                <w:noProof/>
                <w:webHidden/>
              </w:rPr>
              <w:t>338</w:t>
            </w:r>
            <w:r w:rsidR="004A20C9">
              <w:rPr>
                <w:noProof/>
                <w:webHidden/>
              </w:rPr>
              <w:fldChar w:fldCharType="end"/>
            </w:r>
          </w:hyperlink>
        </w:p>
        <w:p w14:paraId="21015A39" w14:textId="01A86160" w:rsidR="004A20C9" w:rsidRDefault="0082537D">
          <w:pPr>
            <w:pStyle w:val="TOC1"/>
            <w:tabs>
              <w:tab w:val="right" w:leader="dot" w:pos="8290"/>
            </w:tabs>
            <w:rPr>
              <w:rFonts w:asciiTheme="minorHAnsi" w:eastAsiaTheme="minorEastAsia" w:hAnsiTheme="minorHAnsi" w:cstheme="minorBidi"/>
              <w:noProof/>
              <w:lang w:val="en-GB"/>
            </w:rPr>
          </w:pPr>
          <w:hyperlink w:anchor="_Toc526819385" w:history="1">
            <w:r w:rsidR="004A20C9" w:rsidRPr="00436E45">
              <w:rPr>
                <w:rStyle w:val="Hyperlink"/>
                <w:noProof/>
              </w:rPr>
              <w:t>APPENDIX C: A VISUALISATION OF DEPLETION</w:t>
            </w:r>
            <w:r w:rsidR="004A20C9">
              <w:rPr>
                <w:noProof/>
                <w:webHidden/>
              </w:rPr>
              <w:tab/>
            </w:r>
            <w:r w:rsidR="004A20C9">
              <w:rPr>
                <w:noProof/>
                <w:webHidden/>
              </w:rPr>
              <w:fldChar w:fldCharType="begin"/>
            </w:r>
            <w:r w:rsidR="004A20C9">
              <w:rPr>
                <w:noProof/>
                <w:webHidden/>
              </w:rPr>
              <w:instrText xml:space="preserve"> PAGEREF _Toc526819385 \h </w:instrText>
            </w:r>
            <w:r w:rsidR="004A20C9">
              <w:rPr>
                <w:noProof/>
                <w:webHidden/>
              </w:rPr>
            </w:r>
            <w:r w:rsidR="004A20C9">
              <w:rPr>
                <w:noProof/>
                <w:webHidden/>
              </w:rPr>
              <w:fldChar w:fldCharType="separate"/>
            </w:r>
            <w:r w:rsidR="004A20C9">
              <w:rPr>
                <w:noProof/>
                <w:webHidden/>
              </w:rPr>
              <w:t>345</w:t>
            </w:r>
            <w:r w:rsidR="004A20C9">
              <w:rPr>
                <w:noProof/>
                <w:webHidden/>
              </w:rPr>
              <w:fldChar w:fldCharType="end"/>
            </w:r>
          </w:hyperlink>
        </w:p>
        <w:p w14:paraId="4BEF0636" w14:textId="157FF4FD" w:rsidR="004A20C9" w:rsidRDefault="0082537D">
          <w:pPr>
            <w:pStyle w:val="TOC1"/>
            <w:tabs>
              <w:tab w:val="right" w:leader="dot" w:pos="8290"/>
            </w:tabs>
            <w:rPr>
              <w:rFonts w:asciiTheme="minorHAnsi" w:eastAsiaTheme="minorEastAsia" w:hAnsiTheme="minorHAnsi" w:cstheme="minorBidi"/>
              <w:noProof/>
              <w:lang w:val="en-GB"/>
            </w:rPr>
          </w:pPr>
          <w:hyperlink w:anchor="_Toc526819386" w:history="1">
            <w:r w:rsidR="004A20C9" w:rsidRPr="00436E45">
              <w:rPr>
                <w:rStyle w:val="Hyperlink"/>
                <w:noProof/>
              </w:rPr>
              <w:t>APPENDIX D: TUS 1</w:t>
            </w:r>
            <w:r w:rsidR="004A20C9">
              <w:rPr>
                <w:noProof/>
                <w:webHidden/>
              </w:rPr>
              <w:tab/>
            </w:r>
            <w:r w:rsidR="004A20C9">
              <w:rPr>
                <w:noProof/>
                <w:webHidden/>
              </w:rPr>
              <w:fldChar w:fldCharType="begin"/>
            </w:r>
            <w:r w:rsidR="004A20C9">
              <w:rPr>
                <w:noProof/>
                <w:webHidden/>
              </w:rPr>
              <w:instrText xml:space="preserve"> PAGEREF _Toc526819386 \h </w:instrText>
            </w:r>
            <w:r w:rsidR="004A20C9">
              <w:rPr>
                <w:noProof/>
                <w:webHidden/>
              </w:rPr>
            </w:r>
            <w:r w:rsidR="004A20C9">
              <w:rPr>
                <w:noProof/>
                <w:webHidden/>
              </w:rPr>
              <w:fldChar w:fldCharType="separate"/>
            </w:r>
            <w:r w:rsidR="004A20C9">
              <w:rPr>
                <w:noProof/>
                <w:webHidden/>
              </w:rPr>
              <w:t>346</w:t>
            </w:r>
            <w:r w:rsidR="004A20C9">
              <w:rPr>
                <w:noProof/>
                <w:webHidden/>
              </w:rPr>
              <w:fldChar w:fldCharType="end"/>
            </w:r>
          </w:hyperlink>
        </w:p>
        <w:p w14:paraId="2BCE26BA" w14:textId="47347D0D" w:rsidR="004A20C9" w:rsidRDefault="0082537D">
          <w:pPr>
            <w:pStyle w:val="TOC1"/>
            <w:tabs>
              <w:tab w:val="right" w:leader="dot" w:pos="8290"/>
            </w:tabs>
            <w:rPr>
              <w:rFonts w:asciiTheme="minorHAnsi" w:eastAsiaTheme="minorEastAsia" w:hAnsiTheme="minorHAnsi" w:cstheme="minorBidi"/>
              <w:noProof/>
              <w:lang w:val="en-GB"/>
            </w:rPr>
          </w:pPr>
          <w:hyperlink w:anchor="_Toc526819387" w:history="1">
            <w:r w:rsidR="004A20C9" w:rsidRPr="00436E45">
              <w:rPr>
                <w:rStyle w:val="Hyperlink"/>
                <w:noProof/>
              </w:rPr>
              <w:t>APPENDIX E:  HCS</w:t>
            </w:r>
            <w:r w:rsidR="004A20C9">
              <w:rPr>
                <w:noProof/>
                <w:webHidden/>
              </w:rPr>
              <w:tab/>
            </w:r>
            <w:r w:rsidR="004A20C9">
              <w:rPr>
                <w:noProof/>
                <w:webHidden/>
              </w:rPr>
              <w:fldChar w:fldCharType="begin"/>
            </w:r>
            <w:r w:rsidR="004A20C9">
              <w:rPr>
                <w:noProof/>
                <w:webHidden/>
              </w:rPr>
              <w:instrText xml:space="preserve"> PAGEREF _Toc526819387 \h </w:instrText>
            </w:r>
            <w:r w:rsidR="004A20C9">
              <w:rPr>
                <w:noProof/>
                <w:webHidden/>
              </w:rPr>
            </w:r>
            <w:r w:rsidR="004A20C9">
              <w:rPr>
                <w:noProof/>
                <w:webHidden/>
              </w:rPr>
              <w:fldChar w:fldCharType="separate"/>
            </w:r>
            <w:r w:rsidR="004A20C9">
              <w:rPr>
                <w:noProof/>
                <w:webHidden/>
              </w:rPr>
              <w:t>347</w:t>
            </w:r>
            <w:r w:rsidR="004A20C9">
              <w:rPr>
                <w:noProof/>
                <w:webHidden/>
              </w:rPr>
              <w:fldChar w:fldCharType="end"/>
            </w:r>
          </w:hyperlink>
        </w:p>
        <w:p w14:paraId="1EB070A2" w14:textId="661CBB38" w:rsidR="004A20C9" w:rsidRDefault="0082537D">
          <w:pPr>
            <w:pStyle w:val="TOC1"/>
            <w:tabs>
              <w:tab w:val="right" w:leader="dot" w:pos="8290"/>
            </w:tabs>
            <w:rPr>
              <w:rFonts w:asciiTheme="minorHAnsi" w:eastAsiaTheme="minorEastAsia" w:hAnsiTheme="minorHAnsi" w:cstheme="minorBidi"/>
              <w:noProof/>
              <w:lang w:val="en-GB"/>
            </w:rPr>
          </w:pPr>
          <w:hyperlink w:anchor="_Toc526819388" w:history="1">
            <w:r w:rsidR="004A20C9" w:rsidRPr="00436E45">
              <w:rPr>
                <w:rStyle w:val="Hyperlink"/>
                <w:noProof/>
              </w:rPr>
              <w:t>APPENDIX F: TUVI 1: VISUAL ICONS AND PHOTO OF CLOCK FACE</w:t>
            </w:r>
            <w:r w:rsidR="004A20C9">
              <w:rPr>
                <w:noProof/>
                <w:webHidden/>
              </w:rPr>
              <w:tab/>
            </w:r>
            <w:r w:rsidR="004A20C9">
              <w:rPr>
                <w:noProof/>
                <w:webHidden/>
              </w:rPr>
              <w:fldChar w:fldCharType="begin"/>
            </w:r>
            <w:r w:rsidR="004A20C9">
              <w:rPr>
                <w:noProof/>
                <w:webHidden/>
              </w:rPr>
              <w:instrText xml:space="preserve"> PAGEREF _Toc526819388 \h </w:instrText>
            </w:r>
            <w:r w:rsidR="004A20C9">
              <w:rPr>
                <w:noProof/>
                <w:webHidden/>
              </w:rPr>
            </w:r>
            <w:r w:rsidR="004A20C9">
              <w:rPr>
                <w:noProof/>
                <w:webHidden/>
              </w:rPr>
              <w:fldChar w:fldCharType="separate"/>
            </w:r>
            <w:r w:rsidR="004A20C9">
              <w:rPr>
                <w:noProof/>
                <w:webHidden/>
              </w:rPr>
              <w:t>364</w:t>
            </w:r>
            <w:r w:rsidR="004A20C9">
              <w:rPr>
                <w:noProof/>
                <w:webHidden/>
              </w:rPr>
              <w:fldChar w:fldCharType="end"/>
            </w:r>
          </w:hyperlink>
        </w:p>
        <w:p w14:paraId="71DDC021" w14:textId="787CF629" w:rsidR="004A20C9" w:rsidRDefault="0082537D">
          <w:pPr>
            <w:pStyle w:val="TOC1"/>
            <w:tabs>
              <w:tab w:val="right" w:leader="dot" w:pos="8290"/>
            </w:tabs>
            <w:rPr>
              <w:rFonts w:asciiTheme="minorHAnsi" w:eastAsiaTheme="minorEastAsia" w:hAnsiTheme="minorHAnsi" w:cstheme="minorBidi"/>
              <w:noProof/>
              <w:lang w:val="en-GB"/>
            </w:rPr>
          </w:pPr>
          <w:hyperlink w:anchor="_Toc526819389" w:history="1">
            <w:r w:rsidR="004A20C9" w:rsidRPr="00436E45">
              <w:rPr>
                <w:rStyle w:val="Hyperlink"/>
                <w:noProof/>
              </w:rPr>
              <w:t>APPENDIX G: FOCUS GROUP SCHEDULE, WORKSHOP PLAN, AND QUESTIONS</w:t>
            </w:r>
            <w:r w:rsidR="004A20C9">
              <w:rPr>
                <w:noProof/>
                <w:webHidden/>
              </w:rPr>
              <w:tab/>
            </w:r>
            <w:r w:rsidR="004A20C9">
              <w:rPr>
                <w:noProof/>
                <w:webHidden/>
              </w:rPr>
              <w:fldChar w:fldCharType="begin"/>
            </w:r>
            <w:r w:rsidR="004A20C9">
              <w:rPr>
                <w:noProof/>
                <w:webHidden/>
              </w:rPr>
              <w:instrText xml:space="preserve"> PAGEREF _Toc526819389 \h </w:instrText>
            </w:r>
            <w:r w:rsidR="004A20C9">
              <w:rPr>
                <w:noProof/>
                <w:webHidden/>
              </w:rPr>
            </w:r>
            <w:r w:rsidR="004A20C9">
              <w:rPr>
                <w:noProof/>
                <w:webHidden/>
              </w:rPr>
              <w:fldChar w:fldCharType="separate"/>
            </w:r>
            <w:r w:rsidR="004A20C9">
              <w:rPr>
                <w:noProof/>
                <w:webHidden/>
              </w:rPr>
              <w:t>366</w:t>
            </w:r>
            <w:r w:rsidR="004A20C9">
              <w:rPr>
                <w:noProof/>
                <w:webHidden/>
              </w:rPr>
              <w:fldChar w:fldCharType="end"/>
            </w:r>
          </w:hyperlink>
        </w:p>
        <w:p w14:paraId="167D3C60" w14:textId="7D8515AE" w:rsidR="004F74EB" w:rsidRPr="009A7163" w:rsidRDefault="00996FA3">
          <w:r w:rsidRPr="009A7163">
            <w:fldChar w:fldCharType="end"/>
          </w:r>
        </w:p>
      </w:sdtContent>
    </w:sdt>
    <w:p w14:paraId="2713A18D" w14:textId="7EB2BE8A" w:rsidR="001C443C" w:rsidRPr="009A7163" w:rsidRDefault="001C443C" w:rsidP="001C443C">
      <w:pPr>
        <w:spacing w:line="360" w:lineRule="auto"/>
        <w:ind w:firstLine="720"/>
        <w:jc w:val="both"/>
      </w:pPr>
    </w:p>
    <w:p w14:paraId="372975E4" w14:textId="77777777" w:rsidR="001C443C" w:rsidRPr="009A7163" w:rsidRDefault="001C443C" w:rsidP="001C443C">
      <w:pPr>
        <w:spacing w:line="360" w:lineRule="auto"/>
      </w:pPr>
    </w:p>
    <w:p w14:paraId="0C468ACA" w14:textId="77777777" w:rsidR="00F55C18" w:rsidRPr="009A7163" w:rsidRDefault="00F55C18" w:rsidP="001C443C">
      <w:pPr>
        <w:spacing w:line="360" w:lineRule="auto"/>
        <w:sectPr w:rsidR="00F55C18" w:rsidRPr="009A7163" w:rsidSect="00CB5642">
          <w:pgSz w:w="11900" w:h="16840"/>
          <w:pgMar w:top="1440" w:right="1440" w:bottom="1440" w:left="2160" w:header="720" w:footer="720" w:gutter="0"/>
          <w:cols w:space="720"/>
          <w:docGrid w:linePitch="360"/>
        </w:sectPr>
      </w:pPr>
    </w:p>
    <w:p w14:paraId="20EFAA53" w14:textId="7D08592C" w:rsidR="004F74EB" w:rsidRPr="009A7163" w:rsidRDefault="009F66D2" w:rsidP="00293176">
      <w:pPr>
        <w:pStyle w:val="Heading1"/>
      </w:pPr>
      <w:bookmarkStart w:id="3" w:name="_Toc526819239"/>
      <w:r w:rsidRPr="009A7163">
        <w:lastRenderedPageBreak/>
        <w:t>LIST OF TABLES</w:t>
      </w:r>
      <w:bookmarkEnd w:id="3"/>
    </w:p>
    <w:p w14:paraId="6F0AE04A" w14:textId="77777777" w:rsidR="00F55C18" w:rsidRPr="009A7163" w:rsidRDefault="00F55C18">
      <w:pPr>
        <w:spacing w:line="360" w:lineRule="auto"/>
      </w:pPr>
    </w:p>
    <w:p w14:paraId="3871F16D" w14:textId="72C245DA" w:rsidR="00100C2B" w:rsidRDefault="009F66D2">
      <w:pPr>
        <w:pStyle w:val="TableofFigures"/>
        <w:tabs>
          <w:tab w:val="right" w:leader="dot" w:pos="8290"/>
        </w:tabs>
        <w:rPr>
          <w:rFonts w:asciiTheme="minorHAnsi" w:eastAsiaTheme="minorEastAsia" w:hAnsiTheme="minorHAnsi" w:cstheme="minorBidi"/>
          <w:noProof/>
          <w:sz w:val="22"/>
          <w:szCs w:val="22"/>
        </w:rPr>
      </w:pPr>
      <w:r w:rsidRPr="009A7163">
        <w:fldChar w:fldCharType="begin"/>
      </w:r>
      <w:r w:rsidRPr="009A7163">
        <w:instrText xml:space="preserve"> TOC \f F \h \z \t "Table TOC" \c </w:instrText>
      </w:r>
      <w:r w:rsidRPr="009A7163">
        <w:fldChar w:fldCharType="separate"/>
      </w:r>
      <w:hyperlink w:anchor="_Toc526710005" w:history="1">
        <w:r w:rsidR="00100C2B" w:rsidRPr="00C90B5D">
          <w:rPr>
            <w:rStyle w:val="Hyperlink"/>
            <w:noProof/>
          </w:rPr>
          <w:t>Table</w:t>
        </w:r>
        <w:r w:rsidR="00100C2B" w:rsidRPr="00C90B5D">
          <w:rPr>
            <w:rStyle w:val="Hyperlink"/>
            <w:noProof/>
            <w:lang w:val="en-GB"/>
          </w:rPr>
          <w:t xml:space="preserve"> 3.1. Summary of All Data Collection Methods for Both Case Studies</w:t>
        </w:r>
        <w:r w:rsidR="00100C2B">
          <w:rPr>
            <w:noProof/>
            <w:webHidden/>
          </w:rPr>
          <w:tab/>
        </w:r>
        <w:r w:rsidR="00100C2B">
          <w:rPr>
            <w:noProof/>
            <w:webHidden/>
          </w:rPr>
          <w:fldChar w:fldCharType="begin"/>
        </w:r>
        <w:r w:rsidR="00100C2B">
          <w:rPr>
            <w:noProof/>
            <w:webHidden/>
          </w:rPr>
          <w:instrText xml:space="preserve"> PAGEREF _Toc526710005 \h </w:instrText>
        </w:r>
        <w:r w:rsidR="00100C2B">
          <w:rPr>
            <w:noProof/>
            <w:webHidden/>
          </w:rPr>
        </w:r>
        <w:r w:rsidR="00100C2B">
          <w:rPr>
            <w:noProof/>
            <w:webHidden/>
          </w:rPr>
          <w:fldChar w:fldCharType="separate"/>
        </w:r>
        <w:r w:rsidR="00100C2B">
          <w:rPr>
            <w:noProof/>
            <w:webHidden/>
          </w:rPr>
          <w:t>99</w:t>
        </w:r>
        <w:r w:rsidR="00100C2B">
          <w:rPr>
            <w:noProof/>
            <w:webHidden/>
          </w:rPr>
          <w:fldChar w:fldCharType="end"/>
        </w:r>
      </w:hyperlink>
    </w:p>
    <w:p w14:paraId="0647C236" w14:textId="3A658822"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06" w:history="1">
        <w:r w:rsidR="00100C2B" w:rsidRPr="00C90B5D">
          <w:rPr>
            <w:rStyle w:val="Hyperlink"/>
            <w:noProof/>
            <w:lang w:val="en-GB"/>
          </w:rPr>
          <w:t>Table 3.2. Summary of Quantitative Methods (Achuapa)</w:t>
        </w:r>
        <w:r w:rsidR="00100C2B">
          <w:rPr>
            <w:noProof/>
            <w:webHidden/>
          </w:rPr>
          <w:tab/>
        </w:r>
        <w:r w:rsidR="00100C2B">
          <w:rPr>
            <w:noProof/>
            <w:webHidden/>
          </w:rPr>
          <w:fldChar w:fldCharType="begin"/>
        </w:r>
        <w:r w:rsidR="00100C2B">
          <w:rPr>
            <w:noProof/>
            <w:webHidden/>
          </w:rPr>
          <w:instrText xml:space="preserve"> PAGEREF _Toc526710006 \h </w:instrText>
        </w:r>
        <w:r w:rsidR="00100C2B">
          <w:rPr>
            <w:noProof/>
            <w:webHidden/>
          </w:rPr>
        </w:r>
        <w:r w:rsidR="00100C2B">
          <w:rPr>
            <w:noProof/>
            <w:webHidden/>
          </w:rPr>
          <w:fldChar w:fldCharType="separate"/>
        </w:r>
        <w:r w:rsidR="00100C2B">
          <w:rPr>
            <w:noProof/>
            <w:webHidden/>
          </w:rPr>
          <w:t>102</w:t>
        </w:r>
        <w:r w:rsidR="00100C2B">
          <w:rPr>
            <w:noProof/>
            <w:webHidden/>
          </w:rPr>
          <w:fldChar w:fldCharType="end"/>
        </w:r>
      </w:hyperlink>
    </w:p>
    <w:p w14:paraId="09F23C68" w14:textId="155B1426"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07" w:history="1">
        <w:r w:rsidR="00100C2B" w:rsidRPr="00C90B5D">
          <w:rPr>
            <w:rStyle w:val="Hyperlink"/>
            <w:noProof/>
            <w:lang w:val="en-GB"/>
          </w:rPr>
          <w:t>Table 3.3. Summary of Characteristics of Achuapa Sample (Overall Group)</w:t>
        </w:r>
        <w:r w:rsidR="00100C2B">
          <w:rPr>
            <w:noProof/>
            <w:webHidden/>
          </w:rPr>
          <w:tab/>
        </w:r>
        <w:r w:rsidR="00100C2B">
          <w:rPr>
            <w:noProof/>
            <w:webHidden/>
          </w:rPr>
          <w:fldChar w:fldCharType="begin"/>
        </w:r>
        <w:r w:rsidR="00100C2B">
          <w:rPr>
            <w:noProof/>
            <w:webHidden/>
          </w:rPr>
          <w:instrText xml:space="preserve"> PAGEREF _Toc526710007 \h </w:instrText>
        </w:r>
        <w:r w:rsidR="00100C2B">
          <w:rPr>
            <w:noProof/>
            <w:webHidden/>
          </w:rPr>
        </w:r>
        <w:r w:rsidR="00100C2B">
          <w:rPr>
            <w:noProof/>
            <w:webHidden/>
          </w:rPr>
          <w:fldChar w:fldCharType="separate"/>
        </w:r>
        <w:r w:rsidR="00100C2B">
          <w:rPr>
            <w:noProof/>
            <w:webHidden/>
          </w:rPr>
          <w:t>103</w:t>
        </w:r>
        <w:r w:rsidR="00100C2B">
          <w:rPr>
            <w:noProof/>
            <w:webHidden/>
          </w:rPr>
          <w:fldChar w:fldCharType="end"/>
        </w:r>
      </w:hyperlink>
    </w:p>
    <w:p w14:paraId="2D040A65" w14:textId="3517AC92"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08" w:history="1">
        <w:r w:rsidR="00100C2B" w:rsidRPr="00C90B5D">
          <w:rPr>
            <w:rStyle w:val="Hyperlink"/>
            <w:noProof/>
            <w:lang w:val="en-GB"/>
          </w:rPr>
          <w:t>Table 3.4. Achuapa Time Use Surveys (Women)</w:t>
        </w:r>
        <w:r w:rsidR="00100C2B">
          <w:rPr>
            <w:noProof/>
            <w:webHidden/>
          </w:rPr>
          <w:tab/>
        </w:r>
        <w:r w:rsidR="00100C2B">
          <w:rPr>
            <w:noProof/>
            <w:webHidden/>
          </w:rPr>
          <w:fldChar w:fldCharType="begin"/>
        </w:r>
        <w:r w:rsidR="00100C2B">
          <w:rPr>
            <w:noProof/>
            <w:webHidden/>
          </w:rPr>
          <w:instrText xml:space="preserve"> PAGEREF _Toc526710008 \h </w:instrText>
        </w:r>
        <w:r w:rsidR="00100C2B">
          <w:rPr>
            <w:noProof/>
            <w:webHidden/>
          </w:rPr>
        </w:r>
        <w:r w:rsidR="00100C2B">
          <w:rPr>
            <w:noProof/>
            <w:webHidden/>
          </w:rPr>
          <w:fldChar w:fldCharType="separate"/>
        </w:r>
        <w:r w:rsidR="00100C2B">
          <w:rPr>
            <w:noProof/>
            <w:webHidden/>
          </w:rPr>
          <w:t>104</w:t>
        </w:r>
        <w:r w:rsidR="00100C2B">
          <w:rPr>
            <w:noProof/>
            <w:webHidden/>
          </w:rPr>
          <w:fldChar w:fldCharType="end"/>
        </w:r>
      </w:hyperlink>
    </w:p>
    <w:p w14:paraId="0F0F8967" w14:textId="3CBB81FF"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09" w:history="1">
        <w:r w:rsidR="00100C2B" w:rsidRPr="00C90B5D">
          <w:rPr>
            <w:rStyle w:val="Hyperlink"/>
            <w:noProof/>
            <w:lang w:val="en-GB"/>
          </w:rPr>
          <w:t>Table 3.5 Achuapa TUS Family Members (Men and Sons/Daughters)</w:t>
        </w:r>
        <w:r w:rsidR="00100C2B">
          <w:rPr>
            <w:noProof/>
            <w:webHidden/>
          </w:rPr>
          <w:tab/>
        </w:r>
        <w:r w:rsidR="00100C2B">
          <w:rPr>
            <w:noProof/>
            <w:webHidden/>
          </w:rPr>
          <w:fldChar w:fldCharType="begin"/>
        </w:r>
        <w:r w:rsidR="00100C2B">
          <w:rPr>
            <w:noProof/>
            <w:webHidden/>
          </w:rPr>
          <w:instrText xml:space="preserve"> PAGEREF _Toc526710009 \h </w:instrText>
        </w:r>
        <w:r w:rsidR="00100C2B">
          <w:rPr>
            <w:noProof/>
            <w:webHidden/>
          </w:rPr>
        </w:r>
        <w:r w:rsidR="00100C2B">
          <w:rPr>
            <w:noProof/>
            <w:webHidden/>
          </w:rPr>
          <w:fldChar w:fldCharType="separate"/>
        </w:r>
        <w:r w:rsidR="00100C2B">
          <w:rPr>
            <w:noProof/>
            <w:webHidden/>
          </w:rPr>
          <w:t>104</w:t>
        </w:r>
        <w:r w:rsidR="00100C2B">
          <w:rPr>
            <w:noProof/>
            <w:webHidden/>
          </w:rPr>
          <w:fldChar w:fldCharType="end"/>
        </w:r>
      </w:hyperlink>
    </w:p>
    <w:p w14:paraId="6216FD8C" w14:textId="0F1DE12F"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0" w:history="1">
        <w:r w:rsidR="00100C2B" w:rsidRPr="00C90B5D">
          <w:rPr>
            <w:rStyle w:val="Hyperlink"/>
            <w:noProof/>
            <w:lang w:val="en-GB"/>
          </w:rPr>
          <w:t>Table 3.6. Number of Research Participants per Qualitative Method Employed (Achuapa)</w:t>
        </w:r>
        <w:r w:rsidR="00100C2B">
          <w:rPr>
            <w:noProof/>
            <w:webHidden/>
          </w:rPr>
          <w:tab/>
        </w:r>
        <w:r w:rsidR="00100C2B">
          <w:rPr>
            <w:noProof/>
            <w:webHidden/>
          </w:rPr>
          <w:fldChar w:fldCharType="begin"/>
        </w:r>
        <w:r w:rsidR="00100C2B">
          <w:rPr>
            <w:noProof/>
            <w:webHidden/>
          </w:rPr>
          <w:instrText xml:space="preserve"> PAGEREF _Toc526710010 \h </w:instrText>
        </w:r>
        <w:r w:rsidR="00100C2B">
          <w:rPr>
            <w:noProof/>
            <w:webHidden/>
          </w:rPr>
        </w:r>
        <w:r w:rsidR="00100C2B">
          <w:rPr>
            <w:noProof/>
            <w:webHidden/>
          </w:rPr>
          <w:fldChar w:fldCharType="separate"/>
        </w:r>
        <w:r w:rsidR="00100C2B">
          <w:rPr>
            <w:noProof/>
            <w:webHidden/>
          </w:rPr>
          <w:t>104</w:t>
        </w:r>
        <w:r w:rsidR="00100C2B">
          <w:rPr>
            <w:noProof/>
            <w:webHidden/>
          </w:rPr>
          <w:fldChar w:fldCharType="end"/>
        </w:r>
      </w:hyperlink>
    </w:p>
    <w:p w14:paraId="2709C87D" w14:textId="5B93B336"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1" w:history="1">
        <w:r w:rsidR="00100C2B" w:rsidRPr="00C90B5D">
          <w:rPr>
            <w:rStyle w:val="Hyperlink"/>
            <w:noProof/>
            <w:lang w:val="en-GB"/>
          </w:rPr>
          <w:t>Table 3.7. Summary of Quantitative Methods (San Ramón)</w:t>
        </w:r>
        <w:r w:rsidR="00100C2B">
          <w:rPr>
            <w:noProof/>
            <w:webHidden/>
          </w:rPr>
          <w:tab/>
        </w:r>
        <w:r w:rsidR="00100C2B">
          <w:rPr>
            <w:noProof/>
            <w:webHidden/>
          </w:rPr>
          <w:fldChar w:fldCharType="begin"/>
        </w:r>
        <w:r w:rsidR="00100C2B">
          <w:rPr>
            <w:noProof/>
            <w:webHidden/>
          </w:rPr>
          <w:instrText xml:space="preserve"> PAGEREF _Toc526710011 \h </w:instrText>
        </w:r>
        <w:r w:rsidR="00100C2B">
          <w:rPr>
            <w:noProof/>
            <w:webHidden/>
          </w:rPr>
        </w:r>
        <w:r w:rsidR="00100C2B">
          <w:rPr>
            <w:noProof/>
            <w:webHidden/>
          </w:rPr>
          <w:fldChar w:fldCharType="separate"/>
        </w:r>
        <w:r w:rsidR="00100C2B">
          <w:rPr>
            <w:noProof/>
            <w:webHidden/>
          </w:rPr>
          <w:t>106</w:t>
        </w:r>
        <w:r w:rsidR="00100C2B">
          <w:rPr>
            <w:noProof/>
            <w:webHidden/>
          </w:rPr>
          <w:fldChar w:fldCharType="end"/>
        </w:r>
      </w:hyperlink>
    </w:p>
    <w:p w14:paraId="3D5D3B14" w14:textId="6655B42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2" w:history="1">
        <w:r w:rsidR="00100C2B" w:rsidRPr="00C90B5D">
          <w:rPr>
            <w:rStyle w:val="Hyperlink"/>
            <w:noProof/>
            <w:lang w:val="en-GB"/>
          </w:rPr>
          <w:t>Table 3.8. Summary of Characteristics of San Ramón Sample (Overall Group)</w:t>
        </w:r>
        <w:r w:rsidR="00100C2B">
          <w:rPr>
            <w:noProof/>
            <w:webHidden/>
          </w:rPr>
          <w:tab/>
        </w:r>
        <w:r w:rsidR="00100C2B">
          <w:rPr>
            <w:noProof/>
            <w:webHidden/>
          </w:rPr>
          <w:fldChar w:fldCharType="begin"/>
        </w:r>
        <w:r w:rsidR="00100C2B">
          <w:rPr>
            <w:noProof/>
            <w:webHidden/>
          </w:rPr>
          <w:instrText xml:space="preserve"> PAGEREF _Toc526710012 \h </w:instrText>
        </w:r>
        <w:r w:rsidR="00100C2B">
          <w:rPr>
            <w:noProof/>
            <w:webHidden/>
          </w:rPr>
        </w:r>
        <w:r w:rsidR="00100C2B">
          <w:rPr>
            <w:noProof/>
            <w:webHidden/>
          </w:rPr>
          <w:fldChar w:fldCharType="separate"/>
        </w:r>
        <w:r w:rsidR="00100C2B">
          <w:rPr>
            <w:noProof/>
            <w:webHidden/>
          </w:rPr>
          <w:t>107</w:t>
        </w:r>
        <w:r w:rsidR="00100C2B">
          <w:rPr>
            <w:noProof/>
            <w:webHidden/>
          </w:rPr>
          <w:fldChar w:fldCharType="end"/>
        </w:r>
      </w:hyperlink>
    </w:p>
    <w:p w14:paraId="3CB035AC" w14:textId="1782E6A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3" w:history="1">
        <w:r w:rsidR="00100C2B" w:rsidRPr="00C90B5D">
          <w:rPr>
            <w:rStyle w:val="Hyperlink"/>
            <w:noProof/>
            <w:lang w:val="en-GB"/>
          </w:rPr>
          <w:t>Table 3.9. San Ramón Time Use Surveys (Women)</w:t>
        </w:r>
        <w:r w:rsidR="00100C2B">
          <w:rPr>
            <w:noProof/>
            <w:webHidden/>
          </w:rPr>
          <w:tab/>
        </w:r>
        <w:r w:rsidR="00100C2B">
          <w:rPr>
            <w:noProof/>
            <w:webHidden/>
          </w:rPr>
          <w:fldChar w:fldCharType="begin"/>
        </w:r>
        <w:r w:rsidR="00100C2B">
          <w:rPr>
            <w:noProof/>
            <w:webHidden/>
          </w:rPr>
          <w:instrText xml:space="preserve"> PAGEREF _Toc526710013 \h </w:instrText>
        </w:r>
        <w:r w:rsidR="00100C2B">
          <w:rPr>
            <w:noProof/>
            <w:webHidden/>
          </w:rPr>
        </w:r>
        <w:r w:rsidR="00100C2B">
          <w:rPr>
            <w:noProof/>
            <w:webHidden/>
          </w:rPr>
          <w:fldChar w:fldCharType="separate"/>
        </w:r>
        <w:r w:rsidR="00100C2B">
          <w:rPr>
            <w:noProof/>
            <w:webHidden/>
          </w:rPr>
          <w:t>108</w:t>
        </w:r>
        <w:r w:rsidR="00100C2B">
          <w:rPr>
            <w:noProof/>
            <w:webHidden/>
          </w:rPr>
          <w:fldChar w:fldCharType="end"/>
        </w:r>
      </w:hyperlink>
    </w:p>
    <w:p w14:paraId="4F07E54B" w14:textId="53FC684D"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4" w:history="1">
        <w:r w:rsidR="00100C2B" w:rsidRPr="00C90B5D">
          <w:rPr>
            <w:rStyle w:val="Hyperlink"/>
            <w:noProof/>
            <w:lang w:val="en-GB"/>
          </w:rPr>
          <w:t>Table 3.10. San Ramón Time Use Surveys Family Members (Men and Sons/Daughters)</w:t>
        </w:r>
        <w:r w:rsidR="00100C2B">
          <w:rPr>
            <w:noProof/>
            <w:webHidden/>
          </w:rPr>
          <w:tab/>
        </w:r>
        <w:r w:rsidR="00100C2B">
          <w:rPr>
            <w:noProof/>
            <w:webHidden/>
          </w:rPr>
          <w:fldChar w:fldCharType="begin"/>
        </w:r>
        <w:r w:rsidR="00100C2B">
          <w:rPr>
            <w:noProof/>
            <w:webHidden/>
          </w:rPr>
          <w:instrText xml:space="preserve"> PAGEREF _Toc526710014 \h </w:instrText>
        </w:r>
        <w:r w:rsidR="00100C2B">
          <w:rPr>
            <w:noProof/>
            <w:webHidden/>
          </w:rPr>
        </w:r>
        <w:r w:rsidR="00100C2B">
          <w:rPr>
            <w:noProof/>
            <w:webHidden/>
          </w:rPr>
          <w:fldChar w:fldCharType="separate"/>
        </w:r>
        <w:r w:rsidR="00100C2B">
          <w:rPr>
            <w:noProof/>
            <w:webHidden/>
          </w:rPr>
          <w:t>108</w:t>
        </w:r>
        <w:r w:rsidR="00100C2B">
          <w:rPr>
            <w:noProof/>
            <w:webHidden/>
          </w:rPr>
          <w:fldChar w:fldCharType="end"/>
        </w:r>
      </w:hyperlink>
    </w:p>
    <w:p w14:paraId="7CF457F7" w14:textId="72C19C6B"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5" w:history="1">
        <w:r w:rsidR="00100C2B" w:rsidRPr="00C90B5D">
          <w:rPr>
            <w:rStyle w:val="Hyperlink"/>
            <w:noProof/>
            <w:lang w:val="en-GB"/>
          </w:rPr>
          <w:t>Table 3.11. Number of Research Participants per Qualitative Method Employed (San Ramón)</w:t>
        </w:r>
        <w:r w:rsidR="00100C2B">
          <w:rPr>
            <w:noProof/>
            <w:webHidden/>
          </w:rPr>
          <w:tab/>
        </w:r>
        <w:r w:rsidR="00100C2B">
          <w:rPr>
            <w:noProof/>
            <w:webHidden/>
          </w:rPr>
          <w:fldChar w:fldCharType="begin"/>
        </w:r>
        <w:r w:rsidR="00100C2B">
          <w:rPr>
            <w:noProof/>
            <w:webHidden/>
          </w:rPr>
          <w:instrText xml:space="preserve"> PAGEREF _Toc526710015 \h </w:instrText>
        </w:r>
        <w:r w:rsidR="00100C2B">
          <w:rPr>
            <w:noProof/>
            <w:webHidden/>
          </w:rPr>
        </w:r>
        <w:r w:rsidR="00100C2B">
          <w:rPr>
            <w:noProof/>
            <w:webHidden/>
          </w:rPr>
          <w:fldChar w:fldCharType="separate"/>
        </w:r>
        <w:r w:rsidR="00100C2B">
          <w:rPr>
            <w:noProof/>
            <w:webHidden/>
          </w:rPr>
          <w:t>108</w:t>
        </w:r>
        <w:r w:rsidR="00100C2B">
          <w:rPr>
            <w:noProof/>
            <w:webHidden/>
          </w:rPr>
          <w:fldChar w:fldCharType="end"/>
        </w:r>
      </w:hyperlink>
    </w:p>
    <w:p w14:paraId="44DFAA3F" w14:textId="4482954F"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6" w:history="1">
        <w:r w:rsidR="00100C2B" w:rsidRPr="00C90B5D">
          <w:rPr>
            <w:rStyle w:val="Hyperlink"/>
            <w:noProof/>
            <w:lang w:val="en-GB"/>
          </w:rPr>
          <w:t>Table 3.12. Focus Groups in San Ramón</w:t>
        </w:r>
        <w:r w:rsidR="00100C2B">
          <w:rPr>
            <w:noProof/>
            <w:webHidden/>
          </w:rPr>
          <w:tab/>
        </w:r>
        <w:r w:rsidR="00100C2B">
          <w:rPr>
            <w:noProof/>
            <w:webHidden/>
          </w:rPr>
          <w:fldChar w:fldCharType="begin"/>
        </w:r>
        <w:r w:rsidR="00100C2B">
          <w:rPr>
            <w:noProof/>
            <w:webHidden/>
          </w:rPr>
          <w:instrText xml:space="preserve"> PAGEREF _Toc526710016 \h </w:instrText>
        </w:r>
        <w:r w:rsidR="00100C2B">
          <w:rPr>
            <w:noProof/>
            <w:webHidden/>
          </w:rPr>
        </w:r>
        <w:r w:rsidR="00100C2B">
          <w:rPr>
            <w:noProof/>
            <w:webHidden/>
          </w:rPr>
          <w:fldChar w:fldCharType="separate"/>
        </w:r>
        <w:r w:rsidR="00100C2B">
          <w:rPr>
            <w:noProof/>
            <w:webHidden/>
          </w:rPr>
          <w:t>109</w:t>
        </w:r>
        <w:r w:rsidR="00100C2B">
          <w:rPr>
            <w:noProof/>
            <w:webHidden/>
          </w:rPr>
          <w:fldChar w:fldCharType="end"/>
        </w:r>
      </w:hyperlink>
    </w:p>
    <w:p w14:paraId="5393151E" w14:textId="455BF25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7" w:history="1">
        <w:r w:rsidR="00100C2B" w:rsidRPr="00C90B5D">
          <w:rPr>
            <w:rStyle w:val="Hyperlink"/>
            <w:noProof/>
          </w:rPr>
          <w:t>Table 4.1. San Ramón Price Breakdown 2014-15 (CAN, 2015)</w:t>
        </w:r>
        <w:r w:rsidR="00100C2B">
          <w:rPr>
            <w:noProof/>
            <w:webHidden/>
          </w:rPr>
          <w:tab/>
        </w:r>
        <w:r w:rsidR="00100C2B">
          <w:rPr>
            <w:noProof/>
            <w:webHidden/>
          </w:rPr>
          <w:fldChar w:fldCharType="begin"/>
        </w:r>
        <w:r w:rsidR="00100C2B">
          <w:rPr>
            <w:noProof/>
            <w:webHidden/>
          </w:rPr>
          <w:instrText xml:space="preserve"> PAGEREF _Toc526710017 \h </w:instrText>
        </w:r>
        <w:r w:rsidR="00100C2B">
          <w:rPr>
            <w:noProof/>
            <w:webHidden/>
          </w:rPr>
        </w:r>
        <w:r w:rsidR="00100C2B">
          <w:rPr>
            <w:noProof/>
            <w:webHidden/>
          </w:rPr>
          <w:fldChar w:fldCharType="separate"/>
        </w:r>
        <w:r w:rsidR="00100C2B">
          <w:rPr>
            <w:noProof/>
            <w:webHidden/>
          </w:rPr>
          <w:t>151</w:t>
        </w:r>
        <w:r w:rsidR="00100C2B">
          <w:rPr>
            <w:noProof/>
            <w:webHidden/>
          </w:rPr>
          <w:fldChar w:fldCharType="end"/>
        </w:r>
      </w:hyperlink>
    </w:p>
    <w:p w14:paraId="4C9DFEC2" w14:textId="5624B7CD"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8" w:history="1">
        <w:r w:rsidR="00100C2B" w:rsidRPr="00C90B5D">
          <w:rPr>
            <w:rStyle w:val="Hyperlink"/>
            <w:noProof/>
          </w:rPr>
          <w:t>Table 5.1. Women’s Contribution to Sesame According to Men’s Focus Group – Investment per manzana</w:t>
        </w:r>
        <w:r w:rsidR="00100C2B" w:rsidRPr="00C90B5D">
          <w:rPr>
            <w:rStyle w:val="Hyperlink"/>
            <w:noProof/>
            <w:vertAlign w:val="superscript"/>
          </w:rPr>
          <w:t>a</w:t>
        </w:r>
        <w:r w:rsidR="00100C2B">
          <w:rPr>
            <w:noProof/>
            <w:webHidden/>
          </w:rPr>
          <w:tab/>
        </w:r>
        <w:r w:rsidR="00100C2B">
          <w:rPr>
            <w:noProof/>
            <w:webHidden/>
          </w:rPr>
          <w:fldChar w:fldCharType="begin"/>
        </w:r>
        <w:r w:rsidR="00100C2B">
          <w:rPr>
            <w:noProof/>
            <w:webHidden/>
          </w:rPr>
          <w:instrText xml:space="preserve"> PAGEREF _Toc526710018 \h </w:instrText>
        </w:r>
        <w:r w:rsidR="00100C2B">
          <w:rPr>
            <w:noProof/>
            <w:webHidden/>
          </w:rPr>
        </w:r>
        <w:r w:rsidR="00100C2B">
          <w:rPr>
            <w:noProof/>
            <w:webHidden/>
          </w:rPr>
          <w:fldChar w:fldCharType="separate"/>
        </w:r>
        <w:r w:rsidR="00100C2B">
          <w:rPr>
            <w:noProof/>
            <w:webHidden/>
          </w:rPr>
          <w:t>179</w:t>
        </w:r>
        <w:r w:rsidR="00100C2B">
          <w:rPr>
            <w:noProof/>
            <w:webHidden/>
          </w:rPr>
          <w:fldChar w:fldCharType="end"/>
        </w:r>
      </w:hyperlink>
    </w:p>
    <w:p w14:paraId="644330AA" w14:textId="614A5207"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19" w:history="1">
        <w:r w:rsidR="00100C2B" w:rsidRPr="00C90B5D">
          <w:rPr>
            <w:rStyle w:val="Hyperlink"/>
            <w:noProof/>
          </w:rPr>
          <w:t>Table 6.1. Household Survey Question 7.21</w:t>
        </w:r>
        <w:r w:rsidR="00100C2B">
          <w:rPr>
            <w:noProof/>
            <w:webHidden/>
          </w:rPr>
          <w:tab/>
        </w:r>
        <w:r w:rsidR="00100C2B">
          <w:rPr>
            <w:noProof/>
            <w:webHidden/>
          </w:rPr>
          <w:fldChar w:fldCharType="begin"/>
        </w:r>
        <w:r w:rsidR="00100C2B">
          <w:rPr>
            <w:noProof/>
            <w:webHidden/>
          </w:rPr>
          <w:instrText xml:space="preserve"> PAGEREF _Toc526710019 \h </w:instrText>
        </w:r>
        <w:r w:rsidR="00100C2B">
          <w:rPr>
            <w:noProof/>
            <w:webHidden/>
          </w:rPr>
        </w:r>
        <w:r w:rsidR="00100C2B">
          <w:rPr>
            <w:noProof/>
            <w:webHidden/>
          </w:rPr>
          <w:fldChar w:fldCharType="separate"/>
        </w:r>
        <w:r w:rsidR="00100C2B">
          <w:rPr>
            <w:noProof/>
            <w:webHidden/>
          </w:rPr>
          <w:t>196</w:t>
        </w:r>
        <w:r w:rsidR="00100C2B">
          <w:rPr>
            <w:noProof/>
            <w:webHidden/>
          </w:rPr>
          <w:fldChar w:fldCharType="end"/>
        </w:r>
      </w:hyperlink>
    </w:p>
    <w:p w14:paraId="00AEE1F2" w14:textId="2255D74B"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0" w:history="1">
        <w:r w:rsidR="00100C2B" w:rsidRPr="00C90B5D">
          <w:rPr>
            <w:rStyle w:val="Hyperlink"/>
            <w:noProof/>
          </w:rPr>
          <w:t>Table 6.2. Household Survey Question 6.2, Achuapa (Women)</w:t>
        </w:r>
        <w:r w:rsidR="00100C2B">
          <w:rPr>
            <w:noProof/>
            <w:webHidden/>
          </w:rPr>
          <w:tab/>
        </w:r>
        <w:r w:rsidR="00100C2B">
          <w:rPr>
            <w:noProof/>
            <w:webHidden/>
          </w:rPr>
          <w:fldChar w:fldCharType="begin"/>
        </w:r>
        <w:r w:rsidR="00100C2B">
          <w:rPr>
            <w:noProof/>
            <w:webHidden/>
          </w:rPr>
          <w:instrText xml:space="preserve"> PAGEREF _Toc526710020 \h </w:instrText>
        </w:r>
        <w:r w:rsidR="00100C2B">
          <w:rPr>
            <w:noProof/>
            <w:webHidden/>
          </w:rPr>
        </w:r>
        <w:r w:rsidR="00100C2B">
          <w:rPr>
            <w:noProof/>
            <w:webHidden/>
          </w:rPr>
          <w:fldChar w:fldCharType="separate"/>
        </w:r>
        <w:r w:rsidR="00100C2B">
          <w:rPr>
            <w:noProof/>
            <w:webHidden/>
          </w:rPr>
          <w:t>197</w:t>
        </w:r>
        <w:r w:rsidR="00100C2B">
          <w:rPr>
            <w:noProof/>
            <w:webHidden/>
          </w:rPr>
          <w:fldChar w:fldCharType="end"/>
        </w:r>
      </w:hyperlink>
    </w:p>
    <w:p w14:paraId="501EC1E0" w14:textId="0A488213"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1" w:history="1">
        <w:r w:rsidR="00100C2B" w:rsidRPr="00C90B5D">
          <w:rPr>
            <w:rStyle w:val="Hyperlink"/>
            <w:noProof/>
          </w:rPr>
          <w:t>Table 6.3. Household Survey Question 6.2, Achuapa (Men)</w:t>
        </w:r>
        <w:r w:rsidR="00100C2B">
          <w:rPr>
            <w:noProof/>
            <w:webHidden/>
          </w:rPr>
          <w:tab/>
        </w:r>
        <w:r w:rsidR="00100C2B">
          <w:rPr>
            <w:noProof/>
            <w:webHidden/>
          </w:rPr>
          <w:fldChar w:fldCharType="begin"/>
        </w:r>
        <w:r w:rsidR="00100C2B">
          <w:rPr>
            <w:noProof/>
            <w:webHidden/>
          </w:rPr>
          <w:instrText xml:space="preserve"> PAGEREF _Toc526710021 \h </w:instrText>
        </w:r>
        <w:r w:rsidR="00100C2B">
          <w:rPr>
            <w:noProof/>
            <w:webHidden/>
          </w:rPr>
        </w:r>
        <w:r w:rsidR="00100C2B">
          <w:rPr>
            <w:noProof/>
            <w:webHidden/>
          </w:rPr>
          <w:fldChar w:fldCharType="separate"/>
        </w:r>
        <w:r w:rsidR="00100C2B">
          <w:rPr>
            <w:noProof/>
            <w:webHidden/>
          </w:rPr>
          <w:t>197</w:t>
        </w:r>
        <w:r w:rsidR="00100C2B">
          <w:rPr>
            <w:noProof/>
            <w:webHidden/>
          </w:rPr>
          <w:fldChar w:fldCharType="end"/>
        </w:r>
      </w:hyperlink>
    </w:p>
    <w:p w14:paraId="47009AB9" w14:textId="3AE0FD20"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2" w:history="1">
        <w:r w:rsidR="00100C2B" w:rsidRPr="00C90B5D">
          <w:rPr>
            <w:rStyle w:val="Hyperlink"/>
            <w:rFonts w:eastAsiaTheme="minorHAnsi"/>
            <w:noProof/>
            <w:lang w:val="en-GB" w:eastAsia="en-GB"/>
          </w:rPr>
          <w:t>Table 6.4. Household Survey Question 6.2, Achuapa (Sons and Daughters)</w:t>
        </w:r>
        <w:r w:rsidR="00100C2B">
          <w:rPr>
            <w:noProof/>
            <w:webHidden/>
          </w:rPr>
          <w:tab/>
        </w:r>
        <w:r w:rsidR="00100C2B">
          <w:rPr>
            <w:noProof/>
            <w:webHidden/>
          </w:rPr>
          <w:fldChar w:fldCharType="begin"/>
        </w:r>
        <w:r w:rsidR="00100C2B">
          <w:rPr>
            <w:noProof/>
            <w:webHidden/>
          </w:rPr>
          <w:instrText xml:space="preserve"> PAGEREF _Toc526710022 \h </w:instrText>
        </w:r>
        <w:r w:rsidR="00100C2B">
          <w:rPr>
            <w:noProof/>
            <w:webHidden/>
          </w:rPr>
        </w:r>
        <w:r w:rsidR="00100C2B">
          <w:rPr>
            <w:noProof/>
            <w:webHidden/>
          </w:rPr>
          <w:fldChar w:fldCharType="separate"/>
        </w:r>
        <w:r w:rsidR="00100C2B">
          <w:rPr>
            <w:noProof/>
            <w:webHidden/>
          </w:rPr>
          <w:t>198</w:t>
        </w:r>
        <w:r w:rsidR="00100C2B">
          <w:rPr>
            <w:noProof/>
            <w:webHidden/>
          </w:rPr>
          <w:fldChar w:fldCharType="end"/>
        </w:r>
      </w:hyperlink>
    </w:p>
    <w:p w14:paraId="7D3C832B" w14:textId="3D56920F"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3" w:history="1">
        <w:r w:rsidR="00100C2B" w:rsidRPr="00C90B5D">
          <w:rPr>
            <w:rStyle w:val="Hyperlink"/>
            <w:noProof/>
          </w:rPr>
          <w:t>Table 6.4. Household Survey Question 6.2, La Pita (8 Interviews with Women Participants)</w:t>
        </w:r>
        <w:r w:rsidR="00100C2B">
          <w:rPr>
            <w:noProof/>
            <w:webHidden/>
          </w:rPr>
          <w:tab/>
        </w:r>
        <w:r w:rsidR="00100C2B">
          <w:rPr>
            <w:noProof/>
            <w:webHidden/>
          </w:rPr>
          <w:fldChar w:fldCharType="begin"/>
        </w:r>
        <w:r w:rsidR="00100C2B">
          <w:rPr>
            <w:noProof/>
            <w:webHidden/>
          </w:rPr>
          <w:instrText xml:space="preserve"> PAGEREF _Toc526710023 \h </w:instrText>
        </w:r>
        <w:r w:rsidR="00100C2B">
          <w:rPr>
            <w:noProof/>
            <w:webHidden/>
          </w:rPr>
        </w:r>
        <w:r w:rsidR="00100C2B">
          <w:rPr>
            <w:noProof/>
            <w:webHidden/>
          </w:rPr>
          <w:fldChar w:fldCharType="separate"/>
        </w:r>
        <w:r w:rsidR="00100C2B">
          <w:rPr>
            <w:noProof/>
            <w:webHidden/>
          </w:rPr>
          <w:t>209</w:t>
        </w:r>
        <w:r w:rsidR="00100C2B">
          <w:rPr>
            <w:noProof/>
            <w:webHidden/>
          </w:rPr>
          <w:fldChar w:fldCharType="end"/>
        </w:r>
      </w:hyperlink>
    </w:p>
    <w:p w14:paraId="15811244" w14:textId="72BAB0F4"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4" w:history="1">
        <w:r w:rsidR="00100C2B" w:rsidRPr="00C90B5D">
          <w:rPr>
            <w:rStyle w:val="Hyperlink"/>
            <w:noProof/>
            <w:lang w:val="en-GB" w:eastAsia="en-GB"/>
          </w:rPr>
          <w:t>Table 6.5. Household Survey, Question 6.21, La Reina (9 interviewees with Women Participants)</w:t>
        </w:r>
        <w:r w:rsidR="00100C2B">
          <w:rPr>
            <w:noProof/>
            <w:webHidden/>
          </w:rPr>
          <w:tab/>
        </w:r>
        <w:r w:rsidR="00100C2B">
          <w:rPr>
            <w:noProof/>
            <w:webHidden/>
          </w:rPr>
          <w:fldChar w:fldCharType="begin"/>
        </w:r>
        <w:r w:rsidR="00100C2B">
          <w:rPr>
            <w:noProof/>
            <w:webHidden/>
          </w:rPr>
          <w:instrText xml:space="preserve"> PAGEREF _Toc526710024 \h </w:instrText>
        </w:r>
        <w:r w:rsidR="00100C2B">
          <w:rPr>
            <w:noProof/>
            <w:webHidden/>
          </w:rPr>
        </w:r>
        <w:r w:rsidR="00100C2B">
          <w:rPr>
            <w:noProof/>
            <w:webHidden/>
          </w:rPr>
          <w:fldChar w:fldCharType="separate"/>
        </w:r>
        <w:r w:rsidR="00100C2B">
          <w:rPr>
            <w:noProof/>
            <w:webHidden/>
          </w:rPr>
          <w:t>209</w:t>
        </w:r>
        <w:r w:rsidR="00100C2B">
          <w:rPr>
            <w:noProof/>
            <w:webHidden/>
          </w:rPr>
          <w:fldChar w:fldCharType="end"/>
        </w:r>
      </w:hyperlink>
    </w:p>
    <w:p w14:paraId="13A6881B" w14:textId="299873D9"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5" w:history="1">
        <w:r w:rsidR="00100C2B" w:rsidRPr="00C90B5D">
          <w:rPr>
            <w:rStyle w:val="Hyperlink"/>
            <w:noProof/>
            <w:lang w:val="en-GB" w:eastAsia="en-GB"/>
          </w:rPr>
          <w:t>Table 6.6. Household Survey, Question 6.21, La Pita and La Reina combined (5 total interviewees with Partners)</w:t>
        </w:r>
        <w:r w:rsidR="00100C2B">
          <w:rPr>
            <w:noProof/>
            <w:webHidden/>
          </w:rPr>
          <w:tab/>
        </w:r>
        <w:r w:rsidR="00100C2B">
          <w:rPr>
            <w:noProof/>
            <w:webHidden/>
          </w:rPr>
          <w:fldChar w:fldCharType="begin"/>
        </w:r>
        <w:r w:rsidR="00100C2B">
          <w:rPr>
            <w:noProof/>
            <w:webHidden/>
          </w:rPr>
          <w:instrText xml:space="preserve"> PAGEREF _Toc526710025 \h </w:instrText>
        </w:r>
        <w:r w:rsidR="00100C2B">
          <w:rPr>
            <w:noProof/>
            <w:webHidden/>
          </w:rPr>
        </w:r>
        <w:r w:rsidR="00100C2B">
          <w:rPr>
            <w:noProof/>
            <w:webHidden/>
          </w:rPr>
          <w:fldChar w:fldCharType="separate"/>
        </w:r>
        <w:r w:rsidR="00100C2B">
          <w:rPr>
            <w:noProof/>
            <w:webHidden/>
          </w:rPr>
          <w:t>210</w:t>
        </w:r>
        <w:r w:rsidR="00100C2B">
          <w:rPr>
            <w:noProof/>
            <w:webHidden/>
          </w:rPr>
          <w:fldChar w:fldCharType="end"/>
        </w:r>
      </w:hyperlink>
    </w:p>
    <w:p w14:paraId="57C22C61" w14:textId="506B1E30" w:rsidR="009F66D2" w:rsidRPr="009A7163" w:rsidRDefault="009F66D2">
      <w:pPr>
        <w:spacing w:line="360" w:lineRule="auto"/>
      </w:pPr>
      <w:r w:rsidRPr="009A7163">
        <w:fldChar w:fldCharType="end"/>
      </w:r>
    </w:p>
    <w:p w14:paraId="54EC06C6" w14:textId="77777777" w:rsidR="00F30E43" w:rsidRPr="009A7163" w:rsidRDefault="00F30E43" w:rsidP="00F55C18">
      <w:pPr>
        <w:spacing w:line="360" w:lineRule="auto"/>
        <w:jc w:val="center"/>
        <w:sectPr w:rsidR="00F30E43" w:rsidRPr="009A7163" w:rsidSect="00CB5642">
          <w:pgSz w:w="11900" w:h="16840"/>
          <w:pgMar w:top="1440" w:right="1440" w:bottom="1440" w:left="2160" w:header="720" w:footer="720" w:gutter="0"/>
          <w:cols w:space="720"/>
          <w:docGrid w:linePitch="360"/>
        </w:sectPr>
      </w:pPr>
    </w:p>
    <w:p w14:paraId="5DCDF12F" w14:textId="5F1D2B05" w:rsidR="00F55C18" w:rsidRPr="009A7163" w:rsidRDefault="009F66D2" w:rsidP="00293176">
      <w:pPr>
        <w:pStyle w:val="Heading1"/>
      </w:pPr>
      <w:bookmarkStart w:id="4" w:name="_Toc526819240"/>
      <w:r w:rsidRPr="009A7163">
        <w:lastRenderedPageBreak/>
        <w:t>LIST OF FIGURES AND PLATES</w:t>
      </w:r>
      <w:bookmarkEnd w:id="4"/>
    </w:p>
    <w:p w14:paraId="5042A93C" w14:textId="77777777" w:rsidR="009F66D2" w:rsidRPr="009A7163" w:rsidRDefault="009F66D2" w:rsidP="009F66D2">
      <w:pPr>
        <w:spacing w:line="360" w:lineRule="auto"/>
      </w:pPr>
    </w:p>
    <w:p w14:paraId="574E0432" w14:textId="7950DB3C" w:rsidR="00100C2B" w:rsidRDefault="00F30E43">
      <w:pPr>
        <w:pStyle w:val="TableofFigures"/>
        <w:tabs>
          <w:tab w:val="right" w:leader="dot" w:pos="8290"/>
        </w:tabs>
        <w:rPr>
          <w:rFonts w:asciiTheme="minorHAnsi" w:eastAsiaTheme="minorEastAsia" w:hAnsiTheme="minorHAnsi" w:cstheme="minorBidi"/>
          <w:noProof/>
          <w:sz w:val="22"/>
          <w:szCs w:val="22"/>
        </w:rPr>
      </w:pPr>
      <w:r w:rsidRPr="009A7163">
        <w:fldChar w:fldCharType="begin"/>
      </w:r>
      <w:r w:rsidRPr="009A7163">
        <w:instrText xml:space="preserve"> TOC \h \z \t "Figure TOC Caption" \c </w:instrText>
      </w:r>
      <w:r w:rsidRPr="009A7163">
        <w:fldChar w:fldCharType="separate"/>
      </w:r>
      <w:hyperlink w:anchor="_Toc526710026" w:history="1">
        <w:r w:rsidR="00100C2B" w:rsidRPr="006F0CE8">
          <w:rPr>
            <w:rStyle w:val="Hyperlink"/>
            <w:rFonts w:eastAsiaTheme="minorHAnsi"/>
            <w:noProof/>
            <w:lang w:val="en-GB" w:eastAsia="en-GB"/>
          </w:rPr>
          <w:t>Figure 6.1. Household Survey Question 6.1</w:t>
        </w:r>
        <w:r w:rsidR="00100C2B">
          <w:rPr>
            <w:noProof/>
            <w:webHidden/>
          </w:rPr>
          <w:tab/>
        </w:r>
        <w:r w:rsidR="00100C2B">
          <w:rPr>
            <w:noProof/>
            <w:webHidden/>
          </w:rPr>
          <w:fldChar w:fldCharType="begin"/>
        </w:r>
        <w:r w:rsidR="00100C2B">
          <w:rPr>
            <w:noProof/>
            <w:webHidden/>
          </w:rPr>
          <w:instrText xml:space="preserve"> PAGEREF _Toc526710026 \h </w:instrText>
        </w:r>
        <w:r w:rsidR="00100C2B">
          <w:rPr>
            <w:noProof/>
            <w:webHidden/>
          </w:rPr>
        </w:r>
        <w:r w:rsidR="00100C2B">
          <w:rPr>
            <w:noProof/>
            <w:webHidden/>
          </w:rPr>
          <w:fldChar w:fldCharType="separate"/>
        </w:r>
        <w:r w:rsidR="00100C2B">
          <w:rPr>
            <w:noProof/>
            <w:webHidden/>
          </w:rPr>
          <w:t>188</w:t>
        </w:r>
        <w:r w:rsidR="00100C2B">
          <w:rPr>
            <w:noProof/>
            <w:webHidden/>
          </w:rPr>
          <w:fldChar w:fldCharType="end"/>
        </w:r>
      </w:hyperlink>
    </w:p>
    <w:p w14:paraId="6703D478" w14:textId="29A1E15B"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7" w:history="1">
        <w:r w:rsidR="00100C2B" w:rsidRPr="006F0CE8">
          <w:rPr>
            <w:rStyle w:val="Hyperlink"/>
            <w:rFonts w:eastAsiaTheme="minorHAnsi"/>
            <w:noProof/>
            <w:lang w:val="en-GB" w:eastAsia="en-GB"/>
          </w:rPr>
          <w:t>Figure 6.2. Household Survey Question 6.3</w:t>
        </w:r>
        <w:r w:rsidR="00100C2B">
          <w:rPr>
            <w:noProof/>
            <w:webHidden/>
          </w:rPr>
          <w:tab/>
        </w:r>
        <w:r w:rsidR="00100C2B">
          <w:rPr>
            <w:noProof/>
            <w:webHidden/>
          </w:rPr>
          <w:fldChar w:fldCharType="begin"/>
        </w:r>
        <w:r w:rsidR="00100C2B">
          <w:rPr>
            <w:noProof/>
            <w:webHidden/>
          </w:rPr>
          <w:instrText xml:space="preserve"> PAGEREF _Toc526710027 \h </w:instrText>
        </w:r>
        <w:r w:rsidR="00100C2B">
          <w:rPr>
            <w:noProof/>
            <w:webHidden/>
          </w:rPr>
        </w:r>
        <w:r w:rsidR="00100C2B">
          <w:rPr>
            <w:noProof/>
            <w:webHidden/>
          </w:rPr>
          <w:fldChar w:fldCharType="separate"/>
        </w:r>
        <w:r w:rsidR="00100C2B">
          <w:rPr>
            <w:noProof/>
            <w:webHidden/>
          </w:rPr>
          <w:t>195</w:t>
        </w:r>
        <w:r w:rsidR="00100C2B">
          <w:rPr>
            <w:noProof/>
            <w:webHidden/>
          </w:rPr>
          <w:fldChar w:fldCharType="end"/>
        </w:r>
      </w:hyperlink>
    </w:p>
    <w:p w14:paraId="18FAE56D" w14:textId="555E8334"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8" w:history="1">
        <w:r w:rsidR="00100C2B" w:rsidRPr="006F0CE8">
          <w:rPr>
            <w:rStyle w:val="Hyperlink"/>
            <w:rFonts w:eastAsiaTheme="minorHAnsi"/>
            <w:noProof/>
            <w:lang w:val="en-GB" w:eastAsia="en-GB"/>
          </w:rPr>
          <w:t>Figure 6.3. Household Survey Question 8.12 on Unpaid Care Work</w:t>
        </w:r>
        <w:r w:rsidR="00100C2B">
          <w:rPr>
            <w:noProof/>
            <w:webHidden/>
          </w:rPr>
          <w:tab/>
        </w:r>
        <w:r w:rsidR="00100C2B">
          <w:rPr>
            <w:noProof/>
            <w:webHidden/>
          </w:rPr>
          <w:fldChar w:fldCharType="begin"/>
        </w:r>
        <w:r w:rsidR="00100C2B">
          <w:rPr>
            <w:noProof/>
            <w:webHidden/>
          </w:rPr>
          <w:instrText xml:space="preserve"> PAGEREF _Toc526710028 \h </w:instrText>
        </w:r>
        <w:r w:rsidR="00100C2B">
          <w:rPr>
            <w:noProof/>
            <w:webHidden/>
          </w:rPr>
        </w:r>
        <w:r w:rsidR="00100C2B">
          <w:rPr>
            <w:noProof/>
            <w:webHidden/>
          </w:rPr>
          <w:fldChar w:fldCharType="separate"/>
        </w:r>
        <w:r w:rsidR="00100C2B">
          <w:rPr>
            <w:noProof/>
            <w:webHidden/>
          </w:rPr>
          <w:t>196</w:t>
        </w:r>
        <w:r w:rsidR="00100C2B">
          <w:rPr>
            <w:noProof/>
            <w:webHidden/>
          </w:rPr>
          <w:fldChar w:fldCharType="end"/>
        </w:r>
      </w:hyperlink>
    </w:p>
    <w:p w14:paraId="6C40344D" w14:textId="4C20FD9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29" w:history="1">
        <w:r w:rsidR="00100C2B" w:rsidRPr="006F0CE8">
          <w:rPr>
            <w:rStyle w:val="Hyperlink"/>
            <w:rFonts w:eastAsiaTheme="minorHAnsi"/>
            <w:noProof/>
            <w:lang w:val="en-GB" w:eastAsia="en-GB"/>
          </w:rPr>
          <w:t>Figure 6.4. Household Survey Question 8.12 (10 participants)</w:t>
        </w:r>
        <w:r w:rsidR="00100C2B">
          <w:rPr>
            <w:noProof/>
            <w:webHidden/>
          </w:rPr>
          <w:tab/>
        </w:r>
        <w:r w:rsidR="00100C2B">
          <w:rPr>
            <w:noProof/>
            <w:webHidden/>
          </w:rPr>
          <w:fldChar w:fldCharType="begin"/>
        </w:r>
        <w:r w:rsidR="00100C2B">
          <w:rPr>
            <w:noProof/>
            <w:webHidden/>
          </w:rPr>
          <w:instrText xml:space="preserve"> PAGEREF _Toc526710029 \h </w:instrText>
        </w:r>
        <w:r w:rsidR="00100C2B">
          <w:rPr>
            <w:noProof/>
            <w:webHidden/>
          </w:rPr>
        </w:r>
        <w:r w:rsidR="00100C2B">
          <w:rPr>
            <w:noProof/>
            <w:webHidden/>
          </w:rPr>
          <w:fldChar w:fldCharType="separate"/>
        </w:r>
        <w:r w:rsidR="00100C2B">
          <w:rPr>
            <w:noProof/>
            <w:webHidden/>
          </w:rPr>
          <w:t>205</w:t>
        </w:r>
        <w:r w:rsidR="00100C2B">
          <w:rPr>
            <w:noProof/>
            <w:webHidden/>
          </w:rPr>
          <w:fldChar w:fldCharType="end"/>
        </w:r>
      </w:hyperlink>
    </w:p>
    <w:p w14:paraId="76236688" w14:textId="0FF07C09"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0" w:history="1">
        <w:r w:rsidR="00100C2B" w:rsidRPr="006F0CE8">
          <w:rPr>
            <w:rStyle w:val="Hyperlink"/>
            <w:noProof/>
          </w:rPr>
          <w:t>Figure 6.5. Household Survey Question 8.12 (7 participants)</w:t>
        </w:r>
        <w:r w:rsidR="00100C2B">
          <w:rPr>
            <w:noProof/>
            <w:webHidden/>
          </w:rPr>
          <w:tab/>
        </w:r>
        <w:r w:rsidR="00100C2B">
          <w:rPr>
            <w:noProof/>
            <w:webHidden/>
          </w:rPr>
          <w:fldChar w:fldCharType="begin"/>
        </w:r>
        <w:r w:rsidR="00100C2B">
          <w:rPr>
            <w:noProof/>
            <w:webHidden/>
          </w:rPr>
          <w:instrText xml:space="preserve"> PAGEREF _Toc526710030 \h </w:instrText>
        </w:r>
        <w:r w:rsidR="00100C2B">
          <w:rPr>
            <w:noProof/>
            <w:webHidden/>
          </w:rPr>
        </w:r>
        <w:r w:rsidR="00100C2B">
          <w:rPr>
            <w:noProof/>
            <w:webHidden/>
          </w:rPr>
          <w:fldChar w:fldCharType="separate"/>
        </w:r>
        <w:r w:rsidR="00100C2B">
          <w:rPr>
            <w:noProof/>
            <w:webHidden/>
          </w:rPr>
          <w:t>206</w:t>
        </w:r>
        <w:r w:rsidR="00100C2B">
          <w:rPr>
            <w:noProof/>
            <w:webHidden/>
          </w:rPr>
          <w:fldChar w:fldCharType="end"/>
        </w:r>
      </w:hyperlink>
    </w:p>
    <w:p w14:paraId="47215349" w14:textId="7EB7B21D"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1" w:history="1">
        <w:r w:rsidR="00100C2B" w:rsidRPr="006F0CE8">
          <w:rPr>
            <w:rStyle w:val="Hyperlink"/>
            <w:noProof/>
            <w:lang w:val="en-GB" w:eastAsia="en-GB"/>
          </w:rPr>
          <w:t>Figure 6.6. Household Survey Question 6.3, La Reina</w:t>
        </w:r>
        <w:r w:rsidR="00100C2B">
          <w:rPr>
            <w:noProof/>
            <w:webHidden/>
          </w:rPr>
          <w:tab/>
        </w:r>
        <w:r w:rsidR="00100C2B">
          <w:rPr>
            <w:noProof/>
            <w:webHidden/>
          </w:rPr>
          <w:fldChar w:fldCharType="begin"/>
        </w:r>
        <w:r w:rsidR="00100C2B">
          <w:rPr>
            <w:noProof/>
            <w:webHidden/>
          </w:rPr>
          <w:instrText xml:space="preserve"> PAGEREF _Toc526710031 \h </w:instrText>
        </w:r>
        <w:r w:rsidR="00100C2B">
          <w:rPr>
            <w:noProof/>
            <w:webHidden/>
          </w:rPr>
        </w:r>
        <w:r w:rsidR="00100C2B">
          <w:rPr>
            <w:noProof/>
            <w:webHidden/>
          </w:rPr>
          <w:fldChar w:fldCharType="separate"/>
        </w:r>
        <w:r w:rsidR="00100C2B">
          <w:rPr>
            <w:noProof/>
            <w:webHidden/>
          </w:rPr>
          <w:t>207</w:t>
        </w:r>
        <w:r w:rsidR="00100C2B">
          <w:rPr>
            <w:noProof/>
            <w:webHidden/>
          </w:rPr>
          <w:fldChar w:fldCharType="end"/>
        </w:r>
      </w:hyperlink>
    </w:p>
    <w:p w14:paraId="6484F64D" w14:textId="7BCA6572"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2" w:history="1">
        <w:r w:rsidR="00100C2B" w:rsidRPr="006F0CE8">
          <w:rPr>
            <w:rStyle w:val="Hyperlink"/>
            <w:noProof/>
            <w:lang w:val="en-GB" w:eastAsia="en-GB"/>
          </w:rPr>
          <w:t>Figure 6.7. Household Survey Question 6.3, La Pita</w:t>
        </w:r>
        <w:r w:rsidR="00100C2B">
          <w:rPr>
            <w:noProof/>
            <w:webHidden/>
          </w:rPr>
          <w:tab/>
        </w:r>
        <w:r w:rsidR="00100C2B">
          <w:rPr>
            <w:noProof/>
            <w:webHidden/>
          </w:rPr>
          <w:fldChar w:fldCharType="begin"/>
        </w:r>
        <w:r w:rsidR="00100C2B">
          <w:rPr>
            <w:noProof/>
            <w:webHidden/>
          </w:rPr>
          <w:instrText xml:space="preserve"> PAGEREF _Toc526710032 \h </w:instrText>
        </w:r>
        <w:r w:rsidR="00100C2B">
          <w:rPr>
            <w:noProof/>
            <w:webHidden/>
          </w:rPr>
        </w:r>
        <w:r w:rsidR="00100C2B">
          <w:rPr>
            <w:noProof/>
            <w:webHidden/>
          </w:rPr>
          <w:fldChar w:fldCharType="separate"/>
        </w:r>
        <w:r w:rsidR="00100C2B">
          <w:rPr>
            <w:noProof/>
            <w:webHidden/>
          </w:rPr>
          <w:t>207</w:t>
        </w:r>
        <w:r w:rsidR="00100C2B">
          <w:rPr>
            <w:noProof/>
            <w:webHidden/>
          </w:rPr>
          <w:fldChar w:fldCharType="end"/>
        </w:r>
      </w:hyperlink>
    </w:p>
    <w:p w14:paraId="5BE9DF8F" w14:textId="2D91AD78"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3" w:history="1">
        <w:r w:rsidR="00100C2B" w:rsidRPr="006F0CE8">
          <w:rPr>
            <w:rStyle w:val="Hyperlink"/>
            <w:noProof/>
            <w:lang w:val="en-GB" w:eastAsia="en-GB"/>
          </w:rPr>
          <w:t>Figure 6.8. Household Survey Question 7.21, La Reina</w:t>
        </w:r>
        <w:r w:rsidR="00100C2B">
          <w:rPr>
            <w:noProof/>
            <w:webHidden/>
          </w:rPr>
          <w:tab/>
        </w:r>
        <w:r w:rsidR="00100C2B">
          <w:rPr>
            <w:noProof/>
            <w:webHidden/>
          </w:rPr>
          <w:fldChar w:fldCharType="begin"/>
        </w:r>
        <w:r w:rsidR="00100C2B">
          <w:rPr>
            <w:noProof/>
            <w:webHidden/>
          </w:rPr>
          <w:instrText xml:space="preserve"> PAGEREF _Toc526710033 \h </w:instrText>
        </w:r>
        <w:r w:rsidR="00100C2B">
          <w:rPr>
            <w:noProof/>
            <w:webHidden/>
          </w:rPr>
        </w:r>
        <w:r w:rsidR="00100C2B">
          <w:rPr>
            <w:noProof/>
            <w:webHidden/>
          </w:rPr>
          <w:fldChar w:fldCharType="separate"/>
        </w:r>
        <w:r w:rsidR="00100C2B">
          <w:rPr>
            <w:noProof/>
            <w:webHidden/>
          </w:rPr>
          <w:t>208</w:t>
        </w:r>
        <w:r w:rsidR="00100C2B">
          <w:rPr>
            <w:noProof/>
            <w:webHidden/>
          </w:rPr>
          <w:fldChar w:fldCharType="end"/>
        </w:r>
      </w:hyperlink>
    </w:p>
    <w:p w14:paraId="363246E5" w14:textId="39A3D47F"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4" w:history="1">
        <w:r w:rsidR="00100C2B" w:rsidRPr="006F0CE8">
          <w:rPr>
            <w:rStyle w:val="Hyperlink"/>
            <w:noProof/>
            <w:lang w:val="en-GB" w:eastAsia="en-GB"/>
          </w:rPr>
          <w:t>Figure 6.9. Household Survey Question 7.21, La Pita</w:t>
        </w:r>
        <w:r w:rsidR="00100C2B">
          <w:rPr>
            <w:noProof/>
            <w:webHidden/>
          </w:rPr>
          <w:tab/>
        </w:r>
        <w:r w:rsidR="00100C2B">
          <w:rPr>
            <w:noProof/>
            <w:webHidden/>
          </w:rPr>
          <w:fldChar w:fldCharType="begin"/>
        </w:r>
        <w:r w:rsidR="00100C2B">
          <w:rPr>
            <w:noProof/>
            <w:webHidden/>
          </w:rPr>
          <w:instrText xml:space="preserve"> PAGEREF _Toc526710034 \h </w:instrText>
        </w:r>
        <w:r w:rsidR="00100C2B">
          <w:rPr>
            <w:noProof/>
            <w:webHidden/>
          </w:rPr>
        </w:r>
        <w:r w:rsidR="00100C2B">
          <w:rPr>
            <w:noProof/>
            <w:webHidden/>
          </w:rPr>
          <w:fldChar w:fldCharType="separate"/>
        </w:r>
        <w:r w:rsidR="00100C2B">
          <w:rPr>
            <w:noProof/>
            <w:webHidden/>
          </w:rPr>
          <w:t>208</w:t>
        </w:r>
        <w:r w:rsidR="00100C2B">
          <w:rPr>
            <w:noProof/>
            <w:webHidden/>
          </w:rPr>
          <w:fldChar w:fldCharType="end"/>
        </w:r>
      </w:hyperlink>
    </w:p>
    <w:p w14:paraId="7613793E" w14:textId="25480755" w:rsidR="00F30E43" w:rsidRPr="009A7163" w:rsidRDefault="00F30E43" w:rsidP="009F66D2">
      <w:pPr>
        <w:spacing w:line="360" w:lineRule="auto"/>
        <w:sectPr w:rsidR="00F30E43" w:rsidRPr="009A7163" w:rsidSect="00CB5642">
          <w:pgSz w:w="11900" w:h="16840"/>
          <w:pgMar w:top="1440" w:right="1440" w:bottom="1440" w:left="2160" w:header="720" w:footer="720" w:gutter="0"/>
          <w:cols w:space="720"/>
          <w:docGrid w:linePitch="360"/>
        </w:sectPr>
      </w:pPr>
      <w:r w:rsidRPr="009A7163">
        <w:fldChar w:fldCharType="end"/>
      </w:r>
    </w:p>
    <w:p w14:paraId="7623B2D1" w14:textId="362984F1" w:rsidR="00100C2B" w:rsidRDefault="00F30E43">
      <w:pPr>
        <w:pStyle w:val="TableofFigures"/>
        <w:tabs>
          <w:tab w:val="right" w:leader="dot" w:pos="8290"/>
        </w:tabs>
        <w:rPr>
          <w:rFonts w:asciiTheme="minorHAnsi" w:eastAsiaTheme="minorEastAsia" w:hAnsiTheme="minorHAnsi" w:cstheme="minorBidi"/>
          <w:noProof/>
          <w:sz w:val="22"/>
          <w:szCs w:val="22"/>
        </w:rPr>
      </w:pPr>
      <w:r w:rsidRPr="009A7163">
        <w:fldChar w:fldCharType="begin"/>
      </w:r>
      <w:r w:rsidRPr="009A7163">
        <w:instrText xml:space="preserve"> TOC \h \z \t "Plate TOC" \c </w:instrText>
      </w:r>
      <w:r w:rsidRPr="009A7163">
        <w:fldChar w:fldCharType="separate"/>
      </w:r>
      <w:hyperlink w:anchor="_Toc526710035" w:history="1">
        <w:r w:rsidR="00100C2B" w:rsidRPr="003324D9">
          <w:rPr>
            <w:rStyle w:val="Hyperlink"/>
            <w:noProof/>
          </w:rPr>
          <w:t>Plate 4.1. Sesame, León</w:t>
        </w:r>
        <w:r w:rsidR="00100C2B">
          <w:rPr>
            <w:noProof/>
            <w:webHidden/>
          </w:rPr>
          <w:tab/>
        </w:r>
        <w:r w:rsidR="00100C2B">
          <w:rPr>
            <w:noProof/>
            <w:webHidden/>
          </w:rPr>
          <w:fldChar w:fldCharType="begin"/>
        </w:r>
        <w:r w:rsidR="00100C2B">
          <w:rPr>
            <w:noProof/>
            <w:webHidden/>
          </w:rPr>
          <w:instrText xml:space="preserve"> PAGEREF _Toc526710035 \h </w:instrText>
        </w:r>
        <w:r w:rsidR="00100C2B">
          <w:rPr>
            <w:noProof/>
            <w:webHidden/>
          </w:rPr>
        </w:r>
        <w:r w:rsidR="00100C2B">
          <w:rPr>
            <w:noProof/>
            <w:webHidden/>
          </w:rPr>
          <w:fldChar w:fldCharType="separate"/>
        </w:r>
        <w:r w:rsidR="00100C2B">
          <w:rPr>
            <w:noProof/>
            <w:webHidden/>
          </w:rPr>
          <w:t>139</w:t>
        </w:r>
        <w:r w:rsidR="00100C2B">
          <w:rPr>
            <w:noProof/>
            <w:webHidden/>
          </w:rPr>
          <w:fldChar w:fldCharType="end"/>
        </w:r>
      </w:hyperlink>
    </w:p>
    <w:p w14:paraId="528FF6CF" w14:textId="78BE4066"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6" w:history="1">
        <w:r w:rsidR="00100C2B" w:rsidRPr="003324D9">
          <w:rPr>
            <w:rStyle w:val="Hyperlink"/>
            <w:noProof/>
          </w:rPr>
          <w:t>Plate 4.2. Geographical Location of CJFPS in Achuapa, Part of the Del Campo Union of Cooperatives</w:t>
        </w:r>
        <w:r w:rsidR="00100C2B">
          <w:rPr>
            <w:noProof/>
            <w:webHidden/>
          </w:rPr>
          <w:tab/>
        </w:r>
        <w:r w:rsidR="00100C2B">
          <w:rPr>
            <w:noProof/>
            <w:webHidden/>
          </w:rPr>
          <w:fldChar w:fldCharType="begin"/>
        </w:r>
        <w:r w:rsidR="00100C2B">
          <w:rPr>
            <w:noProof/>
            <w:webHidden/>
          </w:rPr>
          <w:instrText xml:space="preserve"> PAGEREF _Toc526710036 \h </w:instrText>
        </w:r>
        <w:r w:rsidR="00100C2B">
          <w:rPr>
            <w:noProof/>
            <w:webHidden/>
          </w:rPr>
        </w:r>
        <w:r w:rsidR="00100C2B">
          <w:rPr>
            <w:noProof/>
            <w:webHidden/>
          </w:rPr>
          <w:fldChar w:fldCharType="separate"/>
        </w:r>
        <w:r w:rsidR="00100C2B">
          <w:rPr>
            <w:noProof/>
            <w:webHidden/>
          </w:rPr>
          <w:t>141</w:t>
        </w:r>
        <w:r w:rsidR="00100C2B">
          <w:rPr>
            <w:noProof/>
            <w:webHidden/>
          </w:rPr>
          <w:fldChar w:fldCharType="end"/>
        </w:r>
      </w:hyperlink>
    </w:p>
    <w:p w14:paraId="77FC38D7" w14:textId="056A93B9"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7" w:history="1">
        <w:r w:rsidR="00100C2B" w:rsidRPr="003324D9">
          <w:rPr>
            <w:rStyle w:val="Hyperlink"/>
            <w:noProof/>
          </w:rPr>
          <w:t>Plate 4.3. Location of the Women Participants of the Initiative in Achuapa</w:t>
        </w:r>
        <w:r w:rsidR="00100C2B">
          <w:rPr>
            <w:noProof/>
            <w:webHidden/>
          </w:rPr>
          <w:tab/>
        </w:r>
        <w:r w:rsidR="00100C2B">
          <w:rPr>
            <w:noProof/>
            <w:webHidden/>
          </w:rPr>
          <w:fldChar w:fldCharType="begin"/>
        </w:r>
        <w:r w:rsidR="00100C2B">
          <w:rPr>
            <w:noProof/>
            <w:webHidden/>
          </w:rPr>
          <w:instrText xml:space="preserve"> PAGEREF _Toc526710037 \h </w:instrText>
        </w:r>
        <w:r w:rsidR="00100C2B">
          <w:rPr>
            <w:noProof/>
            <w:webHidden/>
          </w:rPr>
        </w:r>
        <w:r w:rsidR="00100C2B">
          <w:rPr>
            <w:noProof/>
            <w:webHidden/>
          </w:rPr>
          <w:fldChar w:fldCharType="separate"/>
        </w:r>
        <w:r w:rsidR="00100C2B">
          <w:rPr>
            <w:noProof/>
            <w:webHidden/>
          </w:rPr>
          <w:t>144</w:t>
        </w:r>
        <w:r w:rsidR="00100C2B">
          <w:rPr>
            <w:noProof/>
            <w:webHidden/>
          </w:rPr>
          <w:fldChar w:fldCharType="end"/>
        </w:r>
      </w:hyperlink>
    </w:p>
    <w:p w14:paraId="221D818D" w14:textId="278DA97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8" w:history="1">
        <w:r w:rsidR="00100C2B" w:rsidRPr="003324D9">
          <w:rPr>
            <w:rStyle w:val="Hyperlink"/>
            <w:noProof/>
          </w:rPr>
          <w:t>Plate 4.4. Location of the Women’s Groups Participating in the Initiative</w:t>
        </w:r>
        <w:r w:rsidR="00100C2B">
          <w:rPr>
            <w:noProof/>
            <w:webHidden/>
          </w:rPr>
          <w:tab/>
        </w:r>
        <w:r w:rsidR="00100C2B">
          <w:rPr>
            <w:noProof/>
            <w:webHidden/>
          </w:rPr>
          <w:fldChar w:fldCharType="begin"/>
        </w:r>
        <w:r w:rsidR="00100C2B">
          <w:rPr>
            <w:noProof/>
            <w:webHidden/>
          </w:rPr>
          <w:instrText xml:space="preserve"> PAGEREF _Toc526710038 \h </w:instrText>
        </w:r>
        <w:r w:rsidR="00100C2B">
          <w:rPr>
            <w:noProof/>
            <w:webHidden/>
          </w:rPr>
        </w:r>
        <w:r w:rsidR="00100C2B">
          <w:rPr>
            <w:noProof/>
            <w:webHidden/>
          </w:rPr>
          <w:fldChar w:fldCharType="separate"/>
        </w:r>
        <w:r w:rsidR="00100C2B">
          <w:rPr>
            <w:noProof/>
            <w:webHidden/>
          </w:rPr>
          <w:t>145</w:t>
        </w:r>
        <w:r w:rsidR="00100C2B">
          <w:rPr>
            <w:noProof/>
            <w:webHidden/>
          </w:rPr>
          <w:fldChar w:fldCharType="end"/>
        </w:r>
      </w:hyperlink>
    </w:p>
    <w:p w14:paraId="60FFB1FF" w14:textId="7F3ED471"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39" w:history="1">
        <w:r w:rsidR="00100C2B" w:rsidRPr="003324D9">
          <w:rPr>
            <w:rStyle w:val="Hyperlink"/>
            <w:noProof/>
          </w:rPr>
          <w:t>Plate 4.5. Location of Cooperatives Affiliated with the UCA San Ramón</w:t>
        </w:r>
        <w:r w:rsidR="00100C2B">
          <w:rPr>
            <w:noProof/>
            <w:webHidden/>
          </w:rPr>
          <w:tab/>
        </w:r>
        <w:r w:rsidR="00100C2B">
          <w:rPr>
            <w:noProof/>
            <w:webHidden/>
          </w:rPr>
          <w:fldChar w:fldCharType="begin"/>
        </w:r>
        <w:r w:rsidR="00100C2B">
          <w:rPr>
            <w:noProof/>
            <w:webHidden/>
          </w:rPr>
          <w:instrText xml:space="preserve"> PAGEREF _Toc526710039 \h </w:instrText>
        </w:r>
        <w:r w:rsidR="00100C2B">
          <w:rPr>
            <w:noProof/>
            <w:webHidden/>
          </w:rPr>
        </w:r>
        <w:r w:rsidR="00100C2B">
          <w:rPr>
            <w:noProof/>
            <w:webHidden/>
          </w:rPr>
          <w:fldChar w:fldCharType="separate"/>
        </w:r>
        <w:r w:rsidR="00100C2B">
          <w:rPr>
            <w:noProof/>
            <w:webHidden/>
          </w:rPr>
          <w:t>149</w:t>
        </w:r>
        <w:r w:rsidR="00100C2B">
          <w:rPr>
            <w:noProof/>
            <w:webHidden/>
          </w:rPr>
          <w:fldChar w:fldCharType="end"/>
        </w:r>
      </w:hyperlink>
    </w:p>
    <w:p w14:paraId="4C5C712E" w14:textId="1E91CB67"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40" w:history="1">
        <w:r w:rsidR="00100C2B" w:rsidRPr="003324D9">
          <w:rPr>
            <w:rStyle w:val="Hyperlink"/>
            <w:noProof/>
          </w:rPr>
          <w:t>Plate 5.1. Men Resting on Women, Physical Theatre Imagery</w:t>
        </w:r>
        <w:r w:rsidR="00100C2B">
          <w:rPr>
            <w:noProof/>
            <w:webHidden/>
          </w:rPr>
          <w:tab/>
        </w:r>
        <w:r w:rsidR="00100C2B">
          <w:rPr>
            <w:noProof/>
            <w:webHidden/>
          </w:rPr>
          <w:fldChar w:fldCharType="begin"/>
        </w:r>
        <w:r w:rsidR="00100C2B">
          <w:rPr>
            <w:noProof/>
            <w:webHidden/>
          </w:rPr>
          <w:instrText xml:space="preserve"> PAGEREF _Toc526710040 \h </w:instrText>
        </w:r>
        <w:r w:rsidR="00100C2B">
          <w:rPr>
            <w:noProof/>
            <w:webHidden/>
          </w:rPr>
        </w:r>
        <w:r w:rsidR="00100C2B">
          <w:rPr>
            <w:noProof/>
            <w:webHidden/>
          </w:rPr>
          <w:fldChar w:fldCharType="separate"/>
        </w:r>
        <w:r w:rsidR="00100C2B">
          <w:rPr>
            <w:noProof/>
            <w:webHidden/>
          </w:rPr>
          <w:t>161</w:t>
        </w:r>
        <w:r w:rsidR="00100C2B">
          <w:rPr>
            <w:noProof/>
            <w:webHidden/>
          </w:rPr>
          <w:fldChar w:fldCharType="end"/>
        </w:r>
      </w:hyperlink>
    </w:p>
    <w:p w14:paraId="116EE0FC" w14:textId="19E216FC" w:rsidR="00100C2B" w:rsidRDefault="0082537D">
      <w:pPr>
        <w:pStyle w:val="TableofFigures"/>
        <w:tabs>
          <w:tab w:val="right" w:leader="dot" w:pos="8290"/>
        </w:tabs>
        <w:rPr>
          <w:rFonts w:asciiTheme="minorHAnsi" w:eastAsiaTheme="minorEastAsia" w:hAnsiTheme="minorHAnsi" w:cstheme="minorBidi"/>
          <w:noProof/>
          <w:sz w:val="22"/>
          <w:szCs w:val="22"/>
        </w:rPr>
      </w:pPr>
      <w:hyperlink w:anchor="_Toc526710041" w:history="1">
        <w:r w:rsidR="00100C2B" w:rsidRPr="003324D9">
          <w:rPr>
            <w:rStyle w:val="Hyperlink"/>
            <w:noProof/>
          </w:rPr>
          <w:t>Plate 9.1. Clocks that Don’t Work, Achuapa 8 February 2015</w:t>
        </w:r>
        <w:r w:rsidR="00100C2B">
          <w:rPr>
            <w:noProof/>
            <w:webHidden/>
          </w:rPr>
          <w:tab/>
        </w:r>
        <w:r w:rsidR="00100C2B">
          <w:rPr>
            <w:noProof/>
            <w:webHidden/>
          </w:rPr>
          <w:fldChar w:fldCharType="begin"/>
        </w:r>
        <w:r w:rsidR="00100C2B">
          <w:rPr>
            <w:noProof/>
            <w:webHidden/>
          </w:rPr>
          <w:instrText xml:space="preserve"> PAGEREF _Toc526710041 \h </w:instrText>
        </w:r>
        <w:r w:rsidR="00100C2B">
          <w:rPr>
            <w:noProof/>
            <w:webHidden/>
          </w:rPr>
        </w:r>
        <w:r w:rsidR="00100C2B">
          <w:rPr>
            <w:noProof/>
            <w:webHidden/>
          </w:rPr>
          <w:fldChar w:fldCharType="separate"/>
        </w:r>
        <w:r w:rsidR="00100C2B">
          <w:rPr>
            <w:noProof/>
            <w:webHidden/>
          </w:rPr>
          <w:t>275</w:t>
        </w:r>
        <w:r w:rsidR="00100C2B">
          <w:rPr>
            <w:noProof/>
            <w:webHidden/>
          </w:rPr>
          <w:fldChar w:fldCharType="end"/>
        </w:r>
      </w:hyperlink>
    </w:p>
    <w:p w14:paraId="684A662B" w14:textId="34031AB0" w:rsidR="00F30E43" w:rsidRPr="009A7163" w:rsidRDefault="00F30E43" w:rsidP="009F66D2">
      <w:pPr>
        <w:spacing w:line="360" w:lineRule="auto"/>
      </w:pPr>
      <w:r w:rsidRPr="009A7163">
        <w:fldChar w:fldCharType="end"/>
      </w:r>
    </w:p>
    <w:p w14:paraId="2103F464" w14:textId="77777777" w:rsidR="00F30E43" w:rsidRPr="009A7163" w:rsidRDefault="00F30E43" w:rsidP="009F66D2">
      <w:pPr>
        <w:spacing w:line="360" w:lineRule="auto"/>
      </w:pPr>
    </w:p>
    <w:p w14:paraId="5DA5142D" w14:textId="77777777" w:rsidR="00F30E43" w:rsidRPr="009A7163" w:rsidRDefault="00F30E43" w:rsidP="009F66D2">
      <w:pPr>
        <w:spacing w:line="360" w:lineRule="auto"/>
      </w:pPr>
    </w:p>
    <w:p w14:paraId="286341F5" w14:textId="77777777" w:rsidR="009F66D2" w:rsidRPr="009A7163" w:rsidRDefault="009F66D2">
      <w:pPr>
        <w:spacing w:line="360" w:lineRule="auto"/>
      </w:pPr>
    </w:p>
    <w:p w14:paraId="65F50EC6" w14:textId="77777777" w:rsidR="00F55C18" w:rsidRPr="009A7163" w:rsidRDefault="00F55C18" w:rsidP="00293176">
      <w:pPr>
        <w:spacing w:line="360" w:lineRule="auto"/>
        <w:jc w:val="center"/>
      </w:pPr>
    </w:p>
    <w:p w14:paraId="0544A4D7" w14:textId="77777777" w:rsidR="00F55C18" w:rsidRPr="009A7163" w:rsidRDefault="00F55C18" w:rsidP="00293176">
      <w:pPr>
        <w:spacing w:line="360" w:lineRule="auto"/>
        <w:jc w:val="center"/>
      </w:pPr>
    </w:p>
    <w:p w14:paraId="35747697" w14:textId="77777777" w:rsidR="00F55C18" w:rsidRPr="009A7163" w:rsidRDefault="00F55C18" w:rsidP="00293176">
      <w:pPr>
        <w:spacing w:line="360" w:lineRule="auto"/>
        <w:jc w:val="center"/>
      </w:pPr>
    </w:p>
    <w:p w14:paraId="7D29892D" w14:textId="77777777" w:rsidR="00F55C18" w:rsidRPr="009A7163" w:rsidRDefault="00F55C18" w:rsidP="00F55C18">
      <w:pPr>
        <w:spacing w:line="360" w:lineRule="auto"/>
        <w:jc w:val="center"/>
        <w:sectPr w:rsidR="00F55C18" w:rsidRPr="009A7163" w:rsidSect="00F30E43">
          <w:type w:val="continuous"/>
          <w:pgSz w:w="11900" w:h="16840"/>
          <w:pgMar w:top="1440" w:right="1440" w:bottom="1440" w:left="2160" w:header="720" w:footer="720" w:gutter="0"/>
          <w:cols w:space="720"/>
          <w:docGrid w:linePitch="360"/>
        </w:sectPr>
      </w:pPr>
    </w:p>
    <w:p w14:paraId="4FF65852" w14:textId="641CF3E1" w:rsidR="00F55C18" w:rsidRPr="009A7163" w:rsidRDefault="008C041F" w:rsidP="00293176">
      <w:pPr>
        <w:pStyle w:val="Heading1"/>
      </w:pPr>
      <w:bookmarkStart w:id="5" w:name="_Toc526819241"/>
      <w:r w:rsidRPr="009A7163">
        <w:lastRenderedPageBreak/>
        <w:t>ACRONYMS</w:t>
      </w:r>
      <w:bookmarkEnd w:id="5"/>
    </w:p>
    <w:p w14:paraId="5E8E5B21" w14:textId="77777777" w:rsidR="00F55C18" w:rsidRPr="009A7163" w:rsidRDefault="00F55C18">
      <w:pPr>
        <w:spacing w:line="360" w:lineRule="auto"/>
        <w:rPr>
          <w:b/>
        </w:rPr>
      </w:pPr>
    </w:p>
    <w:p w14:paraId="0FBFF5BD" w14:textId="22ABAAE9" w:rsidR="00A12113" w:rsidRPr="009A7163" w:rsidRDefault="00A12113" w:rsidP="007A3A29">
      <w:pPr>
        <w:ind w:left="1440" w:hanging="1440"/>
      </w:pPr>
      <w:r w:rsidRPr="009A7163">
        <w:t>AMPRONAC</w:t>
      </w:r>
      <w:r w:rsidRPr="009A7163">
        <w:tab/>
        <w:t>Asociación de Mujeres ante la Problemática Nacional (Association of Women Confronting the National Problem)</w:t>
      </w:r>
    </w:p>
    <w:p w14:paraId="2EC87B9F" w14:textId="34DCC635" w:rsidR="00A12113" w:rsidRPr="009A7163" w:rsidRDefault="00A12113" w:rsidP="007A3A29">
      <w:pPr>
        <w:ind w:left="1440" w:hanging="1440"/>
      </w:pPr>
      <w:r w:rsidRPr="009A7163">
        <w:t>AMNLAE</w:t>
      </w:r>
      <w:r w:rsidRPr="009A7163">
        <w:tab/>
        <w:t>Association of Nicaraguan Women ‘Luisa Amanda Espinoza’ (Asociación de Mujeres Nicaragüenses ‘Luisa Amanda Espinoza’)</w:t>
      </w:r>
    </w:p>
    <w:p w14:paraId="43461727" w14:textId="04BE333A" w:rsidR="008C041F" w:rsidRPr="009A7163" w:rsidRDefault="008C041F" w:rsidP="008C041F">
      <w:r w:rsidRPr="009A7163">
        <w:t>ATC</w:t>
      </w:r>
      <w:r w:rsidRPr="009A7163">
        <w:tab/>
      </w:r>
      <w:r w:rsidRPr="009A7163">
        <w:tab/>
        <w:t>Asociación de Trabajadores del Campo (Rural Workers Association)</w:t>
      </w:r>
    </w:p>
    <w:p w14:paraId="72F3116D" w14:textId="09EADBA3" w:rsidR="008C041F" w:rsidRPr="009A7163" w:rsidRDefault="008C041F" w:rsidP="008C041F">
      <w:r w:rsidRPr="009A7163">
        <w:t>BSI</w:t>
      </w:r>
      <w:r w:rsidRPr="009A7163">
        <w:tab/>
      </w:r>
      <w:r w:rsidRPr="009A7163">
        <w:tab/>
        <w:t>Body Shop International</w:t>
      </w:r>
    </w:p>
    <w:p w14:paraId="11F8A0EF" w14:textId="3F223E76" w:rsidR="00A12113" w:rsidRPr="009A7163" w:rsidRDefault="00A12113" w:rsidP="008C041F">
      <w:pPr>
        <w:rPr>
          <w:b/>
        </w:rPr>
      </w:pPr>
      <w:r w:rsidRPr="009A7163">
        <w:t>CAN</w:t>
      </w:r>
      <w:r w:rsidRPr="009A7163">
        <w:tab/>
      </w:r>
      <w:r w:rsidRPr="009A7163">
        <w:tab/>
        <w:t>Community Agorecology Network</w:t>
      </w:r>
    </w:p>
    <w:p w14:paraId="71F06FC4" w14:textId="77777777" w:rsidR="008C041F" w:rsidRPr="009A7163" w:rsidRDefault="008C041F" w:rsidP="008C041F">
      <w:pPr>
        <w:rPr>
          <w:lang w:val="es-NI"/>
        </w:rPr>
      </w:pPr>
      <w:r w:rsidRPr="009A7163">
        <w:rPr>
          <w:lang w:val="es-NI"/>
        </w:rPr>
        <w:t>CJFPS</w:t>
      </w:r>
      <w:r w:rsidRPr="009A7163">
        <w:rPr>
          <w:lang w:val="es-NI"/>
        </w:rPr>
        <w:tab/>
      </w:r>
      <w:r w:rsidRPr="009A7163">
        <w:rPr>
          <w:lang w:val="es-NI"/>
        </w:rPr>
        <w:tab/>
        <w:t xml:space="preserve">Cooperativa Juan Francisco Paz Silva </w:t>
      </w:r>
    </w:p>
    <w:p w14:paraId="2FFCA512" w14:textId="77777777" w:rsidR="008C041F" w:rsidRPr="009A7163" w:rsidRDefault="008C041F" w:rsidP="008C041F">
      <w:pPr>
        <w:ind w:left="1440" w:hanging="1440"/>
      </w:pPr>
      <w:r w:rsidRPr="009A7163">
        <w:t>CSIG</w:t>
      </w:r>
      <w:r w:rsidRPr="009A7163">
        <w:tab/>
      </w:r>
      <w:r w:rsidRPr="009A7163">
        <w:rPr>
          <w:lang w:val="es-NI"/>
        </w:rPr>
        <w:t>Centro de Investigación en Sistemas de Información Geográfica</w:t>
      </w:r>
      <w:r w:rsidRPr="009A7163">
        <w:t xml:space="preserve"> (Centre for Research on Geographic Information Systems)</w:t>
      </w:r>
    </w:p>
    <w:p w14:paraId="0A55688D" w14:textId="77777777" w:rsidR="008C041F" w:rsidRPr="009A7163" w:rsidRDefault="008C041F" w:rsidP="008C041F">
      <w:r w:rsidRPr="009A7163">
        <w:t>DARG</w:t>
      </w:r>
      <w:r w:rsidRPr="009A7163">
        <w:tab/>
      </w:r>
      <w:r w:rsidRPr="009A7163">
        <w:tab/>
        <w:t>Developing Areas Research Group</w:t>
      </w:r>
    </w:p>
    <w:p w14:paraId="0998A7DE" w14:textId="77777777" w:rsidR="008C041F" w:rsidRPr="009A7163" w:rsidRDefault="008C041F" w:rsidP="008C041F">
      <w:r w:rsidRPr="009A7163">
        <w:t>EFTA</w:t>
      </w:r>
      <w:r w:rsidRPr="009A7163">
        <w:tab/>
      </w:r>
      <w:r w:rsidRPr="009A7163">
        <w:tab/>
        <w:t xml:space="preserve">European Fair Trade Network </w:t>
      </w:r>
    </w:p>
    <w:p w14:paraId="21E05E21" w14:textId="27966DD6" w:rsidR="008C041F" w:rsidRPr="009A7163" w:rsidRDefault="008C041F" w:rsidP="007A3A29">
      <w:pPr>
        <w:ind w:left="1440" w:hanging="1440"/>
      </w:pPr>
      <w:r w:rsidRPr="009A7163">
        <w:t>EMNV</w:t>
      </w:r>
      <w:r w:rsidRPr="009A7163">
        <w:tab/>
        <w:t>Encuesta Nacional de Hogares sobre Medición de Niveles de Vida (National Standard of Living Household Survey)</w:t>
      </w:r>
    </w:p>
    <w:p w14:paraId="3787D14F" w14:textId="77777777" w:rsidR="008C041F" w:rsidRPr="009A7163" w:rsidRDefault="008C041F" w:rsidP="008C041F">
      <w:r w:rsidRPr="009A7163">
        <w:t>ESRC</w:t>
      </w:r>
      <w:r w:rsidRPr="009A7163">
        <w:tab/>
      </w:r>
      <w:r w:rsidRPr="009A7163">
        <w:tab/>
        <w:t>Economic and Social Research Council</w:t>
      </w:r>
    </w:p>
    <w:p w14:paraId="70759BD0" w14:textId="77777777" w:rsidR="008C041F" w:rsidRPr="009A7163" w:rsidRDefault="008C041F" w:rsidP="008C041F">
      <w:r w:rsidRPr="009A7163">
        <w:t>Ético</w:t>
      </w:r>
      <w:r w:rsidRPr="009A7163">
        <w:tab/>
      </w:r>
      <w:r w:rsidRPr="009A7163">
        <w:tab/>
        <w:t>The Ethical Trade Company</w:t>
      </w:r>
    </w:p>
    <w:p w14:paraId="6AE76BC7" w14:textId="6BE1B61B" w:rsidR="008C041F" w:rsidRPr="009A7163" w:rsidRDefault="008C041F" w:rsidP="008C041F">
      <w:r w:rsidRPr="009A7163">
        <w:t>FEM</w:t>
      </w:r>
      <w:r w:rsidRPr="009A7163">
        <w:tab/>
      </w:r>
      <w:r w:rsidRPr="009A7163">
        <w:tab/>
        <w:t>Fundación Entre Mujeres (Foundation Between Women)</w:t>
      </w:r>
    </w:p>
    <w:p w14:paraId="4D14261D" w14:textId="0E1B5674" w:rsidR="00A12113" w:rsidRPr="009A7163" w:rsidRDefault="00A12113" w:rsidP="007A3A29">
      <w:pPr>
        <w:ind w:left="1440" w:hanging="1440"/>
      </w:pPr>
      <w:r w:rsidRPr="009A7163">
        <w:t>FENACOOP</w:t>
      </w:r>
      <w:r w:rsidRPr="009A7163">
        <w:tab/>
      </w:r>
      <w:r w:rsidRPr="009A7163">
        <w:rPr>
          <w:rFonts w:eastAsia="MS Mincho"/>
        </w:rPr>
        <w:t>Federación Nacional de Cooperativas Agropecuarias y Agroindustriales (National Federation of Farming and Agroindustrial Cooperatives</w:t>
      </w:r>
    </w:p>
    <w:p w14:paraId="4B1E9CD1" w14:textId="77777777" w:rsidR="008C041F" w:rsidRPr="009A7163" w:rsidRDefault="008C041F" w:rsidP="008C041F">
      <w:pPr>
        <w:ind w:left="1440" w:hanging="1440"/>
      </w:pPr>
      <w:r w:rsidRPr="009A7163">
        <w:t>FIDEG</w:t>
      </w:r>
      <w:r w:rsidRPr="009A7163">
        <w:tab/>
        <w:t>Fundación Internacional para el Desafío Económico Global (International Foundation for Global Economic Challenges)</w:t>
      </w:r>
    </w:p>
    <w:p w14:paraId="7072CA93" w14:textId="2D8FF607" w:rsidR="008C041F" w:rsidRPr="009A7163" w:rsidRDefault="008C041F" w:rsidP="008C041F">
      <w:r w:rsidRPr="009A7163">
        <w:t>FLO</w:t>
      </w:r>
      <w:r w:rsidRPr="009A7163">
        <w:tab/>
      </w:r>
      <w:r w:rsidRPr="009A7163">
        <w:tab/>
        <w:t>Fairtrade Labelling Organizations International</w:t>
      </w:r>
    </w:p>
    <w:p w14:paraId="06DE4343" w14:textId="78651B21" w:rsidR="00F63FC4" w:rsidRPr="009A7163" w:rsidRDefault="00F63FC4" w:rsidP="007A3A29">
      <w:pPr>
        <w:ind w:left="1440" w:hanging="1440"/>
      </w:pPr>
      <w:r w:rsidRPr="009A7163">
        <w:t>FSLN</w:t>
      </w:r>
      <w:r w:rsidRPr="009A7163">
        <w:tab/>
        <w:t>Frente Sandinista de Liberación Nacional (Sandinista National Liberation Front)</w:t>
      </w:r>
    </w:p>
    <w:p w14:paraId="7ED262A2" w14:textId="77777777" w:rsidR="008C041F" w:rsidRPr="009A7163" w:rsidRDefault="008C041F" w:rsidP="008C041F">
      <w:r w:rsidRPr="009A7163">
        <w:t>FT</w:t>
      </w:r>
      <w:r w:rsidRPr="009A7163">
        <w:tab/>
      </w:r>
      <w:r w:rsidRPr="009A7163">
        <w:tab/>
        <w:t>Fair Trade</w:t>
      </w:r>
    </w:p>
    <w:p w14:paraId="03172E90" w14:textId="77777777" w:rsidR="008C041F" w:rsidRPr="009A7163" w:rsidRDefault="008C041F" w:rsidP="008C041F">
      <w:r w:rsidRPr="009A7163">
        <w:t>GALS</w:t>
      </w:r>
      <w:r w:rsidRPr="009A7163">
        <w:tab/>
      </w:r>
      <w:r w:rsidRPr="009A7163">
        <w:tab/>
        <w:t>Gender Action Learning System</w:t>
      </w:r>
    </w:p>
    <w:p w14:paraId="2B61F46C" w14:textId="77777777" w:rsidR="008C041F" w:rsidRPr="009A7163" w:rsidRDefault="008C041F" w:rsidP="008C041F">
      <w:r w:rsidRPr="009A7163">
        <w:t>GBV</w:t>
      </w:r>
      <w:r w:rsidRPr="009A7163">
        <w:tab/>
      </w:r>
      <w:r w:rsidRPr="009A7163">
        <w:tab/>
      </w:r>
      <w:r w:rsidRPr="009A7163">
        <w:rPr>
          <w:lang w:eastAsia="en-GB"/>
        </w:rPr>
        <w:t>Gender-Based Violence</w:t>
      </w:r>
    </w:p>
    <w:p w14:paraId="7F1D897D" w14:textId="4A102251" w:rsidR="00F63FC4" w:rsidRPr="009A7163" w:rsidRDefault="00F63FC4" w:rsidP="008C041F">
      <w:r w:rsidRPr="009A7163">
        <w:t>GII</w:t>
      </w:r>
      <w:r w:rsidR="00A12113" w:rsidRPr="009A7163">
        <w:tab/>
      </w:r>
      <w:r w:rsidR="00A12113" w:rsidRPr="009A7163">
        <w:tab/>
      </w:r>
      <w:r w:rsidR="00A12113" w:rsidRPr="009A7163">
        <w:rPr>
          <w:bCs/>
          <w:iCs/>
        </w:rPr>
        <w:t>Gender Inequality Index</w:t>
      </w:r>
    </w:p>
    <w:p w14:paraId="47BC678C" w14:textId="1681433E" w:rsidR="00F63FC4" w:rsidRPr="009A7163" w:rsidRDefault="00F63FC4" w:rsidP="00A12113">
      <w:r w:rsidRPr="009A7163">
        <w:t>GDI</w:t>
      </w:r>
      <w:r w:rsidR="00A12113" w:rsidRPr="009A7163">
        <w:tab/>
      </w:r>
      <w:r w:rsidR="00A12113" w:rsidRPr="009A7163">
        <w:tab/>
      </w:r>
      <w:r w:rsidR="00A12113" w:rsidRPr="009A7163">
        <w:rPr>
          <w:bCs/>
          <w:iCs/>
        </w:rPr>
        <w:t>Gender Development Index</w:t>
      </w:r>
    </w:p>
    <w:p w14:paraId="67EAB038" w14:textId="24B18CEA" w:rsidR="008C041F" w:rsidRPr="009A7163" w:rsidRDefault="008C041F" w:rsidP="008C041F">
      <w:r w:rsidRPr="009A7163">
        <w:t>GDP</w:t>
      </w:r>
      <w:r w:rsidRPr="009A7163">
        <w:tab/>
      </w:r>
      <w:r w:rsidRPr="009A7163">
        <w:tab/>
        <w:t xml:space="preserve">Gross Domestic Product </w:t>
      </w:r>
    </w:p>
    <w:p w14:paraId="31775526" w14:textId="4A567DEF" w:rsidR="008C041F" w:rsidRPr="009A7163" w:rsidRDefault="008C041F" w:rsidP="008C041F">
      <w:r w:rsidRPr="009A7163">
        <w:t>GV</w:t>
      </w:r>
      <w:r w:rsidRPr="009A7163">
        <w:tab/>
      </w:r>
      <w:r w:rsidRPr="009A7163">
        <w:tab/>
        <w:t>Grupo Venancia</w:t>
      </w:r>
    </w:p>
    <w:p w14:paraId="732A0713" w14:textId="1592B8B2" w:rsidR="00F63FC4" w:rsidRPr="009A7163" w:rsidRDefault="00F63FC4" w:rsidP="008C041F">
      <w:r w:rsidRPr="009A7163">
        <w:t>HCS</w:t>
      </w:r>
      <w:r w:rsidR="00A12113" w:rsidRPr="009A7163">
        <w:tab/>
      </w:r>
      <w:r w:rsidR="00A12113" w:rsidRPr="009A7163">
        <w:tab/>
        <w:t>Household Care Survey</w:t>
      </w:r>
    </w:p>
    <w:p w14:paraId="68E579A8" w14:textId="05CF0C3D" w:rsidR="00F63FC4" w:rsidRPr="009A7163" w:rsidRDefault="00F63FC4" w:rsidP="00A12113">
      <w:r w:rsidRPr="009A7163">
        <w:t>HDI</w:t>
      </w:r>
      <w:r w:rsidR="00A12113" w:rsidRPr="009A7163">
        <w:tab/>
      </w:r>
      <w:r w:rsidR="00A12113" w:rsidRPr="009A7163">
        <w:tab/>
      </w:r>
      <w:r w:rsidR="00A12113" w:rsidRPr="009A7163">
        <w:rPr>
          <w:bCs/>
          <w:iCs/>
        </w:rPr>
        <w:t>Human Development Index</w:t>
      </w:r>
    </w:p>
    <w:p w14:paraId="4A0A4F7F" w14:textId="11161B67" w:rsidR="008C041F" w:rsidRPr="009A7163" w:rsidRDefault="008C041F" w:rsidP="008C041F">
      <w:r w:rsidRPr="009A7163">
        <w:t>H</w:t>
      </w:r>
      <w:r w:rsidR="00F63FC4" w:rsidRPr="009A7163">
        <w:t>SA</w:t>
      </w:r>
      <w:r w:rsidRPr="009A7163">
        <w:tab/>
      </w:r>
      <w:r w:rsidRPr="009A7163">
        <w:tab/>
        <w:t xml:space="preserve">Household Satellite Accounts </w:t>
      </w:r>
    </w:p>
    <w:p w14:paraId="089899ED" w14:textId="77777777" w:rsidR="008C041F" w:rsidRPr="009A7163" w:rsidRDefault="008C041F" w:rsidP="008C041F">
      <w:r w:rsidRPr="009A7163">
        <w:t>IFAT</w:t>
      </w:r>
      <w:r w:rsidRPr="009A7163">
        <w:tab/>
      </w:r>
      <w:r w:rsidRPr="009A7163">
        <w:tab/>
        <w:t>International Federation of Alternative Trade</w:t>
      </w:r>
    </w:p>
    <w:p w14:paraId="6155C3F4" w14:textId="77777777" w:rsidR="008C041F" w:rsidRPr="009A7163" w:rsidRDefault="008C041F" w:rsidP="008C041F">
      <w:r w:rsidRPr="009A7163">
        <w:t>IMF</w:t>
      </w:r>
      <w:r w:rsidRPr="009A7163">
        <w:tab/>
      </w:r>
      <w:r w:rsidRPr="009A7163">
        <w:tab/>
        <w:t>International Monetary Fund</w:t>
      </w:r>
    </w:p>
    <w:p w14:paraId="324B63F3" w14:textId="417BFDDC" w:rsidR="008C041F" w:rsidRPr="009A7163" w:rsidRDefault="008C041F" w:rsidP="00293176">
      <w:pPr>
        <w:ind w:left="1440" w:hanging="1440"/>
      </w:pPr>
      <w:r w:rsidRPr="009A7163">
        <w:t>INEC</w:t>
      </w:r>
      <w:r w:rsidRPr="009A7163">
        <w:tab/>
        <w:t>Instituto Nacional de Estadísticas y Censos (National Institute of Statistics and Census)</w:t>
      </w:r>
    </w:p>
    <w:p w14:paraId="114621DE" w14:textId="77777777" w:rsidR="008C041F" w:rsidRPr="009A7163" w:rsidRDefault="008C041F" w:rsidP="008C041F">
      <w:r w:rsidRPr="009A7163">
        <w:t>MAG</w:t>
      </w:r>
      <w:r w:rsidRPr="009A7163">
        <w:tab/>
      </w:r>
      <w:r w:rsidRPr="009A7163">
        <w:tab/>
        <w:t>Ministerio de Agropecuario (Nicaraguan Ministry of Agriculture)</w:t>
      </w:r>
    </w:p>
    <w:p w14:paraId="4A8E0B27" w14:textId="4CC6C3AD" w:rsidR="008C041F" w:rsidRPr="009A7163" w:rsidRDefault="008C041F" w:rsidP="00293176">
      <w:pPr>
        <w:ind w:left="1440" w:hanging="1440"/>
      </w:pPr>
      <w:r w:rsidRPr="009A7163">
        <w:t>MAM</w:t>
      </w:r>
      <w:r w:rsidRPr="009A7163">
        <w:tab/>
      </w:r>
      <w:r w:rsidRPr="009A7163">
        <w:rPr>
          <w:lang w:eastAsia="en-GB"/>
        </w:rPr>
        <w:t xml:space="preserve">Movimiento Autónomo de Mujeres </w:t>
      </w:r>
      <w:r w:rsidRPr="009A7163">
        <w:t>(</w:t>
      </w:r>
      <w:r w:rsidRPr="009A7163">
        <w:rPr>
          <w:lang w:eastAsia="en-GB"/>
        </w:rPr>
        <w:t>Women’s Autonomous Movement)</w:t>
      </w:r>
    </w:p>
    <w:p w14:paraId="464EB846" w14:textId="53355EA0" w:rsidR="008C041F" w:rsidRPr="009A7163" w:rsidRDefault="008C041F" w:rsidP="00293176">
      <w:pPr>
        <w:ind w:left="1440" w:hanging="1440"/>
      </w:pPr>
      <w:r w:rsidRPr="009A7163">
        <w:t>MMFC</w:t>
      </w:r>
      <w:r w:rsidRPr="009A7163">
        <w:tab/>
        <w:t xml:space="preserve">Movimiento Mujeres Flores de Café (Coffee Flowers Women’s Movement) </w:t>
      </w:r>
    </w:p>
    <w:p w14:paraId="55003EDA" w14:textId="581F1143" w:rsidR="008C041F" w:rsidRPr="009A7163" w:rsidRDefault="008C041F" w:rsidP="008C041F">
      <w:r w:rsidRPr="009A7163">
        <w:t>MOU</w:t>
      </w:r>
      <w:r w:rsidRPr="009A7163">
        <w:tab/>
      </w:r>
      <w:r w:rsidRPr="009A7163">
        <w:tab/>
        <w:t xml:space="preserve">Memorandum of Understanding </w:t>
      </w:r>
    </w:p>
    <w:p w14:paraId="3AE60BEF" w14:textId="220F88DB" w:rsidR="00F63FC4" w:rsidRPr="009A7163" w:rsidRDefault="00F63FC4" w:rsidP="008C041F">
      <w:r w:rsidRPr="009A7163">
        <w:t>NGO</w:t>
      </w:r>
      <w:r w:rsidR="00A12113" w:rsidRPr="009A7163">
        <w:tab/>
      </w:r>
      <w:r w:rsidR="00A12113" w:rsidRPr="009A7163">
        <w:tab/>
        <w:t>Nongovernment organization</w:t>
      </w:r>
    </w:p>
    <w:p w14:paraId="057820D8" w14:textId="77777777" w:rsidR="008C041F" w:rsidRPr="009A7163" w:rsidRDefault="008C041F" w:rsidP="008C041F">
      <w:r w:rsidRPr="009A7163">
        <w:t>PAR</w:t>
      </w:r>
      <w:r w:rsidRPr="009A7163">
        <w:tab/>
      </w:r>
      <w:r w:rsidRPr="009A7163">
        <w:tab/>
        <w:t>Participatory Action Research</w:t>
      </w:r>
    </w:p>
    <w:p w14:paraId="6C90A44E" w14:textId="77777777" w:rsidR="008C041F" w:rsidRPr="009A7163" w:rsidRDefault="008C041F" w:rsidP="008C041F">
      <w:r w:rsidRPr="009A7163">
        <w:t>RHUL</w:t>
      </w:r>
      <w:r w:rsidRPr="009A7163">
        <w:tab/>
      </w:r>
      <w:r w:rsidRPr="009A7163">
        <w:tab/>
        <w:t>Royal Holloway, University of London</w:t>
      </w:r>
    </w:p>
    <w:p w14:paraId="03FC3A21" w14:textId="77777777" w:rsidR="008C041F" w:rsidRPr="009A7163" w:rsidRDefault="008C041F" w:rsidP="008C041F">
      <w:pPr>
        <w:rPr>
          <w:shd w:val="clear" w:color="auto" w:fill="FFFFFF"/>
        </w:rPr>
      </w:pPr>
      <w:r w:rsidRPr="009A7163">
        <w:lastRenderedPageBreak/>
        <w:t>SBN</w:t>
      </w:r>
      <w:r w:rsidRPr="009A7163">
        <w:tab/>
      </w:r>
      <w:r w:rsidRPr="009A7163">
        <w:tab/>
      </w:r>
      <w:r w:rsidRPr="009A7163">
        <w:rPr>
          <w:shd w:val="clear" w:color="auto" w:fill="FFFFFF"/>
        </w:rPr>
        <w:t>Social Business Network</w:t>
      </w:r>
    </w:p>
    <w:p w14:paraId="7E4EA5C7" w14:textId="77777777" w:rsidR="008C041F" w:rsidRPr="009A7163" w:rsidRDefault="008C041F" w:rsidP="008C041F">
      <w:r w:rsidRPr="009A7163">
        <w:rPr>
          <w:shd w:val="clear" w:color="auto" w:fill="FFFFFF"/>
        </w:rPr>
        <w:t>SDG</w:t>
      </w:r>
      <w:r w:rsidRPr="009A7163">
        <w:rPr>
          <w:shd w:val="clear" w:color="auto" w:fill="FFFFFF"/>
        </w:rPr>
        <w:tab/>
      </w:r>
      <w:r w:rsidRPr="009A7163">
        <w:rPr>
          <w:shd w:val="clear" w:color="auto" w:fill="FFFFFF"/>
        </w:rPr>
        <w:tab/>
      </w:r>
      <w:r w:rsidRPr="009A7163">
        <w:t>Sustainable Development Goals</w:t>
      </w:r>
    </w:p>
    <w:p w14:paraId="0C6E09F6" w14:textId="77777777" w:rsidR="00F63FC4" w:rsidRPr="009A7163" w:rsidRDefault="00F63FC4" w:rsidP="00F63FC4">
      <w:pPr>
        <w:rPr>
          <w:shd w:val="clear" w:color="auto" w:fill="FFFFFF"/>
        </w:rPr>
      </w:pPr>
      <w:r w:rsidRPr="009A7163">
        <w:rPr>
          <w:shd w:val="clear" w:color="auto" w:fill="FFFFFF"/>
        </w:rPr>
        <w:t>SNA</w:t>
      </w:r>
      <w:r w:rsidRPr="009A7163">
        <w:rPr>
          <w:shd w:val="clear" w:color="auto" w:fill="FFFFFF"/>
        </w:rPr>
        <w:tab/>
      </w:r>
      <w:r w:rsidRPr="009A7163">
        <w:rPr>
          <w:shd w:val="clear" w:color="auto" w:fill="FFFFFF"/>
        </w:rPr>
        <w:tab/>
        <w:t xml:space="preserve">System of National Accounts </w:t>
      </w:r>
    </w:p>
    <w:p w14:paraId="2A3AC06D" w14:textId="77777777" w:rsidR="008C041F" w:rsidRPr="009A7163" w:rsidRDefault="008C041F" w:rsidP="008C041F">
      <w:pPr>
        <w:rPr>
          <w:shd w:val="clear" w:color="auto" w:fill="FFFFFF"/>
        </w:rPr>
      </w:pPr>
      <w:r w:rsidRPr="009A7163">
        <w:t>TUS</w:t>
      </w:r>
      <w:r w:rsidRPr="009A7163">
        <w:tab/>
      </w:r>
      <w:r w:rsidRPr="009A7163">
        <w:tab/>
      </w:r>
      <w:r w:rsidRPr="009A7163">
        <w:rPr>
          <w:shd w:val="clear" w:color="auto" w:fill="FFFFFF"/>
        </w:rPr>
        <w:t>Time Use Survey</w:t>
      </w:r>
    </w:p>
    <w:p w14:paraId="2AF4D643" w14:textId="77777777" w:rsidR="008C041F" w:rsidRPr="009A7163" w:rsidRDefault="008C041F" w:rsidP="008C041F">
      <w:pPr>
        <w:rPr>
          <w:shd w:val="clear" w:color="auto" w:fill="FFFFFF"/>
        </w:rPr>
      </w:pPr>
      <w:r w:rsidRPr="009A7163">
        <w:rPr>
          <w:shd w:val="clear" w:color="auto" w:fill="FFFFFF"/>
        </w:rPr>
        <w:t>TUVI</w:t>
      </w:r>
      <w:r w:rsidRPr="009A7163">
        <w:rPr>
          <w:shd w:val="clear" w:color="auto" w:fill="FFFFFF"/>
        </w:rPr>
        <w:tab/>
      </w:r>
      <w:r w:rsidRPr="009A7163">
        <w:rPr>
          <w:shd w:val="clear" w:color="auto" w:fill="FFFFFF"/>
        </w:rPr>
        <w:tab/>
        <w:t>Time Use Visualisation Instrument</w:t>
      </w:r>
    </w:p>
    <w:p w14:paraId="7C39AFF0" w14:textId="18260168" w:rsidR="00F63FC4" w:rsidRPr="009A7163" w:rsidRDefault="00F63FC4" w:rsidP="008C041F">
      <w:pPr>
        <w:rPr>
          <w:shd w:val="clear" w:color="auto" w:fill="FFFFFF"/>
        </w:rPr>
      </w:pPr>
      <w:r w:rsidRPr="009A7163">
        <w:rPr>
          <w:shd w:val="clear" w:color="auto" w:fill="FFFFFF"/>
        </w:rPr>
        <w:t>UCW</w:t>
      </w:r>
      <w:r w:rsidRPr="009A7163">
        <w:rPr>
          <w:shd w:val="clear" w:color="auto" w:fill="FFFFFF"/>
        </w:rPr>
        <w:tab/>
      </w:r>
      <w:r w:rsidRPr="009A7163">
        <w:rPr>
          <w:shd w:val="clear" w:color="auto" w:fill="FFFFFF"/>
        </w:rPr>
        <w:tab/>
        <w:t>Unpaid care work</w:t>
      </w:r>
    </w:p>
    <w:p w14:paraId="79FA0C5F" w14:textId="4C14665F" w:rsidR="00F63FC4" w:rsidRPr="009A7163" w:rsidRDefault="00F63FC4" w:rsidP="007A3A29">
      <w:pPr>
        <w:ind w:left="1440" w:hanging="1440"/>
        <w:rPr>
          <w:shd w:val="clear" w:color="auto" w:fill="FFFFFF"/>
        </w:rPr>
      </w:pPr>
      <w:r w:rsidRPr="009A7163">
        <w:rPr>
          <w:shd w:val="clear" w:color="auto" w:fill="FFFFFF"/>
        </w:rPr>
        <w:t>UNAN-León</w:t>
      </w:r>
      <w:r w:rsidRPr="009A7163">
        <w:rPr>
          <w:shd w:val="clear" w:color="auto" w:fill="FFFFFF"/>
        </w:rPr>
        <w:tab/>
        <w:t>Universidad Nacional Autónoma de Nicaragua, León (National Autonomous University of Nicaragua, León)</w:t>
      </w:r>
    </w:p>
    <w:p w14:paraId="7D0F408C" w14:textId="31872D27" w:rsidR="008C041F" w:rsidRPr="009A7163" w:rsidRDefault="008C041F" w:rsidP="008C041F">
      <w:r w:rsidRPr="009A7163">
        <w:rPr>
          <w:shd w:val="clear" w:color="auto" w:fill="FFFFFF"/>
        </w:rPr>
        <w:t>UNRISD</w:t>
      </w:r>
      <w:r w:rsidRPr="009A7163">
        <w:rPr>
          <w:shd w:val="clear" w:color="auto" w:fill="FFFFFF"/>
        </w:rPr>
        <w:tab/>
      </w:r>
      <w:r w:rsidRPr="009A7163">
        <w:t>United Nations Research Institute for Social Development</w:t>
      </w:r>
    </w:p>
    <w:p w14:paraId="4D2C24A8" w14:textId="77777777" w:rsidR="008C041F" w:rsidRPr="009A7163" w:rsidRDefault="008C041F" w:rsidP="008C041F">
      <w:r w:rsidRPr="009A7163">
        <w:rPr>
          <w:shd w:val="clear" w:color="auto" w:fill="FFFFFF"/>
        </w:rPr>
        <w:t>WEE</w:t>
      </w:r>
      <w:r w:rsidRPr="009A7163">
        <w:rPr>
          <w:shd w:val="clear" w:color="auto" w:fill="FFFFFF"/>
        </w:rPr>
        <w:tab/>
      </w:r>
      <w:r w:rsidRPr="009A7163">
        <w:rPr>
          <w:shd w:val="clear" w:color="auto" w:fill="FFFFFF"/>
        </w:rPr>
        <w:tab/>
        <w:t>Women’s Economic Empowerment</w:t>
      </w:r>
    </w:p>
    <w:p w14:paraId="4F8BDA64" w14:textId="77777777" w:rsidR="008C041F" w:rsidRPr="009A7163" w:rsidRDefault="008C041F">
      <w:pPr>
        <w:spacing w:line="360" w:lineRule="auto"/>
        <w:rPr>
          <w:b/>
        </w:rPr>
      </w:pPr>
    </w:p>
    <w:p w14:paraId="038116C1" w14:textId="77777777" w:rsidR="00F55C18" w:rsidRPr="009A7163" w:rsidRDefault="00F55C18" w:rsidP="00F55C18">
      <w:pPr>
        <w:spacing w:line="360" w:lineRule="auto"/>
        <w:jc w:val="center"/>
        <w:rPr>
          <w:b/>
        </w:rPr>
        <w:sectPr w:rsidR="00F55C18" w:rsidRPr="009A7163" w:rsidSect="00CB5642">
          <w:pgSz w:w="11900" w:h="16840"/>
          <w:pgMar w:top="1440" w:right="1440" w:bottom="1440" w:left="2160" w:header="720" w:footer="720" w:gutter="0"/>
          <w:cols w:space="720"/>
          <w:docGrid w:linePitch="360"/>
        </w:sectPr>
      </w:pPr>
    </w:p>
    <w:p w14:paraId="12AD0F78" w14:textId="67FD6AA2" w:rsidR="000E70C7" w:rsidRPr="009A7163" w:rsidRDefault="00F55C18" w:rsidP="00B17488">
      <w:pPr>
        <w:pStyle w:val="Heading1"/>
        <w:rPr>
          <w:sz w:val="28"/>
        </w:rPr>
      </w:pPr>
      <w:bookmarkStart w:id="6" w:name="_Toc526819242"/>
      <w:r w:rsidRPr="009A7163">
        <w:rPr>
          <w:sz w:val="28"/>
        </w:rPr>
        <w:lastRenderedPageBreak/>
        <w:t xml:space="preserve">Chapter </w:t>
      </w:r>
      <w:r w:rsidR="00FA2392" w:rsidRPr="009A7163">
        <w:rPr>
          <w:sz w:val="28"/>
        </w:rPr>
        <w:t>One</w:t>
      </w:r>
      <w:r w:rsidRPr="009A7163">
        <w:rPr>
          <w:sz w:val="28"/>
        </w:rPr>
        <w:t>: Introduction</w:t>
      </w:r>
      <w:bookmarkEnd w:id="6"/>
      <w:r w:rsidRPr="009A7163">
        <w:rPr>
          <w:sz w:val="28"/>
        </w:rPr>
        <w:t xml:space="preserve"> </w:t>
      </w:r>
    </w:p>
    <w:p w14:paraId="663E1B91" w14:textId="77777777" w:rsidR="00932AAB" w:rsidRPr="009A7163" w:rsidRDefault="00932AAB" w:rsidP="00B17488">
      <w:pPr>
        <w:pStyle w:val="Heading1"/>
      </w:pPr>
    </w:p>
    <w:p w14:paraId="287C3A3C" w14:textId="77777777" w:rsidR="00932AAB" w:rsidRPr="009A7163" w:rsidRDefault="00932AAB" w:rsidP="00B17488">
      <w:pPr>
        <w:pStyle w:val="Heading1"/>
      </w:pPr>
    </w:p>
    <w:p w14:paraId="1437370D" w14:textId="77777777" w:rsidR="000E70C7" w:rsidRPr="009A7163" w:rsidRDefault="000E70C7" w:rsidP="00932AAB">
      <w:pPr>
        <w:ind w:left="720"/>
        <w:jc w:val="both"/>
        <w:rPr>
          <w:i/>
        </w:rPr>
      </w:pPr>
      <w:r w:rsidRPr="009A7163">
        <w:rPr>
          <w:i/>
          <w:iCs/>
        </w:rPr>
        <w:t>Women stand at the crossroads between production and reproduction, between economic activity and the care of human beings, and therefore between economic growth and human development. They are workers in both spheres – those most responsible and therefore with most at stake, those who suffer most when the two spheres meet at cross-purposes, and those most sensitive to the need for better integration between the two.</w:t>
      </w:r>
    </w:p>
    <w:p w14:paraId="2547BA00" w14:textId="77777777" w:rsidR="000E70C7" w:rsidRPr="009A7163" w:rsidRDefault="000E70C7" w:rsidP="00932AAB">
      <w:pPr>
        <w:ind w:firstLine="720"/>
        <w:jc w:val="right"/>
        <w:rPr>
          <w:iCs/>
        </w:rPr>
      </w:pPr>
      <w:r w:rsidRPr="009A7163">
        <w:rPr>
          <w:iCs/>
        </w:rPr>
        <w:t xml:space="preserve">(G. Sen, 1995, p. 12) </w:t>
      </w:r>
    </w:p>
    <w:p w14:paraId="1A610F74" w14:textId="77777777" w:rsidR="00932AAB" w:rsidRPr="009A7163" w:rsidRDefault="00932AAB" w:rsidP="00932AAB">
      <w:pPr>
        <w:ind w:firstLine="720"/>
        <w:jc w:val="right"/>
      </w:pPr>
    </w:p>
    <w:p w14:paraId="5ED18F88" w14:textId="77777777" w:rsidR="00932AAB" w:rsidRPr="009A7163" w:rsidRDefault="00932AAB" w:rsidP="00932AAB">
      <w:pPr>
        <w:ind w:firstLine="720"/>
        <w:jc w:val="right"/>
      </w:pPr>
    </w:p>
    <w:p w14:paraId="437F657C" w14:textId="5E3242A2" w:rsidR="006E4E01" w:rsidRPr="009A7163" w:rsidRDefault="006E4E01" w:rsidP="006E4E01">
      <w:pPr>
        <w:pStyle w:val="Heading2"/>
        <w:rPr>
          <w:lang w:val="en-GB"/>
        </w:rPr>
      </w:pPr>
      <w:bookmarkStart w:id="7" w:name="_Toc526819243"/>
      <w:r w:rsidRPr="009A7163">
        <w:rPr>
          <w:lang w:val="en-GB"/>
        </w:rPr>
        <w:t xml:space="preserve">1.1  </w:t>
      </w:r>
      <w:r w:rsidR="00F55C18" w:rsidRPr="009A7163">
        <w:rPr>
          <w:lang w:val="en-GB"/>
        </w:rPr>
        <w:t>Overview</w:t>
      </w:r>
      <w:bookmarkEnd w:id="7"/>
    </w:p>
    <w:p w14:paraId="08F2DBC7" w14:textId="49619930" w:rsidR="00B836B6" w:rsidRPr="009A7163" w:rsidRDefault="000E70C7" w:rsidP="009C2EBF">
      <w:pPr>
        <w:spacing w:after="240" w:line="360" w:lineRule="auto"/>
        <w:ind w:firstLine="720"/>
        <w:jc w:val="both"/>
      </w:pPr>
      <w:r w:rsidRPr="009A7163">
        <w:t>This thesis is a study of women’s unpaid care work and its contribution to Fair Trade (FT).</w:t>
      </w:r>
      <w:r w:rsidRPr="009A7163">
        <w:rPr>
          <w:rStyle w:val="FootnoteReference"/>
        </w:rPr>
        <w:footnoteReference w:id="1"/>
      </w:r>
      <w:r w:rsidR="006F7480" w:rsidRPr="009A7163">
        <w:t xml:space="preserve"> </w:t>
      </w:r>
      <w:r w:rsidRPr="009A7163">
        <w:t>It is a feminist mixed-methods case study analysis of women’s unpaid work in two distinct FT supply chains in Nicaragua.</w:t>
      </w:r>
      <w:r w:rsidR="006D5E68" w:rsidRPr="009A7163">
        <w:t xml:space="preserve"> </w:t>
      </w:r>
      <w:r w:rsidRPr="009A7163">
        <w:t xml:space="preserve">It is the result of nearly two decades of engagement with Nicaragua, FT, gender and development in practice. </w:t>
      </w:r>
      <w:r w:rsidR="00B836B6" w:rsidRPr="009A7163">
        <w:t>The Body Shop</w:t>
      </w:r>
      <w:r w:rsidR="00CF739C" w:rsidRPr="009A7163">
        <w:t xml:space="preserve"> </w:t>
      </w:r>
      <w:r w:rsidR="00793320" w:rsidRPr="009A7163">
        <w:t xml:space="preserve">International </w:t>
      </w:r>
      <w:r w:rsidR="00CF739C" w:rsidRPr="009A7163">
        <w:t>(BSI)</w:t>
      </w:r>
      <w:r w:rsidR="00E22EB2" w:rsidRPr="009A7163">
        <w:t xml:space="preserve"> and the </w:t>
      </w:r>
      <w:r w:rsidR="00B836B6" w:rsidRPr="009A7163">
        <w:t xml:space="preserve">Juan </w:t>
      </w:r>
      <w:r w:rsidR="00E22EB2" w:rsidRPr="009A7163">
        <w:t>Francisco</w:t>
      </w:r>
      <w:r w:rsidR="00B836B6" w:rsidRPr="009A7163">
        <w:t xml:space="preserve"> Paz Silva</w:t>
      </w:r>
      <w:r w:rsidR="00213F91" w:rsidRPr="009A7163">
        <w:t xml:space="preserve"> Cooperative</w:t>
      </w:r>
      <w:r w:rsidR="00B836B6" w:rsidRPr="009A7163">
        <w:t xml:space="preserve"> (CJFPS) along with </w:t>
      </w:r>
      <w:r w:rsidR="008654BF" w:rsidRPr="009A7163">
        <w:t>The Ethical Trade Company</w:t>
      </w:r>
      <w:r w:rsidR="008654BF" w:rsidRPr="009A7163">
        <w:rPr>
          <w:rStyle w:val="FootnoteReference"/>
          <w:shd w:val="clear" w:color="auto" w:fill="FFFFFF"/>
        </w:rPr>
        <w:footnoteReference w:id="2"/>
      </w:r>
      <w:r w:rsidR="008654BF" w:rsidRPr="009A7163">
        <w:t xml:space="preserve"> (Ético</w:t>
      </w:r>
      <w:r w:rsidR="00213F91" w:rsidRPr="009A7163">
        <w:t xml:space="preserve">) </w:t>
      </w:r>
      <w:r w:rsidR="006C0306" w:rsidRPr="009A7163">
        <w:t>pioneered</w:t>
      </w:r>
      <w:r w:rsidR="00007EBD" w:rsidRPr="009A7163">
        <w:t xml:space="preserve"> the first known</w:t>
      </w:r>
      <w:r w:rsidR="00B836B6" w:rsidRPr="009A7163">
        <w:t xml:space="preserve"> </w:t>
      </w:r>
      <w:r w:rsidR="006C0306" w:rsidRPr="009A7163">
        <w:t>initiative</w:t>
      </w:r>
      <w:r w:rsidR="00B836B6" w:rsidRPr="009A7163">
        <w:t xml:space="preserve"> to recogn</w:t>
      </w:r>
      <w:r w:rsidR="00793320" w:rsidRPr="009A7163">
        <w:t>ise</w:t>
      </w:r>
      <w:r w:rsidR="00B836B6" w:rsidRPr="009A7163">
        <w:t xml:space="preserve"> the unpaid work of women in </w:t>
      </w:r>
      <w:r w:rsidR="00D8545C" w:rsidRPr="009A7163">
        <w:t>FT supply chains</w:t>
      </w:r>
      <w:r w:rsidR="00B836B6" w:rsidRPr="009A7163">
        <w:t>. Traditionally, the price for commodity products (like sesame and coffee) include only direct input and labour costs and fail to recogn</w:t>
      </w:r>
      <w:r w:rsidR="00793320" w:rsidRPr="009A7163">
        <w:t>ise</w:t>
      </w:r>
      <w:r w:rsidR="00B836B6" w:rsidRPr="009A7163">
        <w:t xml:space="preserve"> or take into account the </w:t>
      </w:r>
      <w:r w:rsidR="00213F91" w:rsidRPr="009A7163">
        <w:t>unpaid work that supports production</w:t>
      </w:r>
      <w:r w:rsidR="00B836B6" w:rsidRPr="009A7163">
        <w:t xml:space="preserve">, which is mainly </w:t>
      </w:r>
      <w:r w:rsidR="00213F91" w:rsidRPr="009A7163">
        <w:t xml:space="preserve">done </w:t>
      </w:r>
      <w:r w:rsidR="00B836B6" w:rsidRPr="009A7163">
        <w:t>by women. Th</w:t>
      </w:r>
      <w:r w:rsidR="00213F91" w:rsidRPr="009A7163">
        <w:t xml:space="preserve">e initiative developed by BSI, CJFPS and </w:t>
      </w:r>
      <w:r w:rsidR="008654BF" w:rsidRPr="009A7163">
        <w:t>Ético</w:t>
      </w:r>
      <w:r w:rsidR="00213F91" w:rsidRPr="009A7163">
        <w:t xml:space="preserve"> </w:t>
      </w:r>
      <w:r w:rsidR="00B836B6" w:rsidRPr="009A7163">
        <w:t>is the first time that rural women’s unpaid work has been recogn</w:t>
      </w:r>
      <w:r w:rsidR="00793320" w:rsidRPr="009A7163">
        <w:t>ise</w:t>
      </w:r>
      <w:r w:rsidR="00B836B6" w:rsidRPr="009A7163">
        <w:t xml:space="preserve">d as a necessary input into production and one that should be valued and remunerated. </w:t>
      </w:r>
      <w:r w:rsidRPr="009A7163">
        <w:t>This research is unique</w:t>
      </w:r>
      <w:r w:rsidR="004A75A1" w:rsidRPr="009A7163">
        <w:t>,</w:t>
      </w:r>
      <w:r w:rsidRPr="009A7163">
        <w:t xml:space="preserve"> as there is no other known example of a pricing model </w:t>
      </w:r>
      <w:r w:rsidR="004A75A1" w:rsidRPr="009A7163">
        <w:t>that</w:t>
      </w:r>
      <w:r w:rsidRPr="009A7163">
        <w:t xml:space="preserve"> has looked to recognise women’s unpaid work in its pricing structure and no other academic study of this innovative pricing model to date. It is also distinct due to the nature of direct engagement with BSI</w:t>
      </w:r>
      <w:r w:rsidR="00213F91" w:rsidRPr="009A7163">
        <w:t>,</w:t>
      </w:r>
      <w:r w:rsidRPr="009A7163">
        <w:t xml:space="preserve"> wh</w:t>
      </w:r>
      <w:r w:rsidR="00213F91" w:rsidRPr="009A7163">
        <w:t>ich</w:t>
      </w:r>
      <w:r w:rsidRPr="009A7163">
        <w:t xml:space="preserve"> </w:t>
      </w:r>
      <w:r w:rsidR="00213F91" w:rsidRPr="009A7163">
        <w:t>funded part</w:t>
      </w:r>
      <w:r w:rsidRPr="009A7163">
        <w:t xml:space="preserve"> of the research project</w:t>
      </w:r>
      <w:r w:rsidR="00213F91" w:rsidRPr="009A7163">
        <w:t>.</w:t>
      </w:r>
      <w:r w:rsidR="00E101A3" w:rsidRPr="009A7163">
        <w:rPr>
          <w:rStyle w:val="FootnoteReference"/>
        </w:rPr>
        <w:footnoteReference w:id="3"/>
      </w:r>
      <w:r w:rsidR="00ED4445" w:rsidRPr="009A7163">
        <w:t xml:space="preserve"> </w:t>
      </w:r>
      <w:r w:rsidR="00FA07BF" w:rsidRPr="009A7163">
        <w:t xml:space="preserve"> This thesis</w:t>
      </w:r>
      <w:r w:rsidR="003A4770" w:rsidRPr="009A7163">
        <w:t xml:space="preserve"> provides a critical examination of the initiative and</w:t>
      </w:r>
      <w:r w:rsidR="00E63CDC" w:rsidRPr="009A7163">
        <w:t xml:space="preserve"> the pricing </w:t>
      </w:r>
      <w:r w:rsidR="000B1824" w:rsidRPr="009A7163">
        <w:t>model</w:t>
      </w:r>
      <w:r w:rsidR="00EA013D" w:rsidRPr="009A7163">
        <w:t>’</w:t>
      </w:r>
      <w:r w:rsidR="000B1824" w:rsidRPr="009A7163">
        <w:t>s ability</w:t>
      </w:r>
      <w:r w:rsidR="003A4770" w:rsidRPr="009A7163">
        <w:t xml:space="preserve"> to contribute to women’s empowerment.</w:t>
      </w:r>
      <w:r w:rsidR="006D5E68" w:rsidRPr="009A7163">
        <w:t xml:space="preserve"> </w:t>
      </w:r>
      <w:r w:rsidR="004A75A1" w:rsidRPr="009A7163">
        <w:t>A</w:t>
      </w:r>
      <w:r w:rsidR="006D5E68" w:rsidRPr="009A7163">
        <w:t xml:space="preserve"> mixed</w:t>
      </w:r>
      <w:r w:rsidR="004A75A1" w:rsidRPr="009A7163">
        <w:t>-</w:t>
      </w:r>
      <w:r w:rsidR="006D5E68" w:rsidRPr="009A7163">
        <w:t xml:space="preserve">methods approach was chosen </w:t>
      </w:r>
      <w:r w:rsidR="004A75A1" w:rsidRPr="009A7163">
        <w:t>because</w:t>
      </w:r>
      <w:r w:rsidR="006D5E68" w:rsidRPr="009A7163">
        <w:t xml:space="preserve"> quantitative data </w:t>
      </w:r>
      <w:r w:rsidR="009C2EBF" w:rsidRPr="009A7163">
        <w:t>methods</w:t>
      </w:r>
      <w:r w:rsidR="004A75A1" w:rsidRPr="009A7163">
        <w:t>,</w:t>
      </w:r>
      <w:r w:rsidR="009C2EBF" w:rsidRPr="009A7163">
        <w:t xml:space="preserve"> such as time use surveys</w:t>
      </w:r>
      <w:r w:rsidR="00443890" w:rsidRPr="009A7163">
        <w:t xml:space="preserve"> (TUS)</w:t>
      </w:r>
      <w:r w:rsidR="004A75A1" w:rsidRPr="009A7163">
        <w:t>,</w:t>
      </w:r>
      <w:r w:rsidR="009C2EBF" w:rsidRPr="009A7163">
        <w:t xml:space="preserve"> </w:t>
      </w:r>
      <w:r w:rsidR="006D5E68" w:rsidRPr="009A7163">
        <w:t xml:space="preserve">can provide numbers to help campaign </w:t>
      </w:r>
      <w:r w:rsidR="006D5E68" w:rsidRPr="009A7163">
        <w:lastRenderedPageBreak/>
        <w:t xml:space="preserve">for political </w:t>
      </w:r>
      <w:r w:rsidR="00225D50" w:rsidRPr="009A7163">
        <w:t>change and to address</w:t>
      </w:r>
      <w:r w:rsidR="006D5E68" w:rsidRPr="009A7163">
        <w:t xml:space="preserve"> f</w:t>
      </w:r>
      <w:r w:rsidR="009C2EBF" w:rsidRPr="009A7163">
        <w:t xml:space="preserve">airness in </w:t>
      </w:r>
      <w:r w:rsidR="00225D50" w:rsidRPr="009A7163">
        <w:t>business</w:t>
      </w:r>
      <w:r w:rsidR="004A75A1" w:rsidRPr="009A7163">
        <w:t>,</w:t>
      </w:r>
      <w:r w:rsidR="00593BE0" w:rsidRPr="009A7163">
        <w:t xml:space="preserve"> </w:t>
      </w:r>
      <w:r w:rsidR="004A75A1" w:rsidRPr="009A7163">
        <w:t>w</w:t>
      </w:r>
      <w:r w:rsidR="00593BE0" w:rsidRPr="009A7163">
        <w:t>h</w:t>
      </w:r>
      <w:r w:rsidR="004A75A1" w:rsidRPr="009A7163">
        <w:t>ile</w:t>
      </w:r>
      <w:r w:rsidR="00593BE0" w:rsidRPr="009A7163">
        <w:t xml:space="preserve"> q</w:t>
      </w:r>
      <w:r w:rsidR="00443890" w:rsidRPr="009A7163">
        <w:t>ualitative methods</w:t>
      </w:r>
      <w:r w:rsidR="00312851" w:rsidRPr="009A7163">
        <w:t xml:space="preserve"> </w:t>
      </w:r>
      <w:r w:rsidR="00A13BC5" w:rsidRPr="009A7163">
        <w:t xml:space="preserve">can </w:t>
      </w:r>
      <w:r w:rsidR="00312851" w:rsidRPr="009A7163">
        <w:t xml:space="preserve">delve </w:t>
      </w:r>
      <w:r w:rsidR="006D5E68" w:rsidRPr="009A7163">
        <w:t xml:space="preserve">more deeply </w:t>
      </w:r>
      <w:r w:rsidR="009C2EBF" w:rsidRPr="009A7163">
        <w:t xml:space="preserve">into </w:t>
      </w:r>
      <w:r w:rsidR="00312851" w:rsidRPr="009A7163">
        <w:t>the snapshot of</w:t>
      </w:r>
      <w:r w:rsidR="009C2EBF" w:rsidRPr="009A7163">
        <w:t xml:space="preserve"> time captured by TUS</w:t>
      </w:r>
      <w:r w:rsidR="002F569D" w:rsidRPr="009A7163">
        <w:t xml:space="preserve"> and create s</w:t>
      </w:r>
      <w:r w:rsidR="00312851" w:rsidRPr="009A7163">
        <w:t>paces to discuss the issues of unpaid work and</w:t>
      </w:r>
      <w:r w:rsidR="009C2EBF" w:rsidRPr="009A7163">
        <w:t xml:space="preserve"> th</w:t>
      </w:r>
      <w:r w:rsidR="00312851" w:rsidRPr="009A7163">
        <w:t>e gendered division of labour</w:t>
      </w:r>
      <w:r w:rsidR="005F4136" w:rsidRPr="009A7163">
        <w:t>.</w:t>
      </w:r>
    </w:p>
    <w:p w14:paraId="490A2820" w14:textId="7705958C" w:rsidR="00AA5A40" w:rsidRPr="009A7163" w:rsidRDefault="006E4E01" w:rsidP="00B17488">
      <w:pPr>
        <w:pStyle w:val="Heading2"/>
      </w:pPr>
      <w:bookmarkStart w:id="8" w:name="_Toc526819244"/>
      <w:r w:rsidRPr="009A7163">
        <w:t xml:space="preserve">1.2  </w:t>
      </w:r>
      <w:r w:rsidR="00213F91" w:rsidRPr="009A7163">
        <w:t>The Origin of the Study</w:t>
      </w:r>
      <w:bookmarkEnd w:id="8"/>
    </w:p>
    <w:p w14:paraId="0AD34462" w14:textId="7116F499" w:rsidR="000741C7" w:rsidRPr="009A7163" w:rsidRDefault="00AA5A40" w:rsidP="00F50301">
      <w:pPr>
        <w:spacing w:line="360" w:lineRule="auto"/>
        <w:ind w:firstLine="720"/>
        <w:jc w:val="both"/>
      </w:pPr>
      <w:r w:rsidRPr="009A7163">
        <w:t xml:space="preserve">The conception </w:t>
      </w:r>
      <w:r w:rsidR="004A75A1" w:rsidRPr="009A7163">
        <w:t>for</w:t>
      </w:r>
      <w:r w:rsidRPr="009A7163">
        <w:t xml:space="preserve"> this research happened in 2007 when I was l</w:t>
      </w:r>
      <w:r w:rsidR="00290860" w:rsidRPr="009A7163">
        <w:t>iving</w:t>
      </w:r>
      <w:r w:rsidRPr="009A7163">
        <w:t xml:space="preserve"> in Nicaragua and working for the UCA San Ram</w:t>
      </w:r>
      <w:r w:rsidR="00793320" w:rsidRPr="009A7163">
        <w:t>ó</w:t>
      </w:r>
      <w:r w:rsidRPr="009A7163">
        <w:t>n</w:t>
      </w:r>
      <w:r w:rsidR="009C15B0" w:rsidRPr="009A7163">
        <w:t xml:space="preserve">, </w:t>
      </w:r>
      <w:r w:rsidR="004A75A1" w:rsidRPr="009A7163">
        <w:t xml:space="preserve">a </w:t>
      </w:r>
      <w:r w:rsidR="009C15B0" w:rsidRPr="009A7163">
        <w:t>second-tier cooperative located in the municipality of San Ramón, department of Matagalpa,</w:t>
      </w:r>
      <w:r w:rsidRPr="009A7163">
        <w:t xml:space="preserve"> on a community-based tourism project</w:t>
      </w:r>
      <w:r w:rsidR="00421122" w:rsidRPr="009A7163">
        <w:t xml:space="preserve"> </w:t>
      </w:r>
      <w:r w:rsidR="00F50301" w:rsidRPr="009A7163">
        <w:t>which was ‘part of a larger effort to build an intercultural understanding and cultivate shared values around is</w:t>
      </w:r>
      <w:r w:rsidR="00C54624" w:rsidRPr="009A7163">
        <w:t>sues of solidarity,</w:t>
      </w:r>
      <w:r w:rsidR="00385441" w:rsidRPr="009A7163">
        <w:t xml:space="preserve"> </w:t>
      </w:r>
      <w:r w:rsidR="00F50301" w:rsidRPr="009A7163">
        <w:t>social justice, and environmental conservation</w:t>
      </w:r>
      <w:r w:rsidR="0018113B" w:rsidRPr="009A7163">
        <w:t>’</w:t>
      </w:r>
      <w:r w:rsidR="00F50301" w:rsidRPr="009A7163">
        <w:t xml:space="preserve"> (Bacon, 2010, p.</w:t>
      </w:r>
      <w:r w:rsidR="0018113B" w:rsidRPr="009A7163">
        <w:t xml:space="preserve"> </w:t>
      </w:r>
      <w:r w:rsidR="00F50301" w:rsidRPr="009A7163">
        <w:t>63)</w:t>
      </w:r>
      <w:r w:rsidRPr="009A7163">
        <w:t xml:space="preserve">. </w:t>
      </w:r>
      <w:r w:rsidR="009C15B0" w:rsidRPr="009A7163">
        <w:t>As a bilingual employee of the cooperative and one who had previous research experience with the cooperatives,</w:t>
      </w:r>
      <w:r w:rsidR="009C15B0" w:rsidRPr="009A7163">
        <w:rPr>
          <w:rStyle w:val="FootnoteReference"/>
        </w:rPr>
        <w:footnoteReference w:id="4"/>
      </w:r>
      <w:r w:rsidR="009C15B0" w:rsidRPr="009A7163">
        <w:t xml:space="preserve"> </w:t>
      </w:r>
      <w:r w:rsidRPr="009A7163">
        <w:t xml:space="preserve">I was contacted to gather initial information for the first proposal </w:t>
      </w:r>
      <w:r w:rsidR="009C15B0" w:rsidRPr="009A7163">
        <w:t xml:space="preserve">for research </w:t>
      </w:r>
      <w:r w:rsidRPr="009A7163">
        <w:t>written by Catherine Hoskyns</w:t>
      </w:r>
      <w:r w:rsidR="009C15B0" w:rsidRPr="009A7163">
        <w:t>.</w:t>
      </w:r>
      <w:r w:rsidRPr="009A7163">
        <w:t xml:space="preserve"> Hoskyns had written a project proposal titled</w:t>
      </w:r>
      <w:r w:rsidR="009C15B0" w:rsidRPr="009A7163">
        <w:t>,</w:t>
      </w:r>
      <w:r w:rsidRPr="009A7163">
        <w:t xml:space="preserve"> ‘Counting Unpaid Work in Production Costs</w:t>
      </w:r>
      <w:r w:rsidR="00780C6D" w:rsidRPr="009A7163">
        <w:t>:</w:t>
      </w:r>
      <w:r w:rsidR="009C15B0" w:rsidRPr="009A7163">
        <w:t xml:space="preserve"> T</w:t>
      </w:r>
      <w:r w:rsidRPr="009A7163">
        <w:t xml:space="preserve">he Example of Nicaraguan Fair Trade Contracts’ (Hoskyns, 2007). The research sought to investigate methods by which the measurement and valuation of unpaid work in the home and community could be integrated into </w:t>
      </w:r>
      <w:r w:rsidR="000741C7" w:rsidRPr="009A7163">
        <w:t xml:space="preserve">FT </w:t>
      </w:r>
      <w:r w:rsidRPr="009A7163">
        <w:t>trading systems. The objec</w:t>
      </w:r>
      <w:r w:rsidR="000741C7" w:rsidRPr="009A7163">
        <w:t xml:space="preserve">tive of the initial proposal, </w:t>
      </w:r>
      <w:r w:rsidR="0018113B" w:rsidRPr="009A7163">
        <w:t>according to</w:t>
      </w:r>
      <w:r w:rsidR="000741C7" w:rsidRPr="009A7163">
        <w:t xml:space="preserve"> Hoskyns </w:t>
      </w:r>
      <w:r w:rsidR="0018113B" w:rsidRPr="009A7163">
        <w:t>(</w:t>
      </w:r>
      <w:r w:rsidR="000741C7" w:rsidRPr="009A7163">
        <w:t xml:space="preserve">2007), was as follows: </w:t>
      </w:r>
    </w:p>
    <w:p w14:paraId="035CDBAD" w14:textId="3D151D50" w:rsidR="000741C7" w:rsidRPr="009A7163" w:rsidRDefault="000741C7" w:rsidP="006E4E01">
      <w:pPr>
        <w:spacing w:after="180"/>
        <w:ind w:left="720"/>
        <w:jc w:val="both"/>
      </w:pPr>
      <w:r w:rsidRPr="009A7163">
        <w:t>[T]</w:t>
      </w:r>
      <w:r w:rsidR="00AA5A40" w:rsidRPr="009A7163">
        <w:t>o create a model which could be applied to raise the income of poor families in the South and specifically to improve the status of women. The study proposed to focus on the measurement and valuation of unpaid household work, and on an examination of Fair Trade contracts in two cooperatives in Nicaragua selling re</w:t>
      </w:r>
      <w:r w:rsidRPr="009A7163">
        <w:t>spectively sesame seeds and oil,</w:t>
      </w:r>
      <w:r w:rsidR="00AA5A40" w:rsidRPr="009A7163">
        <w:t xml:space="preserve"> and green coffee</w:t>
      </w:r>
      <w:r w:rsidRPr="009A7163">
        <w:t>.</w:t>
      </w:r>
      <w:r w:rsidR="003958F4" w:rsidRPr="009A7163">
        <w:t xml:space="preserve"> (p. 2)</w:t>
      </w:r>
    </w:p>
    <w:p w14:paraId="25B22D04" w14:textId="16EB78D4" w:rsidR="00AA5A40" w:rsidRPr="009A7163" w:rsidRDefault="00AA5A40" w:rsidP="00B17488">
      <w:pPr>
        <w:spacing w:line="360" w:lineRule="auto"/>
        <w:jc w:val="both"/>
      </w:pPr>
      <w:r w:rsidRPr="009A7163">
        <w:t>Both of the cooperatives in this first research proposal form</w:t>
      </w:r>
      <w:r w:rsidR="0018113B" w:rsidRPr="009A7163">
        <w:t>ed</w:t>
      </w:r>
      <w:r w:rsidRPr="009A7163">
        <w:t xml:space="preserve"> part of my research and this thesis.</w:t>
      </w:r>
    </w:p>
    <w:p w14:paraId="5FB7D8D3" w14:textId="18B28114" w:rsidR="008654BF" w:rsidRPr="009A7163" w:rsidRDefault="00AA5A40" w:rsidP="00AA5A40">
      <w:pPr>
        <w:spacing w:line="360" w:lineRule="auto"/>
        <w:ind w:firstLine="720"/>
        <w:jc w:val="both"/>
        <w:rPr>
          <w:shd w:val="clear" w:color="auto" w:fill="FFFFFF"/>
        </w:rPr>
      </w:pPr>
      <w:r w:rsidRPr="009A7163">
        <w:t xml:space="preserve">The initial research proposal </w:t>
      </w:r>
      <w:r w:rsidR="000741C7" w:rsidRPr="009A7163">
        <w:t>was developed</w:t>
      </w:r>
      <w:r w:rsidRPr="009A7163">
        <w:rPr>
          <w:shd w:val="clear" w:color="auto" w:fill="FFFFFF"/>
        </w:rPr>
        <w:t xml:space="preserve"> around the same time Hoskyns had co-written an article titled, ‘Recasting the Global Political Economy: Counting Women's Unpaid Work’, in which </w:t>
      </w:r>
      <w:r w:rsidR="00CE66BC" w:rsidRPr="009A7163">
        <w:rPr>
          <w:shd w:val="clear" w:color="auto" w:fill="FFFFFF"/>
        </w:rPr>
        <w:t>the authors</w:t>
      </w:r>
      <w:r w:rsidRPr="009A7163">
        <w:rPr>
          <w:shd w:val="clear" w:color="auto" w:fill="FFFFFF"/>
        </w:rPr>
        <w:t xml:space="preserve"> discussed the importance of counting </w:t>
      </w:r>
      <w:r w:rsidRPr="009A7163">
        <w:rPr>
          <w:shd w:val="clear" w:color="auto" w:fill="FFFFFF"/>
        </w:rPr>
        <w:lastRenderedPageBreak/>
        <w:t>and valuing women’s unpaid work, an issue that she argued ‘demands the urgent attention of statisticians, economists and policy makers, alongside feminist academics and activists. Without unpaid services and their depletion being measured and valued, predictions are likely to be faulty, models inaccurate and development policies flawed’ (Hoskyns and Rai, 2007, p. 297)</w:t>
      </w:r>
      <w:r w:rsidRPr="009A7163">
        <w:t xml:space="preserve">. </w:t>
      </w:r>
      <w:r w:rsidRPr="009A7163">
        <w:rPr>
          <w:shd w:val="clear" w:color="auto" w:fill="FFFFFF"/>
        </w:rPr>
        <w:t>In her initial visit to Nicaragua in the summer of 2006 to visit her nephew, who was working for the sesame cooperative and a</w:t>
      </w:r>
      <w:r w:rsidR="000741C7" w:rsidRPr="009A7163">
        <w:rPr>
          <w:shd w:val="clear" w:color="auto" w:fill="FFFFFF"/>
        </w:rPr>
        <w:t>lso was the founder of</w:t>
      </w:r>
      <w:r w:rsidRPr="009A7163">
        <w:rPr>
          <w:shd w:val="clear" w:color="auto" w:fill="FFFFFF"/>
        </w:rPr>
        <w:t xml:space="preserve"> </w:t>
      </w:r>
      <w:r w:rsidR="008654BF" w:rsidRPr="009A7163">
        <w:rPr>
          <w:shd w:val="clear" w:color="auto" w:fill="FFFFFF"/>
        </w:rPr>
        <w:t>Ético</w:t>
      </w:r>
      <w:r w:rsidR="000741C7" w:rsidRPr="009A7163">
        <w:rPr>
          <w:shd w:val="clear" w:color="auto" w:fill="FFFFFF"/>
        </w:rPr>
        <w:t>,</w:t>
      </w:r>
      <w:r w:rsidRPr="009A7163">
        <w:rPr>
          <w:shd w:val="clear" w:color="auto" w:fill="FFFFFF"/>
        </w:rPr>
        <w:t xml:space="preserve"> which supplies </w:t>
      </w:r>
      <w:r w:rsidR="000741C7" w:rsidRPr="009A7163">
        <w:rPr>
          <w:shd w:val="clear" w:color="auto" w:fill="FFFFFF"/>
        </w:rPr>
        <w:t>BSI</w:t>
      </w:r>
      <w:r w:rsidRPr="009A7163">
        <w:rPr>
          <w:shd w:val="clear" w:color="auto" w:fill="FFFFFF"/>
        </w:rPr>
        <w:t xml:space="preserve"> with their sesame oil, she witnessed </w:t>
      </w:r>
      <w:r w:rsidR="000741C7" w:rsidRPr="009A7163">
        <w:rPr>
          <w:shd w:val="clear" w:color="auto" w:fill="FFFFFF"/>
        </w:rPr>
        <w:t>the sesame harvest</w:t>
      </w:r>
      <w:r w:rsidR="008654BF" w:rsidRPr="009A7163">
        <w:rPr>
          <w:shd w:val="clear" w:color="auto" w:fill="FFFFFF"/>
        </w:rPr>
        <w:t xml:space="preserve"> first-hand</w:t>
      </w:r>
      <w:r w:rsidRPr="009A7163">
        <w:rPr>
          <w:shd w:val="clear" w:color="auto" w:fill="FFFFFF"/>
        </w:rPr>
        <w:t>. During that same visit, she undertook a scoping activity that consisted of a single Time Use Survey (TUS),</w:t>
      </w:r>
      <w:r w:rsidRPr="009A7163">
        <w:rPr>
          <w:rStyle w:val="FootnoteReference"/>
          <w:shd w:val="clear" w:color="auto" w:fill="FFFFFF"/>
        </w:rPr>
        <w:footnoteReference w:id="5"/>
      </w:r>
      <w:r w:rsidRPr="009A7163">
        <w:rPr>
          <w:shd w:val="clear" w:color="auto" w:fill="FFFFFF"/>
        </w:rPr>
        <w:t xml:space="preserve"> which was used to calculate the added cost of women’s unpaid work. She calculated that </w:t>
      </w:r>
      <w:r w:rsidR="00385441" w:rsidRPr="009A7163">
        <w:rPr>
          <w:shd w:val="clear" w:color="auto" w:fill="FFFFFF"/>
        </w:rPr>
        <w:t>‘</w:t>
      </w:r>
      <w:r w:rsidRPr="009A7163">
        <w:rPr>
          <w:shd w:val="clear" w:color="auto" w:fill="FFFFFF"/>
        </w:rPr>
        <w:t>women spend 6-8 hours a day on unpaid care work and that women’s indirect labour (e.g.</w:t>
      </w:r>
      <w:r w:rsidR="000741C7" w:rsidRPr="009A7163">
        <w:rPr>
          <w:shd w:val="clear" w:color="auto" w:fill="FFFFFF"/>
        </w:rPr>
        <w:t>,</w:t>
      </w:r>
      <w:r w:rsidRPr="009A7163">
        <w:rPr>
          <w:shd w:val="clear" w:color="auto" w:fill="FFFFFF"/>
        </w:rPr>
        <w:t xml:space="preserve"> cooking food for field labourers) and more general domestic work accounted for around 22% of the total labour input in sesame</w:t>
      </w:r>
      <w:r w:rsidR="00385441" w:rsidRPr="009A7163">
        <w:rPr>
          <w:shd w:val="clear" w:color="auto" w:fill="FFFFFF"/>
        </w:rPr>
        <w:t>’</w:t>
      </w:r>
      <w:r w:rsidR="00B03B97" w:rsidRPr="009A7163">
        <w:rPr>
          <w:shd w:val="clear" w:color="auto" w:fill="FFFFFF"/>
        </w:rPr>
        <w:t xml:space="preserve"> (Butler, 2013</w:t>
      </w:r>
      <w:r w:rsidR="00C02300" w:rsidRPr="009A7163">
        <w:rPr>
          <w:shd w:val="clear" w:color="auto" w:fill="FFFFFF"/>
        </w:rPr>
        <w:t>, p.</w:t>
      </w:r>
      <w:r w:rsidR="0018113B" w:rsidRPr="009A7163">
        <w:rPr>
          <w:shd w:val="clear" w:color="auto" w:fill="FFFFFF"/>
        </w:rPr>
        <w:t xml:space="preserve"> </w:t>
      </w:r>
      <w:r w:rsidR="00C02300" w:rsidRPr="009A7163">
        <w:rPr>
          <w:shd w:val="clear" w:color="auto" w:fill="FFFFFF"/>
        </w:rPr>
        <w:t>1</w:t>
      </w:r>
      <w:r w:rsidR="00B03B97" w:rsidRPr="009A7163">
        <w:rPr>
          <w:shd w:val="clear" w:color="auto" w:fill="FFFFFF"/>
        </w:rPr>
        <w:t>)</w:t>
      </w:r>
      <w:r w:rsidRPr="009A7163">
        <w:rPr>
          <w:shd w:val="clear" w:color="auto" w:fill="FFFFFF"/>
        </w:rPr>
        <w:t>. The new costing included an additional line to take women’s labour into account.</w:t>
      </w:r>
      <w:r w:rsidRPr="009A7163">
        <w:rPr>
          <w:rStyle w:val="FootnoteReference"/>
          <w:shd w:val="clear" w:color="auto" w:fill="FFFFFF"/>
        </w:rPr>
        <w:footnoteReference w:id="6"/>
      </w:r>
      <w:r w:rsidRPr="009A7163">
        <w:rPr>
          <w:shd w:val="clear" w:color="auto" w:fill="FFFFFF"/>
        </w:rPr>
        <w:t xml:space="preserve"> Based on Ho</w:t>
      </w:r>
      <w:r w:rsidR="00F83391" w:rsidRPr="009A7163">
        <w:rPr>
          <w:shd w:val="clear" w:color="auto" w:fill="FFFFFF"/>
        </w:rPr>
        <w:t>sk</w:t>
      </w:r>
      <w:r w:rsidRPr="009A7163">
        <w:rPr>
          <w:shd w:val="clear" w:color="auto" w:fill="FFFFFF"/>
        </w:rPr>
        <w:t>yns</w:t>
      </w:r>
      <w:r w:rsidR="00290860" w:rsidRPr="009A7163">
        <w:rPr>
          <w:shd w:val="clear" w:color="auto" w:fill="FFFFFF"/>
        </w:rPr>
        <w:t>’</w:t>
      </w:r>
      <w:r w:rsidRPr="009A7163">
        <w:rPr>
          <w:shd w:val="clear" w:color="auto" w:fill="FFFFFF"/>
        </w:rPr>
        <w:t xml:space="preserve"> scoping exercise, the cooperative leaders </w:t>
      </w:r>
      <w:r w:rsidR="008654BF" w:rsidRPr="009A7163">
        <w:rPr>
          <w:shd w:val="clear" w:color="auto" w:fill="FFFFFF"/>
        </w:rPr>
        <w:t>and</w:t>
      </w:r>
      <w:r w:rsidRPr="009A7163">
        <w:rPr>
          <w:shd w:val="clear" w:color="auto" w:fill="FFFFFF"/>
        </w:rPr>
        <w:t xml:space="preserve"> </w:t>
      </w:r>
      <w:r w:rsidR="008654BF" w:rsidRPr="009A7163">
        <w:rPr>
          <w:shd w:val="clear" w:color="auto" w:fill="FFFFFF"/>
        </w:rPr>
        <w:t>Ético</w:t>
      </w:r>
      <w:r w:rsidR="00CE66BC" w:rsidRPr="009A7163">
        <w:rPr>
          <w:shd w:val="clear" w:color="auto" w:fill="FFFFFF"/>
        </w:rPr>
        <w:t>,</w:t>
      </w:r>
      <w:r w:rsidRPr="009A7163">
        <w:rPr>
          <w:shd w:val="clear" w:color="auto" w:fill="FFFFFF"/>
        </w:rPr>
        <w:t xml:space="preserve"> </w:t>
      </w:r>
      <w:r w:rsidR="000741C7" w:rsidRPr="009A7163">
        <w:rPr>
          <w:shd w:val="clear" w:color="auto" w:fill="FFFFFF"/>
        </w:rPr>
        <w:t>along with its British nongovernment organis</w:t>
      </w:r>
      <w:r w:rsidR="008654BF" w:rsidRPr="009A7163">
        <w:rPr>
          <w:shd w:val="clear" w:color="auto" w:fill="FFFFFF"/>
        </w:rPr>
        <w:t>a</w:t>
      </w:r>
      <w:r w:rsidR="000741C7" w:rsidRPr="009A7163">
        <w:rPr>
          <w:shd w:val="clear" w:color="auto" w:fill="FFFFFF"/>
        </w:rPr>
        <w:t>tion,</w:t>
      </w:r>
      <w:r w:rsidRPr="009A7163">
        <w:rPr>
          <w:shd w:val="clear" w:color="auto" w:fill="FFFFFF"/>
        </w:rPr>
        <w:t xml:space="preserve"> Social Business Network (SBN)</w:t>
      </w:r>
      <w:r w:rsidR="000741C7" w:rsidRPr="009A7163">
        <w:rPr>
          <w:shd w:val="clear" w:color="auto" w:fill="FFFFFF"/>
        </w:rPr>
        <w:t>,</w:t>
      </w:r>
      <w:r w:rsidRPr="009A7163">
        <w:rPr>
          <w:rStyle w:val="FootnoteReference"/>
          <w:shd w:val="clear" w:color="auto" w:fill="FFFFFF"/>
        </w:rPr>
        <w:footnoteReference w:id="7"/>
      </w:r>
      <w:r w:rsidRPr="009A7163">
        <w:rPr>
          <w:shd w:val="clear" w:color="auto" w:fill="FFFFFF"/>
        </w:rPr>
        <w:t xml:space="preserve"> approached </w:t>
      </w:r>
      <w:r w:rsidR="000741C7" w:rsidRPr="009A7163">
        <w:rPr>
          <w:shd w:val="clear" w:color="auto" w:fill="FFFFFF"/>
        </w:rPr>
        <w:t>BSI</w:t>
      </w:r>
      <w:r w:rsidRPr="009A7163">
        <w:rPr>
          <w:shd w:val="clear" w:color="auto" w:fill="FFFFFF"/>
        </w:rPr>
        <w:t xml:space="preserve"> and in 2008 the </w:t>
      </w:r>
      <w:r w:rsidR="000741C7" w:rsidRPr="009A7163">
        <w:rPr>
          <w:shd w:val="clear" w:color="auto" w:fill="FFFFFF"/>
        </w:rPr>
        <w:t xml:space="preserve">women’s unpaid labour </w:t>
      </w:r>
      <w:r w:rsidRPr="009A7163">
        <w:rPr>
          <w:shd w:val="clear" w:color="auto" w:fill="FFFFFF"/>
        </w:rPr>
        <w:t>line was included</w:t>
      </w:r>
      <w:r w:rsidR="000741C7" w:rsidRPr="009A7163">
        <w:rPr>
          <w:shd w:val="clear" w:color="auto" w:fill="FFFFFF"/>
        </w:rPr>
        <w:t xml:space="preserve"> in the price of sesame oil</w:t>
      </w:r>
      <w:r w:rsidRPr="009A7163">
        <w:rPr>
          <w:shd w:val="clear" w:color="auto" w:fill="FFFFFF"/>
        </w:rPr>
        <w:t xml:space="preserve">. Hoskyns was appointed at this time to become the gender advisor for </w:t>
      </w:r>
      <w:r w:rsidR="008654BF" w:rsidRPr="009A7163">
        <w:rPr>
          <w:shd w:val="clear" w:color="auto" w:fill="FFFFFF"/>
        </w:rPr>
        <w:t>Ético</w:t>
      </w:r>
      <w:r w:rsidRPr="009A7163">
        <w:rPr>
          <w:shd w:val="clear" w:color="auto" w:fill="FFFFFF"/>
        </w:rPr>
        <w:t xml:space="preserve"> and the SBN. </w:t>
      </w:r>
    </w:p>
    <w:p w14:paraId="3F75C0AE" w14:textId="5E10326E" w:rsidR="00AA5A40" w:rsidRPr="009A7163" w:rsidRDefault="00AA5A40" w:rsidP="00AA5A40">
      <w:pPr>
        <w:spacing w:line="360" w:lineRule="auto"/>
        <w:ind w:firstLine="720"/>
        <w:jc w:val="both"/>
        <w:rPr>
          <w:shd w:val="clear" w:color="auto" w:fill="FFFFFF"/>
        </w:rPr>
      </w:pPr>
      <w:r w:rsidRPr="009A7163">
        <w:rPr>
          <w:shd w:val="clear" w:color="auto" w:fill="FFFFFF"/>
        </w:rPr>
        <w:t xml:space="preserve">The money generated by the premium is used by the cooperative for a small credit and savings fund whereby the women can access </w:t>
      </w:r>
      <w:r w:rsidR="008654BF" w:rsidRPr="009A7163">
        <w:rPr>
          <w:shd w:val="clear" w:color="auto" w:fill="FFFFFF"/>
        </w:rPr>
        <w:t xml:space="preserve">funds </w:t>
      </w:r>
      <w:r w:rsidRPr="009A7163">
        <w:rPr>
          <w:shd w:val="clear" w:color="auto" w:fill="FFFFFF"/>
        </w:rPr>
        <w:t>to start their own business. The cooperative decided that the funds generated from this recognition of women’s</w:t>
      </w:r>
      <w:r w:rsidR="00B960AD" w:rsidRPr="009A7163">
        <w:rPr>
          <w:shd w:val="clear" w:color="auto" w:fill="FFFFFF"/>
        </w:rPr>
        <w:t xml:space="preserve"> unpaid work would</w:t>
      </w:r>
      <w:r w:rsidRPr="009A7163">
        <w:rPr>
          <w:shd w:val="clear" w:color="auto" w:fill="FFFFFF"/>
        </w:rPr>
        <w:t xml:space="preserve"> go into a collective pot of money. They had two reasons for this</w:t>
      </w:r>
      <w:r w:rsidR="009C15B0" w:rsidRPr="009A7163">
        <w:rPr>
          <w:shd w:val="clear" w:color="auto" w:fill="FFFFFF"/>
        </w:rPr>
        <w:t xml:space="preserve">. The first reason was that </w:t>
      </w:r>
      <w:r w:rsidRPr="009A7163">
        <w:rPr>
          <w:shd w:val="clear" w:color="auto" w:fill="FFFFFF"/>
        </w:rPr>
        <w:t xml:space="preserve">they wanted to prioritise collective empowerment and </w:t>
      </w:r>
      <w:r w:rsidR="00CE66BC" w:rsidRPr="009A7163">
        <w:rPr>
          <w:shd w:val="clear" w:color="auto" w:fill="FFFFFF"/>
        </w:rPr>
        <w:t>thus</w:t>
      </w:r>
      <w:r w:rsidRPr="009A7163">
        <w:rPr>
          <w:shd w:val="clear" w:color="auto" w:fill="FFFFFF"/>
        </w:rPr>
        <w:t xml:space="preserve"> included a collective element into how the fund would work (each woman had to not only save individually and potentially start their own business</w:t>
      </w:r>
      <w:r w:rsidR="00B960AD" w:rsidRPr="009A7163">
        <w:rPr>
          <w:shd w:val="clear" w:color="auto" w:fill="FFFFFF"/>
        </w:rPr>
        <w:t>,</w:t>
      </w:r>
      <w:r w:rsidRPr="009A7163">
        <w:rPr>
          <w:shd w:val="clear" w:color="auto" w:fill="FFFFFF"/>
        </w:rPr>
        <w:t xml:space="preserve"> but also they would have to participate in group savings and a group business).</w:t>
      </w:r>
      <w:r w:rsidR="00B960AD" w:rsidRPr="009A7163">
        <w:rPr>
          <w:shd w:val="clear" w:color="auto" w:fill="FFFFFF"/>
        </w:rPr>
        <w:t xml:space="preserve"> They raised concerns</w:t>
      </w:r>
      <w:r w:rsidRPr="009A7163">
        <w:rPr>
          <w:shd w:val="clear" w:color="auto" w:fill="FFFFFF"/>
        </w:rPr>
        <w:t xml:space="preserve"> about money falling into the hands of the men</w:t>
      </w:r>
      <w:r w:rsidR="00B960AD" w:rsidRPr="009A7163">
        <w:rPr>
          <w:shd w:val="clear" w:color="auto" w:fill="FFFFFF"/>
        </w:rPr>
        <w:t>,</w:t>
      </w:r>
      <w:r w:rsidRPr="009A7163">
        <w:rPr>
          <w:shd w:val="clear" w:color="auto" w:fill="FFFFFF"/>
        </w:rPr>
        <w:t xml:space="preserve"> which many scholarly articles have reported</w:t>
      </w:r>
      <w:r w:rsidR="00B960AD" w:rsidRPr="009A7163">
        <w:rPr>
          <w:shd w:val="clear" w:color="auto" w:fill="FFFFFF"/>
        </w:rPr>
        <w:t xml:space="preserve"> as happening</w:t>
      </w:r>
      <w:r w:rsidRPr="009A7163">
        <w:rPr>
          <w:shd w:val="clear" w:color="auto" w:fill="FFFFFF"/>
        </w:rPr>
        <w:t xml:space="preserve"> (</w:t>
      </w:r>
      <w:r w:rsidR="00F83391" w:rsidRPr="009A7163">
        <w:rPr>
          <w:shd w:val="clear" w:color="auto" w:fill="FFFFFF"/>
        </w:rPr>
        <w:t>e.g.,</w:t>
      </w:r>
      <w:r w:rsidR="00F12CBD" w:rsidRPr="009A7163">
        <w:rPr>
          <w:shd w:val="clear" w:color="auto" w:fill="FFFFFF"/>
        </w:rPr>
        <w:t xml:space="preserve"> Goetz and Gupta, 1996)</w:t>
      </w:r>
      <w:r w:rsidRPr="009A7163">
        <w:rPr>
          <w:shd w:val="clear" w:color="auto" w:fill="FFFFFF"/>
        </w:rPr>
        <w:t xml:space="preserve">. </w:t>
      </w:r>
      <w:r w:rsidR="009C15B0" w:rsidRPr="009A7163">
        <w:rPr>
          <w:shd w:val="clear" w:color="auto" w:fill="FFFFFF"/>
        </w:rPr>
        <w:t>The second reasons was that</w:t>
      </w:r>
      <w:r w:rsidRPr="009A7163">
        <w:rPr>
          <w:shd w:val="clear" w:color="auto" w:fill="FFFFFF"/>
        </w:rPr>
        <w:t xml:space="preserve"> they wanted the fund to be available to any w</w:t>
      </w:r>
      <w:r w:rsidR="00B960AD" w:rsidRPr="009A7163">
        <w:rPr>
          <w:shd w:val="clear" w:color="auto" w:fill="FFFFFF"/>
        </w:rPr>
        <w:t>oman in any community where the cooperative has a presence, independent</w:t>
      </w:r>
      <w:r w:rsidRPr="009A7163">
        <w:rPr>
          <w:shd w:val="clear" w:color="auto" w:fill="FFFFFF"/>
        </w:rPr>
        <w:t xml:space="preserve"> of membership. </w:t>
      </w:r>
      <w:r w:rsidR="00B960AD" w:rsidRPr="009A7163">
        <w:rPr>
          <w:shd w:val="clear" w:color="auto" w:fill="FFFFFF"/>
        </w:rPr>
        <w:t>BSI</w:t>
      </w:r>
      <w:r w:rsidRPr="009A7163">
        <w:rPr>
          <w:shd w:val="clear" w:color="auto" w:fill="FFFFFF"/>
        </w:rPr>
        <w:t xml:space="preserve"> agreed to this and in particular felt that it </w:t>
      </w:r>
      <w:r w:rsidR="00B960AD" w:rsidRPr="009A7163">
        <w:rPr>
          <w:shd w:val="clear" w:color="auto" w:fill="FFFFFF"/>
        </w:rPr>
        <w:lastRenderedPageBreak/>
        <w:t>resonated</w:t>
      </w:r>
      <w:r w:rsidRPr="009A7163">
        <w:rPr>
          <w:shd w:val="clear" w:color="auto" w:fill="FFFFFF"/>
        </w:rPr>
        <w:t xml:space="preserve"> with their community trade charter and so this monetary recognition was added to the pricing structure</w:t>
      </w:r>
      <w:r w:rsidR="00B960AD" w:rsidRPr="009A7163">
        <w:rPr>
          <w:shd w:val="clear" w:color="auto" w:fill="FFFFFF"/>
        </w:rPr>
        <w:t>;</w:t>
      </w:r>
      <w:r w:rsidRPr="009A7163">
        <w:rPr>
          <w:shd w:val="clear" w:color="auto" w:fill="FFFFFF"/>
        </w:rPr>
        <w:t xml:space="preserve"> </w:t>
      </w:r>
      <w:r w:rsidR="00B960AD" w:rsidRPr="009A7163">
        <w:rPr>
          <w:shd w:val="clear" w:color="auto" w:fill="FFFFFF"/>
        </w:rPr>
        <w:t>however,</w:t>
      </w:r>
      <w:r w:rsidRPr="009A7163">
        <w:rPr>
          <w:shd w:val="clear" w:color="auto" w:fill="FFFFFF"/>
        </w:rPr>
        <w:t xml:space="preserve"> BSI </w:t>
      </w:r>
      <w:r w:rsidR="007B1183" w:rsidRPr="009A7163">
        <w:rPr>
          <w:shd w:val="clear" w:color="auto" w:fill="FFFFFF"/>
        </w:rPr>
        <w:t xml:space="preserve">hoped it would lead to WEE but </w:t>
      </w:r>
      <w:r w:rsidR="00B960AD" w:rsidRPr="009A7163">
        <w:rPr>
          <w:shd w:val="clear" w:color="auto" w:fill="FFFFFF"/>
        </w:rPr>
        <w:t>did not know</w:t>
      </w:r>
      <w:r w:rsidR="001E3E16" w:rsidRPr="009A7163">
        <w:rPr>
          <w:shd w:val="clear" w:color="auto" w:fill="FFFFFF"/>
        </w:rPr>
        <w:t xml:space="preserve"> at the beginning</w:t>
      </w:r>
      <w:r w:rsidR="00B960AD" w:rsidRPr="009A7163">
        <w:rPr>
          <w:shd w:val="clear" w:color="auto" w:fill="FFFFFF"/>
        </w:rPr>
        <w:t xml:space="preserve"> if the initiative</w:t>
      </w:r>
      <w:r w:rsidR="001E3E16" w:rsidRPr="009A7163">
        <w:rPr>
          <w:shd w:val="clear" w:color="auto" w:fill="FFFFFF"/>
        </w:rPr>
        <w:t xml:space="preserve"> </w:t>
      </w:r>
      <w:r w:rsidR="007B1183" w:rsidRPr="009A7163">
        <w:rPr>
          <w:shd w:val="clear" w:color="auto" w:fill="FFFFFF"/>
        </w:rPr>
        <w:t>would work or not</w:t>
      </w:r>
      <w:r w:rsidRPr="009A7163">
        <w:rPr>
          <w:shd w:val="clear" w:color="auto" w:fill="FFFFFF"/>
        </w:rPr>
        <w:t xml:space="preserve">. </w:t>
      </w:r>
    </w:p>
    <w:p w14:paraId="236D9EF7" w14:textId="45043942" w:rsidR="00AA5A40" w:rsidRPr="009A7163" w:rsidRDefault="00B960AD" w:rsidP="00AA5A40">
      <w:pPr>
        <w:spacing w:line="360" w:lineRule="auto"/>
        <w:ind w:firstLine="720"/>
        <w:jc w:val="both"/>
        <w:rPr>
          <w:shd w:val="clear" w:color="auto" w:fill="FFFFFF"/>
        </w:rPr>
      </w:pPr>
      <w:r w:rsidRPr="009A7163">
        <w:rPr>
          <w:shd w:val="clear" w:color="auto" w:fill="FFFFFF"/>
        </w:rPr>
        <w:t>The pricing model developed by BSI, CJFPS, and Ético</w:t>
      </w:r>
      <w:r w:rsidR="00AA5A40" w:rsidRPr="009A7163">
        <w:rPr>
          <w:shd w:val="clear" w:color="auto" w:fill="FFFFFF"/>
        </w:rPr>
        <w:t xml:space="preserve"> has been used by other cooperatives in Nicaragua (</w:t>
      </w:r>
      <w:r w:rsidRPr="009A7163">
        <w:rPr>
          <w:shd w:val="clear" w:color="auto" w:fill="FFFFFF"/>
        </w:rPr>
        <w:t>PRODECOOP</w:t>
      </w:r>
      <w:r w:rsidR="00E612E9" w:rsidRPr="009A7163">
        <w:rPr>
          <w:shd w:val="clear" w:color="auto" w:fill="FFFFFF"/>
        </w:rPr>
        <w:t xml:space="preserve">, SOPPEXCCA </w:t>
      </w:r>
      <w:r w:rsidR="00CE66BC" w:rsidRPr="009A7163">
        <w:rPr>
          <w:shd w:val="clear" w:color="auto" w:fill="FFFFFF"/>
        </w:rPr>
        <w:t xml:space="preserve">and </w:t>
      </w:r>
      <w:r w:rsidR="00E612E9" w:rsidRPr="009A7163">
        <w:rPr>
          <w:shd w:val="clear" w:color="auto" w:fill="FFFFFF"/>
        </w:rPr>
        <w:t>UCA San Ramon</w:t>
      </w:r>
      <w:r w:rsidR="00AA5A40" w:rsidRPr="009A7163">
        <w:rPr>
          <w:shd w:val="clear" w:color="auto" w:fill="FFFFFF"/>
        </w:rPr>
        <w:t>) and has also extended to Mexico (Veracruz</w:t>
      </w:r>
      <w:r w:rsidRPr="009A7163">
        <w:rPr>
          <w:shd w:val="clear" w:color="auto" w:fill="FFFFFF"/>
        </w:rPr>
        <w:t>) in the coffee supply chain. As such,</w:t>
      </w:r>
      <w:r w:rsidR="00AA5A40" w:rsidRPr="009A7163">
        <w:rPr>
          <w:shd w:val="clear" w:color="auto" w:fill="FFFFFF"/>
        </w:rPr>
        <w:t xml:space="preserve"> a number of FT buyers are now paying a premium – as part of this innovative pricing guarantee – to acknowledge the unpaid work of women in these respective supply chains (coffee and sesame). The argument is that the </w:t>
      </w:r>
      <w:r w:rsidR="0027564D" w:rsidRPr="009A7163">
        <w:rPr>
          <w:shd w:val="clear" w:color="auto" w:fill="FFFFFF"/>
        </w:rPr>
        <w:t>‘</w:t>
      </w:r>
      <w:r w:rsidR="00AA5A40" w:rsidRPr="009A7163">
        <w:rPr>
          <w:shd w:val="clear" w:color="auto" w:fill="FFFFFF"/>
        </w:rPr>
        <w:t>unpaid work, which is done mainly by women in the household and community, represents an important input into production and one that should be valued and remunerated</w:t>
      </w:r>
      <w:r w:rsidR="0027564D" w:rsidRPr="009A7163">
        <w:rPr>
          <w:shd w:val="clear" w:color="auto" w:fill="FFFFFF"/>
        </w:rPr>
        <w:t>’</w:t>
      </w:r>
      <w:r w:rsidR="00D77D40" w:rsidRPr="009A7163">
        <w:rPr>
          <w:shd w:val="clear" w:color="auto" w:fill="FFFFFF"/>
        </w:rPr>
        <w:t xml:space="preserve"> (Butler, 2014)</w:t>
      </w:r>
      <w:r w:rsidR="00AA5A40" w:rsidRPr="009A7163">
        <w:rPr>
          <w:shd w:val="clear" w:color="auto" w:fill="FFFFFF"/>
        </w:rPr>
        <w:t>. However, there is still little understanding and/or agreement (between, for example, buyers, cooperatives and participants) about who and what should be included in the definition of unpaid work, how the costing should be structured in FT contracts and what is best practice for maxim</w:t>
      </w:r>
      <w:r w:rsidR="0028076A" w:rsidRPr="009A7163">
        <w:rPr>
          <w:shd w:val="clear" w:color="auto" w:fill="FFFFFF"/>
        </w:rPr>
        <w:t>isi</w:t>
      </w:r>
      <w:r w:rsidR="00AA5A40" w:rsidRPr="009A7163">
        <w:rPr>
          <w:shd w:val="clear" w:color="auto" w:fill="FFFFFF"/>
        </w:rPr>
        <w:t xml:space="preserve">ng the impacts of the premiums. The premium so far has been designated for WEE projects. </w:t>
      </w:r>
    </w:p>
    <w:p w14:paraId="3F7835B5" w14:textId="4E158134" w:rsidR="00AA5A40" w:rsidRPr="009A7163" w:rsidRDefault="00AA5A40" w:rsidP="007A3A29">
      <w:pPr>
        <w:widowControl w:val="0"/>
        <w:autoSpaceDE w:val="0"/>
        <w:autoSpaceDN w:val="0"/>
        <w:adjustRightInd w:val="0"/>
        <w:spacing w:after="240" w:line="360" w:lineRule="auto"/>
        <w:ind w:firstLine="720"/>
        <w:jc w:val="both"/>
      </w:pPr>
      <w:r w:rsidRPr="009A7163">
        <w:rPr>
          <w:shd w:val="clear" w:color="auto" w:fill="FFFFFF"/>
        </w:rPr>
        <w:t>Hoskyns’ initial</w:t>
      </w:r>
      <w:r w:rsidRPr="009A7163">
        <w:t xml:space="preserve"> research interests and proposal prompted the pricing model to actually happen even before she secured funding</w:t>
      </w:r>
      <w:r w:rsidR="00FE68CA" w:rsidRPr="009A7163">
        <w:t xml:space="preserve"> to research the potential impact of the pricing model</w:t>
      </w:r>
      <w:r w:rsidRPr="009A7163">
        <w:t>.</w:t>
      </w:r>
      <w:r w:rsidR="00F83391" w:rsidRPr="009A7163">
        <w:rPr>
          <w:rStyle w:val="FootnoteReference"/>
        </w:rPr>
        <w:footnoteReference w:id="8"/>
      </w:r>
      <w:r w:rsidRPr="009A7163">
        <w:t xml:space="preserve"> So, whilst Hoskyns was not successful in ever securing funding, BSI was committed to understanding more about the impact that this innovative pricing model could have. When an opportunity later arose in 2010 to collaborate on an Economic and Social Research Council (ESRC) funding proposal with Royal Holloway</w:t>
      </w:r>
      <w:r w:rsidR="00E743D7" w:rsidRPr="009A7163">
        <w:t xml:space="preserve">, </w:t>
      </w:r>
      <w:r w:rsidRPr="009A7163">
        <w:t>University of London (RHUL),</w:t>
      </w:r>
      <w:r w:rsidRPr="009A7163">
        <w:rPr>
          <w:rStyle w:val="FootnoteReference"/>
        </w:rPr>
        <w:footnoteReference w:id="9"/>
      </w:r>
      <w:r w:rsidRPr="009A7163">
        <w:t xml:space="preserve"> BSI was very open to engaging with this research. Due to my expertise in FT, gender and participatory research methodologies, as well as my previous experience working for and directly with both cooperatives in Nicaragua and </w:t>
      </w:r>
      <w:r w:rsidR="00FE68CA" w:rsidRPr="009A7163">
        <w:t>being that I am</w:t>
      </w:r>
      <w:r w:rsidRPr="009A7163">
        <w:t xml:space="preserve"> bilingual (Spanish</w:t>
      </w:r>
      <w:r w:rsidR="00FE68CA" w:rsidRPr="009A7163">
        <w:t>–</w:t>
      </w:r>
      <w:r w:rsidRPr="009A7163">
        <w:t>English), I was chosen to undertake the research. Funding for the collaborative ESRC</w:t>
      </w:r>
      <w:r w:rsidR="00FE68CA" w:rsidRPr="009A7163">
        <w:t xml:space="preserve"> </w:t>
      </w:r>
      <w:r w:rsidRPr="009A7163">
        <w:t xml:space="preserve">studentship was </w:t>
      </w:r>
      <w:r w:rsidR="00FE68CA" w:rsidRPr="009A7163">
        <w:t>awarded</w:t>
      </w:r>
      <w:r w:rsidRPr="009A7163">
        <w:t xml:space="preserve"> in 2011 and part of the funding was secured from BSI. The proposition of the ESRC studentship was that through my research I would work closely with BSI in order to ensure the </w:t>
      </w:r>
      <w:r w:rsidRPr="009A7163">
        <w:lastRenderedPageBreak/>
        <w:t xml:space="preserve">impact of my work. The ESRC places great emphasis on the importance of knowledge exchange in making an impact on policy and practice. I later applied and successful received funding from the </w:t>
      </w:r>
      <w:r w:rsidR="00E743D7" w:rsidRPr="009A7163">
        <w:t xml:space="preserve">Developing Areas Research Group (DARG) of the </w:t>
      </w:r>
      <w:r w:rsidRPr="009A7163">
        <w:t>Royal Geographical Society in 2014 in order to include the coffee cooperative from the original proposal. The ESRC funding was awarded in 2011</w:t>
      </w:r>
      <w:r w:rsidR="00F83391" w:rsidRPr="009A7163">
        <w:t>,</w:t>
      </w:r>
      <w:r w:rsidRPr="009A7163">
        <w:t xml:space="preserve"> and I </w:t>
      </w:r>
      <w:r w:rsidR="00FE68CA" w:rsidRPr="009A7163">
        <w:t>began</w:t>
      </w:r>
      <w:r w:rsidRPr="009A7163">
        <w:t xml:space="preserve"> research in this area of pricing and women’s unpaid work in 2012 for my master’s dissertation. In my master’s fieldwork, I used </w:t>
      </w:r>
      <w:r w:rsidR="00626F7A" w:rsidRPr="009A7163">
        <w:t xml:space="preserve">the Gender Action Learning System </w:t>
      </w:r>
      <w:r w:rsidRPr="009A7163">
        <w:t>(GALS) and other participatory methods and mapping in the Achuapa case study. Many of the same women participated in my PhD fieldwork.</w:t>
      </w:r>
      <w:r w:rsidR="00FC48F7" w:rsidRPr="009A7163">
        <w:t xml:space="preserve"> </w:t>
      </w:r>
      <w:r w:rsidR="004D21D5" w:rsidRPr="009A7163">
        <w:t>The next section</w:t>
      </w:r>
      <w:r w:rsidR="003F7E15" w:rsidRPr="009A7163">
        <w:t xml:space="preserve"> describes </w:t>
      </w:r>
      <w:r w:rsidR="004D21D5" w:rsidRPr="009A7163">
        <w:t>the starting point for my</w:t>
      </w:r>
      <w:r w:rsidR="00B746D7" w:rsidRPr="009A7163">
        <w:t xml:space="preserve"> doctoral</w:t>
      </w:r>
      <w:r w:rsidR="004D21D5" w:rsidRPr="009A7163">
        <w:t xml:space="preserve"> research</w:t>
      </w:r>
      <w:r w:rsidR="0015631E" w:rsidRPr="009A7163">
        <w:t xml:space="preserve"> and outlines the issues I intended to address</w:t>
      </w:r>
      <w:r w:rsidR="00467CE2" w:rsidRPr="009A7163">
        <w:t>.</w:t>
      </w:r>
      <w:r w:rsidR="004D21D5" w:rsidRPr="009A7163">
        <w:t xml:space="preserve"> </w:t>
      </w:r>
    </w:p>
    <w:p w14:paraId="2DA59AE8" w14:textId="2A0A74C5" w:rsidR="004C1C93" w:rsidRPr="009A7163" w:rsidRDefault="0006724B" w:rsidP="007A3A29">
      <w:pPr>
        <w:pStyle w:val="Heading2"/>
      </w:pPr>
      <w:bookmarkStart w:id="9" w:name="_Toc526819245"/>
      <w:r w:rsidRPr="009A7163">
        <w:t xml:space="preserve">1.3  </w:t>
      </w:r>
      <w:r w:rsidR="004C1C93" w:rsidRPr="009A7163">
        <w:t xml:space="preserve">Problem </w:t>
      </w:r>
      <w:r w:rsidRPr="009A7163">
        <w:t>S</w:t>
      </w:r>
      <w:r w:rsidR="004C1C93" w:rsidRPr="009A7163">
        <w:t>tatement</w:t>
      </w:r>
      <w:bookmarkEnd w:id="9"/>
    </w:p>
    <w:p w14:paraId="16C24465" w14:textId="047807BA" w:rsidR="008C3BF3" w:rsidRPr="009A7163" w:rsidRDefault="00572F27" w:rsidP="007A3A29">
      <w:pPr>
        <w:widowControl w:val="0"/>
        <w:autoSpaceDE w:val="0"/>
        <w:autoSpaceDN w:val="0"/>
        <w:adjustRightInd w:val="0"/>
        <w:spacing w:line="360" w:lineRule="auto"/>
        <w:ind w:firstLine="720"/>
        <w:jc w:val="both"/>
      </w:pPr>
      <w:r w:rsidRPr="009A7163">
        <w:t>Research</w:t>
      </w:r>
      <w:r w:rsidR="00C22B85" w:rsidRPr="009A7163">
        <w:t xml:space="preserve"> indicates that women </w:t>
      </w:r>
      <w:r w:rsidR="00794FAF" w:rsidRPr="009A7163">
        <w:t>across the world</w:t>
      </w:r>
      <w:r w:rsidR="000C6AF7" w:rsidRPr="009A7163">
        <w:t xml:space="preserve"> do more unpaid work than men and </w:t>
      </w:r>
      <w:r w:rsidR="00FF07B4" w:rsidRPr="009A7163">
        <w:rPr>
          <w:rFonts w:ascii="Times" w:hAnsi="Times"/>
        </w:rPr>
        <w:t>in no country do men and women</w:t>
      </w:r>
      <w:r w:rsidR="001E3E16" w:rsidRPr="009A7163">
        <w:rPr>
          <w:rFonts w:ascii="Times" w:hAnsi="Times"/>
        </w:rPr>
        <w:t xml:space="preserve"> do equal </w:t>
      </w:r>
      <w:r w:rsidR="000C6AF7" w:rsidRPr="009A7163">
        <w:rPr>
          <w:rFonts w:ascii="Times" w:hAnsi="Times"/>
        </w:rPr>
        <w:t>amounts</w:t>
      </w:r>
      <w:r w:rsidR="00794FAF" w:rsidRPr="009A7163">
        <w:rPr>
          <w:rFonts w:ascii="Times" w:hAnsi="Times"/>
        </w:rPr>
        <w:t>.</w:t>
      </w:r>
      <w:r w:rsidR="0006724B" w:rsidRPr="009A7163">
        <w:rPr>
          <w:rFonts w:ascii="Times" w:hAnsi="Times"/>
        </w:rPr>
        <w:t xml:space="preserve"> </w:t>
      </w:r>
      <w:r w:rsidR="00794FAF" w:rsidRPr="009A7163">
        <w:rPr>
          <w:rFonts w:ascii="Times" w:hAnsi="Times"/>
        </w:rPr>
        <w:t>Unpaid care work is principall</w:t>
      </w:r>
      <w:r w:rsidR="00175209" w:rsidRPr="009A7163">
        <w:rPr>
          <w:rFonts w:ascii="Times" w:hAnsi="Times"/>
        </w:rPr>
        <w:t xml:space="preserve">y </w:t>
      </w:r>
      <w:r w:rsidR="00794FAF" w:rsidRPr="009A7163">
        <w:t>determine</w:t>
      </w:r>
      <w:r w:rsidR="00175209" w:rsidRPr="009A7163">
        <w:t>d</w:t>
      </w:r>
      <w:r w:rsidR="00794FAF" w:rsidRPr="009A7163">
        <w:t xml:space="preserve"> </w:t>
      </w:r>
      <w:r w:rsidR="00EF0E41" w:rsidRPr="009A7163">
        <w:t xml:space="preserve">by </w:t>
      </w:r>
      <w:r w:rsidR="00E52263" w:rsidRPr="009A7163">
        <w:t>gender</w:t>
      </w:r>
      <w:r w:rsidRPr="009A7163">
        <w:t xml:space="preserve">. This gendered division </w:t>
      </w:r>
      <w:r w:rsidR="00C91147" w:rsidRPr="009A7163">
        <w:t xml:space="preserve">of labour </w:t>
      </w:r>
      <w:r w:rsidRPr="009A7163">
        <w:t>has largely remained unchallenged in all spheres of economics</w:t>
      </w:r>
      <w:r w:rsidR="0006724B" w:rsidRPr="009A7163">
        <w:t>,</w:t>
      </w:r>
      <w:r w:rsidR="00C91147" w:rsidRPr="009A7163">
        <w:t xml:space="preserve"> although </w:t>
      </w:r>
      <w:r w:rsidR="0006724B" w:rsidRPr="009A7163">
        <w:t xml:space="preserve">there have been attempts to </w:t>
      </w:r>
      <w:r w:rsidR="00C91147" w:rsidRPr="009A7163">
        <w:t xml:space="preserve">include </w:t>
      </w:r>
      <w:r w:rsidR="00A65ED3" w:rsidRPr="009A7163">
        <w:t xml:space="preserve">it </w:t>
      </w:r>
      <w:r w:rsidR="00C91147" w:rsidRPr="009A7163">
        <w:t>in national accounting systems</w:t>
      </w:r>
      <w:r w:rsidR="00E52263" w:rsidRPr="009A7163">
        <w:t xml:space="preserve"> (</w:t>
      </w:r>
      <w:r w:rsidR="00872499" w:rsidRPr="009A7163">
        <w:t>see</w:t>
      </w:r>
      <w:r w:rsidR="00B53A35" w:rsidRPr="009A7163">
        <w:t xml:space="preserve"> </w:t>
      </w:r>
      <w:r w:rsidR="000F3650" w:rsidRPr="009A7163">
        <w:t>Chapter Two, Section 2.2</w:t>
      </w:r>
      <w:r w:rsidR="00E52263" w:rsidRPr="009A7163">
        <w:t>)</w:t>
      </w:r>
      <w:r w:rsidR="000F3650" w:rsidRPr="009A7163">
        <w:t>.</w:t>
      </w:r>
      <w:r w:rsidR="008C3BF3" w:rsidRPr="009A7163">
        <w:t xml:space="preserve"> </w:t>
      </w:r>
      <w:r w:rsidR="0012411E" w:rsidRPr="009A7163">
        <w:t>In recent</w:t>
      </w:r>
      <w:r w:rsidR="00101E06" w:rsidRPr="009A7163">
        <w:t xml:space="preserve"> years there has been growing</w:t>
      </w:r>
      <w:r w:rsidR="00E82BFF" w:rsidRPr="009A7163">
        <w:t xml:space="preserve"> </w:t>
      </w:r>
      <w:r w:rsidR="002C7C96" w:rsidRPr="009A7163">
        <w:t xml:space="preserve">academic and policy interest in accounting for </w:t>
      </w:r>
      <w:r w:rsidR="0012411E" w:rsidRPr="009A7163">
        <w:t>women’</w:t>
      </w:r>
      <w:r w:rsidR="002C7C96" w:rsidRPr="009A7163">
        <w:t xml:space="preserve">s unpaid work </w:t>
      </w:r>
      <w:r w:rsidR="005A27F4" w:rsidRPr="009A7163">
        <w:t>and</w:t>
      </w:r>
      <w:r w:rsidR="001C2E3C" w:rsidRPr="009A7163">
        <w:t xml:space="preserve"> </w:t>
      </w:r>
      <w:r w:rsidR="000F3650" w:rsidRPr="009A7163">
        <w:t>women’s economic empowerment (</w:t>
      </w:r>
      <w:r w:rsidR="0006724B" w:rsidRPr="009A7163">
        <w:t>WEE</w:t>
      </w:r>
      <w:r w:rsidR="000F3650" w:rsidRPr="009A7163">
        <w:t>)</w:t>
      </w:r>
      <w:r w:rsidR="00090FC2" w:rsidRPr="009A7163">
        <w:t xml:space="preserve"> </w:t>
      </w:r>
      <w:r w:rsidR="0014059F" w:rsidRPr="009A7163">
        <w:t xml:space="preserve">as a means </w:t>
      </w:r>
      <w:r w:rsidR="0006724B" w:rsidRPr="009A7163">
        <w:t>of addressing</w:t>
      </w:r>
      <w:r w:rsidR="0014059F" w:rsidRPr="009A7163">
        <w:t xml:space="preserve"> gender inequalities and the gendered division of labour.</w:t>
      </w:r>
      <w:r w:rsidR="001C2E3C" w:rsidRPr="009A7163">
        <w:t xml:space="preserve"> </w:t>
      </w:r>
      <w:r w:rsidR="0012411E" w:rsidRPr="009A7163">
        <w:t xml:space="preserve">As a result, there has been both an </w:t>
      </w:r>
      <w:r w:rsidR="00101E06" w:rsidRPr="009A7163">
        <w:t>increase</w:t>
      </w:r>
      <w:r w:rsidR="0006724B" w:rsidRPr="009A7163">
        <w:t xml:space="preserve"> in the</w:t>
      </w:r>
      <w:r w:rsidR="00101E06" w:rsidRPr="009A7163">
        <w:t xml:space="preserve"> </w:t>
      </w:r>
      <w:r w:rsidR="0012411E" w:rsidRPr="009A7163">
        <w:t>understanding and practice of mainstreaming WEE in private sector and development programmes</w:t>
      </w:r>
      <w:r w:rsidR="005A27F4" w:rsidRPr="009A7163">
        <w:t xml:space="preserve">, </w:t>
      </w:r>
      <w:r w:rsidR="0012411E" w:rsidRPr="009A7163">
        <w:t>particularly</w:t>
      </w:r>
      <w:r w:rsidR="00101E06" w:rsidRPr="009A7163">
        <w:t xml:space="preserve"> in market</w:t>
      </w:r>
      <w:r w:rsidR="0006724B" w:rsidRPr="009A7163">
        <w:t>-</w:t>
      </w:r>
      <w:r w:rsidR="00A657FA" w:rsidRPr="009A7163">
        <w:t>focused</w:t>
      </w:r>
      <w:r w:rsidR="0012411E" w:rsidRPr="009A7163">
        <w:t xml:space="preserve"> work. </w:t>
      </w:r>
      <w:r w:rsidR="00B53A35" w:rsidRPr="009A7163">
        <w:t xml:space="preserve">There </w:t>
      </w:r>
      <w:r w:rsidR="00A657FA" w:rsidRPr="009A7163">
        <w:t>are</w:t>
      </w:r>
      <w:r w:rsidR="00B53A35" w:rsidRPr="009A7163">
        <w:t xml:space="preserve"> now p</w:t>
      </w:r>
      <w:r w:rsidR="0014059F" w:rsidRPr="009A7163">
        <w:t>ractical</w:t>
      </w:r>
      <w:r w:rsidR="005A27F4" w:rsidRPr="009A7163">
        <w:t xml:space="preserve"> g</w:t>
      </w:r>
      <w:r w:rsidR="00B53A35" w:rsidRPr="009A7163">
        <w:t>uides available for companies who want to</w:t>
      </w:r>
      <w:r w:rsidR="0012411E" w:rsidRPr="009A7163">
        <w:t xml:space="preserve"> support women’s involvement in supply chains (</w:t>
      </w:r>
      <w:r w:rsidR="001B0360" w:rsidRPr="009A7163">
        <w:t xml:space="preserve">Chan, </w:t>
      </w:r>
      <w:r w:rsidR="0012411E" w:rsidRPr="009A7163">
        <w:t>2010)</w:t>
      </w:r>
      <w:r w:rsidR="0006724B" w:rsidRPr="009A7163">
        <w:t>,</w:t>
      </w:r>
      <w:r w:rsidR="0012411E" w:rsidRPr="009A7163">
        <w:t xml:space="preserve"> </w:t>
      </w:r>
      <w:r w:rsidR="008B563A" w:rsidRPr="009A7163">
        <w:t xml:space="preserve">and there </w:t>
      </w:r>
      <w:r w:rsidR="00C13F61" w:rsidRPr="009A7163">
        <w:t xml:space="preserve">have been </w:t>
      </w:r>
      <w:r w:rsidR="008B563A" w:rsidRPr="009A7163">
        <w:t>efforts to recognise women’s roles in market activities and include</w:t>
      </w:r>
      <w:r w:rsidR="00D142B9" w:rsidRPr="009A7163">
        <w:t xml:space="preserve"> WEE</w:t>
      </w:r>
      <w:r w:rsidR="008B563A" w:rsidRPr="009A7163">
        <w:t xml:space="preserve"> in program design (Coffey, 2013)</w:t>
      </w:r>
      <w:r w:rsidR="00101E06" w:rsidRPr="009A7163">
        <w:t xml:space="preserve">. </w:t>
      </w:r>
      <w:r w:rsidR="00D142B9" w:rsidRPr="009A7163">
        <w:t xml:space="preserve">There </w:t>
      </w:r>
      <w:r w:rsidR="00821E6E" w:rsidRPr="009A7163">
        <w:t>are</w:t>
      </w:r>
      <w:r w:rsidR="00C13F61" w:rsidRPr="009A7163">
        <w:t xml:space="preserve"> also </w:t>
      </w:r>
      <w:r w:rsidR="00D142B9" w:rsidRPr="009A7163">
        <w:t xml:space="preserve">ongoing </w:t>
      </w:r>
      <w:r w:rsidR="00101E06" w:rsidRPr="009A7163">
        <w:t xml:space="preserve">efforts </w:t>
      </w:r>
      <w:r w:rsidR="0012411E" w:rsidRPr="009A7163">
        <w:t>to measure the results of WEE within market</w:t>
      </w:r>
      <w:r w:rsidR="0006724B" w:rsidRPr="009A7163">
        <w:t>-</w:t>
      </w:r>
      <w:r w:rsidR="0012411E" w:rsidRPr="009A7163">
        <w:t>focused programmes (</w:t>
      </w:r>
      <w:r w:rsidR="008B563A" w:rsidRPr="009A7163">
        <w:t>Golla, 2011</w:t>
      </w:r>
      <w:r w:rsidR="006214FE" w:rsidRPr="009A7163">
        <w:t>; Markel, 2014</w:t>
      </w:r>
      <w:r w:rsidR="008B563A" w:rsidRPr="009A7163">
        <w:t>)</w:t>
      </w:r>
      <w:r w:rsidR="0014059F" w:rsidRPr="009A7163">
        <w:t xml:space="preserve">. </w:t>
      </w:r>
      <w:r w:rsidR="0005521C" w:rsidRPr="009A7163">
        <w:t>Critical</w:t>
      </w:r>
      <w:r w:rsidR="0014059F" w:rsidRPr="009A7163">
        <w:t xml:space="preserve"> </w:t>
      </w:r>
      <w:r w:rsidR="0006724B" w:rsidRPr="009A7163">
        <w:t>finding</w:t>
      </w:r>
      <w:r w:rsidR="0014059F" w:rsidRPr="009A7163">
        <w:t>s are being disseminated in areas where academic and poli</w:t>
      </w:r>
      <w:r w:rsidR="0005521C" w:rsidRPr="009A7163">
        <w:t>cy are meeting to reflect on key</w:t>
      </w:r>
      <w:r w:rsidR="0014059F" w:rsidRPr="009A7163">
        <w:t xml:space="preserve"> areas. One</w:t>
      </w:r>
      <w:r w:rsidR="00C86730" w:rsidRPr="009A7163">
        <w:t xml:space="preserve"> important </w:t>
      </w:r>
      <w:r w:rsidR="0006724B" w:rsidRPr="009A7163">
        <w:t>finding</w:t>
      </w:r>
      <w:r w:rsidR="00C86730" w:rsidRPr="009A7163">
        <w:t xml:space="preserve"> from this field of research is </w:t>
      </w:r>
      <w:r w:rsidR="00101E06" w:rsidRPr="009A7163">
        <w:t xml:space="preserve">that </w:t>
      </w:r>
      <w:r w:rsidR="006D15E3" w:rsidRPr="009A7163">
        <w:t>market</w:t>
      </w:r>
      <w:r w:rsidR="0006724B" w:rsidRPr="009A7163">
        <w:t>-</w:t>
      </w:r>
      <w:r w:rsidR="006D15E3" w:rsidRPr="009A7163">
        <w:t>led interventions ‘</w:t>
      </w:r>
      <w:r w:rsidR="006214FE" w:rsidRPr="009A7163">
        <w:t>are often based on assumptions around the e</w:t>
      </w:r>
      <w:r w:rsidR="006D15E3" w:rsidRPr="009A7163">
        <w:t xml:space="preserve">lasticity of women’s time. They </w:t>
      </w:r>
      <w:r w:rsidR="006214FE" w:rsidRPr="009A7163">
        <w:t>fail to disaggregate household roles and responsibilities, or to recognise care responsibil</w:t>
      </w:r>
      <w:r w:rsidR="006D15E3" w:rsidRPr="009A7163">
        <w:t>ities outside the paid economy’ (Maestre and Thorpe, 2016, p.</w:t>
      </w:r>
      <w:r w:rsidR="0006724B" w:rsidRPr="009A7163">
        <w:t xml:space="preserve"> </w:t>
      </w:r>
      <w:r w:rsidR="006D15E3" w:rsidRPr="009A7163">
        <w:t>8)</w:t>
      </w:r>
      <w:r w:rsidR="0006724B" w:rsidRPr="009A7163">
        <w:t>,</w:t>
      </w:r>
      <w:r w:rsidR="00A657FA" w:rsidRPr="009A7163">
        <w:t xml:space="preserve"> </w:t>
      </w:r>
      <w:r w:rsidR="0006724B" w:rsidRPr="009A7163">
        <w:t>t</w:t>
      </w:r>
      <w:r w:rsidR="00A657FA" w:rsidRPr="009A7163">
        <w:t>hus entrenching women’s roles further.</w:t>
      </w:r>
    </w:p>
    <w:p w14:paraId="76B77BA3" w14:textId="65A9C3A9" w:rsidR="00CB45E7" w:rsidRPr="009A7163" w:rsidRDefault="00C91147" w:rsidP="002B41C9">
      <w:pPr>
        <w:widowControl w:val="0"/>
        <w:autoSpaceDE w:val="0"/>
        <w:autoSpaceDN w:val="0"/>
        <w:adjustRightInd w:val="0"/>
        <w:spacing w:after="240" w:line="360" w:lineRule="auto"/>
        <w:ind w:firstLine="720"/>
        <w:jc w:val="both"/>
        <w:rPr>
          <w:highlight w:val="yellow"/>
        </w:rPr>
      </w:pPr>
      <w:r w:rsidRPr="009A7163">
        <w:t>Th</w:t>
      </w:r>
      <w:r w:rsidR="00513196" w:rsidRPr="009A7163">
        <w:t xml:space="preserve">e </w:t>
      </w:r>
      <w:r w:rsidR="00572F27" w:rsidRPr="009A7163">
        <w:t>pricing initiative</w:t>
      </w:r>
      <w:r w:rsidR="00A65ED3" w:rsidRPr="009A7163">
        <w:t xml:space="preserve"> </w:t>
      </w:r>
      <w:r w:rsidR="00513196" w:rsidRPr="009A7163">
        <w:t xml:space="preserve">explored in this thesis and </w:t>
      </w:r>
      <w:r w:rsidR="00C13F61" w:rsidRPr="009A7163">
        <w:t xml:space="preserve">pioneered by </w:t>
      </w:r>
      <w:r w:rsidR="001C2E3C" w:rsidRPr="009A7163">
        <w:t>BS</w:t>
      </w:r>
      <w:r w:rsidR="00C13F61" w:rsidRPr="009A7163">
        <w:t>I</w:t>
      </w:r>
      <w:r w:rsidR="00A657FA" w:rsidRPr="009A7163">
        <w:t>,</w:t>
      </w:r>
      <w:r w:rsidR="001C2E3C" w:rsidRPr="009A7163">
        <w:t xml:space="preserve"> </w:t>
      </w:r>
      <w:r w:rsidR="00A65ED3" w:rsidRPr="009A7163">
        <w:t>which</w:t>
      </w:r>
      <w:r w:rsidR="00572F27" w:rsidRPr="009A7163">
        <w:t xml:space="preserve"> </w:t>
      </w:r>
      <w:r w:rsidR="00A65ED3" w:rsidRPr="009A7163">
        <w:t xml:space="preserve">involves the inclusion of a component for women’s unpaid work into the cost structures </w:t>
      </w:r>
      <w:r w:rsidR="00A65ED3" w:rsidRPr="009A7163">
        <w:lastRenderedPageBreak/>
        <w:t xml:space="preserve">of </w:t>
      </w:r>
      <w:r w:rsidR="000F3650" w:rsidRPr="009A7163">
        <w:t>FT</w:t>
      </w:r>
      <w:r w:rsidR="00A65ED3" w:rsidRPr="009A7163">
        <w:t xml:space="preserve"> </w:t>
      </w:r>
      <w:r w:rsidR="0012411E" w:rsidRPr="009A7163">
        <w:t>contracts</w:t>
      </w:r>
      <w:r w:rsidR="0006724B" w:rsidRPr="009A7163">
        <w:t>,</w:t>
      </w:r>
      <w:r w:rsidR="0012411E" w:rsidRPr="009A7163">
        <w:t xml:space="preserve"> </w:t>
      </w:r>
      <w:r w:rsidR="00031ACB" w:rsidRPr="009A7163">
        <w:t>fits into this topic</w:t>
      </w:r>
      <w:r w:rsidR="00D623A0" w:rsidRPr="009A7163">
        <w:t xml:space="preserve"> area</w:t>
      </w:r>
      <w:r w:rsidRPr="009A7163">
        <w:t xml:space="preserve">. It is an innovative </w:t>
      </w:r>
      <w:r w:rsidR="00716421" w:rsidRPr="009A7163">
        <w:t>response to the issue of accounting for women’s unpaid work</w:t>
      </w:r>
      <w:r w:rsidR="006D15E3" w:rsidRPr="009A7163">
        <w:t xml:space="preserve"> and a market</w:t>
      </w:r>
      <w:r w:rsidR="0006724B" w:rsidRPr="009A7163">
        <w:t>-</w:t>
      </w:r>
      <w:r w:rsidR="006D15E3" w:rsidRPr="009A7163">
        <w:t>led programme</w:t>
      </w:r>
      <w:r w:rsidR="00716421" w:rsidRPr="009A7163">
        <w:t>, yet it is unknown whether this monetary recognition can lead to women’s empowerment</w:t>
      </w:r>
      <w:r w:rsidR="00513196" w:rsidRPr="009A7163">
        <w:t xml:space="preserve">. The </w:t>
      </w:r>
      <w:r w:rsidRPr="009A7163">
        <w:t>potential impact</w:t>
      </w:r>
      <w:r w:rsidR="00A65ED3" w:rsidRPr="009A7163">
        <w:t>(s)</w:t>
      </w:r>
      <w:r w:rsidR="00E52263" w:rsidRPr="009A7163">
        <w:t xml:space="preserve"> of </w:t>
      </w:r>
      <w:r w:rsidR="00716421" w:rsidRPr="009A7163">
        <w:t>such a pricing model</w:t>
      </w:r>
      <w:r w:rsidR="00C86730" w:rsidRPr="009A7163">
        <w:t xml:space="preserve">, </w:t>
      </w:r>
      <w:r w:rsidR="00D623A0" w:rsidRPr="009A7163">
        <w:t>particularly on women’s time</w:t>
      </w:r>
      <w:r w:rsidR="00513196" w:rsidRPr="009A7163">
        <w:t xml:space="preserve"> is also not known</w:t>
      </w:r>
      <w:r w:rsidR="00716421" w:rsidRPr="009A7163">
        <w:t xml:space="preserve">. </w:t>
      </w:r>
      <w:r w:rsidR="00E738C5" w:rsidRPr="009A7163">
        <w:t>This is a unique case study</w:t>
      </w:r>
      <w:r w:rsidR="0006724B" w:rsidRPr="009A7163">
        <w:t>,</w:t>
      </w:r>
      <w:r w:rsidR="00716421" w:rsidRPr="009A7163">
        <w:t xml:space="preserve"> as </w:t>
      </w:r>
      <w:r w:rsidR="00513196" w:rsidRPr="009A7163">
        <w:t xml:space="preserve">to our knowledge </w:t>
      </w:r>
      <w:r w:rsidR="00716421" w:rsidRPr="009A7163">
        <w:t xml:space="preserve">there is no other known example of a FT pricing model </w:t>
      </w:r>
      <w:r w:rsidR="0006724B" w:rsidRPr="009A7163">
        <w:t>that</w:t>
      </w:r>
      <w:r w:rsidR="00716421" w:rsidRPr="009A7163">
        <w:t xml:space="preserve"> recognises </w:t>
      </w:r>
      <w:r w:rsidR="00A51401" w:rsidRPr="009A7163">
        <w:t>women’s</w:t>
      </w:r>
      <w:r w:rsidR="00716421" w:rsidRPr="009A7163">
        <w:t xml:space="preserve"> unpaid work and</w:t>
      </w:r>
      <w:r w:rsidR="001E1AE5" w:rsidRPr="009A7163">
        <w:t xml:space="preserve"> no other study </w:t>
      </w:r>
      <w:r w:rsidR="0006724B" w:rsidRPr="009A7163">
        <w:t>that</w:t>
      </w:r>
      <w:r w:rsidR="001E1AE5" w:rsidRPr="009A7163">
        <w:t xml:space="preserve"> has</w:t>
      </w:r>
      <w:r w:rsidR="00CB45E7" w:rsidRPr="009A7163">
        <w:t xml:space="preserve"> examined </w:t>
      </w:r>
      <w:r w:rsidR="00506E47" w:rsidRPr="009A7163">
        <w:t>the pricing model</w:t>
      </w:r>
      <w:r w:rsidR="00716421" w:rsidRPr="009A7163">
        <w:t xml:space="preserve">. </w:t>
      </w:r>
      <w:r w:rsidR="00F855A8" w:rsidRPr="009A7163">
        <w:t>M</w:t>
      </w:r>
      <w:r w:rsidR="00E738C5" w:rsidRPr="009A7163">
        <w:t>y research</w:t>
      </w:r>
      <w:r w:rsidR="0006724B" w:rsidRPr="009A7163">
        <w:t>,</w:t>
      </w:r>
      <w:r w:rsidR="00E738C5" w:rsidRPr="009A7163">
        <w:t xml:space="preserve"> </w:t>
      </w:r>
      <w:r w:rsidR="00726FD0" w:rsidRPr="009A7163">
        <w:t>therefore</w:t>
      </w:r>
      <w:r w:rsidR="0006724B" w:rsidRPr="009A7163">
        <w:t>,</w:t>
      </w:r>
      <w:r w:rsidR="00726FD0" w:rsidRPr="009A7163">
        <w:t xml:space="preserve"> </w:t>
      </w:r>
      <w:r w:rsidR="00E738C5" w:rsidRPr="009A7163">
        <w:t xml:space="preserve">aims to shed light on </w:t>
      </w:r>
      <w:r w:rsidR="00716421" w:rsidRPr="009A7163">
        <w:t>whether pricing initiatives</w:t>
      </w:r>
      <w:r w:rsidR="001E1AE5" w:rsidRPr="009A7163">
        <w:t xml:space="preserve"> </w:t>
      </w:r>
      <w:r w:rsidR="0006724B" w:rsidRPr="009A7163">
        <w:t>that</w:t>
      </w:r>
      <w:r w:rsidR="00716421" w:rsidRPr="009A7163">
        <w:t xml:space="preserve"> </w:t>
      </w:r>
      <w:r w:rsidR="001E1AE5" w:rsidRPr="009A7163">
        <w:t>address</w:t>
      </w:r>
      <w:r w:rsidR="00726FD0" w:rsidRPr="009A7163">
        <w:t xml:space="preserve"> women’s unpaid care work through </w:t>
      </w:r>
      <w:r w:rsidR="00716421" w:rsidRPr="009A7163">
        <w:t xml:space="preserve">economic empowerment </w:t>
      </w:r>
      <w:r w:rsidR="0015631E" w:rsidRPr="009A7163">
        <w:t>and collective action</w:t>
      </w:r>
      <w:r w:rsidR="001E1AE5" w:rsidRPr="009A7163">
        <w:t xml:space="preserve"> </w:t>
      </w:r>
      <w:r w:rsidR="00716421" w:rsidRPr="009A7163">
        <w:t xml:space="preserve">can lead to </w:t>
      </w:r>
      <w:r w:rsidR="00F855A8" w:rsidRPr="009A7163">
        <w:t>broader empowerment</w:t>
      </w:r>
      <w:r w:rsidR="00726FD0" w:rsidRPr="009A7163">
        <w:t xml:space="preserve"> and systemic change</w:t>
      </w:r>
      <w:r w:rsidR="00CB45E7" w:rsidRPr="009A7163">
        <w:t>.</w:t>
      </w:r>
      <w:r w:rsidR="001E1AE5" w:rsidRPr="009A7163">
        <w:t xml:space="preserve"> The study also</w:t>
      </w:r>
      <w:r w:rsidR="00CB45E7" w:rsidRPr="009A7163">
        <w:t xml:space="preserve"> e</w:t>
      </w:r>
      <w:r w:rsidR="00F855A8" w:rsidRPr="009A7163">
        <w:t>xamine</w:t>
      </w:r>
      <w:r w:rsidR="00CB45E7" w:rsidRPr="009A7163">
        <w:t>s</w:t>
      </w:r>
      <w:r w:rsidR="00F855A8" w:rsidRPr="009A7163">
        <w:t xml:space="preserve"> </w:t>
      </w:r>
      <w:r w:rsidR="00716421" w:rsidRPr="009A7163">
        <w:t xml:space="preserve">the potential and limits of collective action </w:t>
      </w:r>
      <w:r w:rsidR="000910CC" w:rsidRPr="009A7163">
        <w:t>in this context</w:t>
      </w:r>
      <w:r w:rsidR="00B629EA" w:rsidRPr="009A7163">
        <w:t>.</w:t>
      </w:r>
    </w:p>
    <w:p w14:paraId="482F7994" w14:textId="529AD46B" w:rsidR="003E6FC1" w:rsidRPr="009A7163" w:rsidRDefault="0006724B" w:rsidP="007A3A29">
      <w:pPr>
        <w:pStyle w:val="Heading2"/>
      </w:pPr>
      <w:bookmarkStart w:id="10" w:name="_Toc526819246"/>
      <w:r w:rsidRPr="009A7163">
        <w:t xml:space="preserve">1.4  </w:t>
      </w:r>
      <w:r w:rsidR="00872499" w:rsidRPr="009A7163">
        <w:t>T</w:t>
      </w:r>
      <w:r w:rsidR="00FF1A76" w:rsidRPr="009A7163">
        <w:t>he</w:t>
      </w:r>
      <w:r w:rsidR="00872499" w:rsidRPr="009A7163">
        <w:t xml:space="preserve"> </w:t>
      </w:r>
      <w:r w:rsidRPr="009A7163">
        <w:t>I</w:t>
      </w:r>
      <w:r w:rsidR="00872499" w:rsidRPr="009A7163">
        <w:t xml:space="preserve">nception of </w:t>
      </w:r>
      <w:r w:rsidR="000B6EBA" w:rsidRPr="009A7163">
        <w:t xml:space="preserve">the </w:t>
      </w:r>
      <w:r w:rsidRPr="009A7163">
        <w:t>I</w:t>
      </w:r>
      <w:r w:rsidR="000B6EBA" w:rsidRPr="009A7163">
        <w:t>nitiative</w:t>
      </w:r>
      <w:bookmarkEnd w:id="10"/>
    </w:p>
    <w:p w14:paraId="2A85D2D0" w14:textId="07C04ECC" w:rsidR="007A0110" w:rsidRPr="009A7163" w:rsidRDefault="00442F79" w:rsidP="007A3A29">
      <w:pPr>
        <w:pStyle w:val="NormalWeb"/>
        <w:spacing w:before="0" w:beforeAutospacing="0" w:after="0" w:afterAutospacing="0" w:line="360" w:lineRule="auto"/>
        <w:ind w:firstLine="720"/>
        <w:jc w:val="both"/>
      </w:pPr>
      <w:r w:rsidRPr="009A7163">
        <w:t xml:space="preserve">In presenting the origins of the initiative and the innovative nature of the pricing model, it is also important to present </w:t>
      </w:r>
      <w:r w:rsidR="00446DB7" w:rsidRPr="009A7163">
        <w:t>in more</w:t>
      </w:r>
      <w:r w:rsidR="001E1AE5" w:rsidRPr="009A7163">
        <w:t xml:space="preserve"> detail how the initiative works,</w:t>
      </w:r>
      <w:r w:rsidR="00E52263" w:rsidRPr="009A7163">
        <w:t xml:space="preserve"> as well as </w:t>
      </w:r>
      <w:r w:rsidRPr="009A7163">
        <w:t>the complexities</w:t>
      </w:r>
      <w:r w:rsidR="000910CC" w:rsidRPr="009A7163">
        <w:t xml:space="preserve"> </w:t>
      </w:r>
      <w:r w:rsidRPr="009A7163">
        <w:t xml:space="preserve">surrounding its inception and design. </w:t>
      </w:r>
      <w:r w:rsidR="00B57F17" w:rsidRPr="009A7163">
        <w:t xml:space="preserve">The </w:t>
      </w:r>
      <w:r w:rsidRPr="009A7163">
        <w:t xml:space="preserve">initial </w:t>
      </w:r>
      <w:r w:rsidR="00B57F17" w:rsidRPr="009A7163">
        <w:t xml:space="preserve">idea </w:t>
      </w:r>
      <w:r w:rsidRPr="009A7163">
        <w:t xml:space="preserve">to acknowledge and price women’s unpaid work </w:t>
      </w:r>
      <w:r w:rsidR="00B57F17" w:rsidRPr="009A7163">
        <w:t>was presented by</w:t>
      </w:r>
      <w:r w:rsidR="00506E47" w:rsidRPr="009A7163">
        <w:t xml:space="preserve"> </w:t>
      </w:r>
      <w:r w:rsidR="00B57F17" w:rsidRPr="009A7163">
        <w:t>Hoskyns</w:t>
      </w:r>
      <w:r w:rsidR="00923900" w:rsidRPr="009A7163">
        <w:t>, a UK academic based in the Global North</w:t>
      </w:r>
      <w:r w:rsidR="00C7504F" w:rsidRPr="009A7163">
        <w:t>,</w:t>
      </w:r>
      <w:r w:rsidR="00923900" w:rsidRPr="009A7163">
        <w:t xml:space="preserve"> </w:t>
      </w:r>
      <w:r w:rsidR="00B57F17" w:rsidRPr="009A7163">
        <w:t>and the proposal was discussed and approved by the board of directors of the sesame cooperative</w:t>
      </w:r>
      <w:r w:rsidR="00C4369F" w:rsidRPr="009A7163">
        <w:t>,</w:t>
      </w:r>
      <w:r w:rsidR="00B57F17" w:rsidRPr="009A7163">
        <w:t xml:space="preserve"> </w:t>
      </w:r>
      <w:r w:rsidR="005E52DC" w:rsidRPr="009A7163">
        <w:t>the majority of whom were men</w:t>
      </w:r>
      <w:r w:rsidR="00B57F17" w:rsidRPr="009A7163">
        <w:t xml:space="preserve">. </w:t>
      </w:r>
      <w:r w:rsidR="00D86916" w:rsidRPr="009A7163">
        <w:t>The</w:t>
      </w:r>
      <w:r w:rsidR="00254EE2" w:rsidRPr="009A7163">
        <w:t xml:space="preserve"> monetary recognition</w:t>
      </w:r>
      <w:r w:rsidR="00D86916" w:rsidRPr="009A7163">
        <w:t xml:space="preserve"> was based on one time use survey undertaken </w:t>
      </w:r>
      <w:r w:rsidR="002B41C9" w:rsidRPr="009A7163">
        <w:t xml:space="preserve">during the course of one day </w:t>
      </w:r>
      <w:r w:rsidR="00D86916" w:rsidRPr="009A7163">
        <w:t>in a non-sesame growing household</w:t>
      </w:r>
      <w:r w:rsidR="0030200B" w:rsidRPr="009A7163">
        <w:t xml:space="preserve">, </w:t>
      </w:r>
      <w:r w:rsidR="00AB5439" w:rsidRPr="009A7163">
        <w:t xml:space="preserve">the household of a </w:t>
      </w:r>
      <w:r w:rsidR="00D86916" w:rsidRPr="009A7163">
        <w:t>close</w:t>
      </w:r>
      <w:r w:rsidR="00704480" w:rsidRPr="009A7163">
        <w:t xml:space="preserve"> friend </w:t>
      </w:r>
      <w:r w:rsidR="00C7504F" w:rsidRPr="009A7163">
        <w:t>of</w:t>
      </w:r>
      <w:r w:rsidR="00704480" w:rsidRPr="009A7163">
        <w:t xml:space="preserve"> some members of the</w:t>
      </w:r>
      <w:r w:rsidR="00D86916" w:rsidRPr="009A7163">
        <w:t xml:space="preserve"> board.</w:t>
      </w:r>
      <w:r w:rsidR="002B41C9" w:rsidRPr="009A7163">
        <w:t xml:space="preserve"> </w:t>
      </w:r>
      <w:r w:rsidR="002B190A" w:rsidRPr="009A7163">
        <w:rPr>
          <w:lang w:val="en-US"/>
        </w:rPr>
        <w:t xml:space="preserve">Hoskyns conducted a TUS and scoping exercise during </w:t>
      </w:r>
      <w:r w:rsidR="00552B95" w:rsidRPr="009A7163">
        <w:rPr>
          <w:lang w:val="en-US"/>
        </w:rPr>
        <w:t xml:space="preserve">the course of one day in a typical farmer household </w:t>
      </w:r>
      <w:r w:rsidR="002B190A" w:rsidRPr="009A7163">
        <w:rPr>
          <w:lang w:val="en-US"/>
        </w:rPr>
        <w:t>to measure what unpaid work</w:t>
      </w:r>
      <w:r w:rsidR="00552B95" w:rsidRPr="009A7163">
        <w:rPr>
          <w:lang w:val="en-US"/>
        </w:rPr>
        <w:t xml:space="preserve"> was being done to support </w:t>
      </w:r>
      <w:r w:rsidR="00723ACA" w:rsidRPr="009A7163">
        <w:rPr>
          <w:lang w:val="en-US"/>
        </w:rPr>
        <w:t>agricultural</w:t>
      </w:r>
      <w:r w:rsidR="002B190A" w:rsidRPr="009A7163">
        <w:rPr>
          <w:lang w:val="en-US"/>
        </w:rPr>
        <w:t xml:space="preserve"> production</w:t>
      </w:r>
      <w:r w:rsidR="00C7504F" w:rsidRPr="009A7163">
        <w:rPr>
          <w:lang w:val="en-US"/>
        </w:rPr>
        <w:t>.</w:t>
      </w:r>
      <w:r w:rsidR="00CC6292" w:rsidRPr="009A7163">
        <w:rPr>
          <w:rStyle w:val="FootnoteReference"/>
          <w:lang w:val="en-US"/>
        </w:rPr>
        <w:footnoteReference w:id="10"/>
      </w:r>
      <w:r w:rsidR="002B190A" w:rsidRPr="009A7163">
        <w:rPr>
          <w:lang w:val="en-US"/>
        </w:rPr>
        <w:t xml:space="preserve"> This came out as six to eight hours of unpaid work being undertaken per family per day during the peak periods </w:t>
      </w:r>
      <w:r w:rsidR="00C7504F" w:rsidRPr="009A7163">
        <w:rPr>
          <w:lang w:val="en-US"/>
        </w:rPr>
        <w:t>of</w:t>
      </w:r>
      <w:r w:rsidR="002B190A" w:rsidRPr="009A7163">
        <w:rPr>
          <w:lang w:val="en-US"/>
        </w:rPr>
        <w:t xml:space="preserve"> sesame production</w:t>
      </w:r>
      <w:r w:rsidR="00C7504F" w:rsidRPr="009A7163">
        <w:rPr>
          <w:lang w:val="en-US"/>
        </w:rPr>
        <w:t>, which takes place for about</w:t>
      </w:r>
      <w:r w:rsidR="002B190A" w:rsidRPr="009A7163">
        <w:rPr>
          <w:lang w:val="en-US"/>
        </w:rPr>
        <w:t xml:space="preserve"> four months of the year</w:t>
      </w:r>
      <w:r w:rsidR="00C7504F" w:rsidRPr="009A7163">
        <w:rPr>
          <w:lang w:val="en-US"/>
        </w:rPr>
        <w:t>.</w:t>
      </w:r>
      <w:r w:rsidR="00A1602D" w:rsidRPr="009A7163">
        <w:rPr>
          <w:rStyle w:val="FootnoteReference"/>
          <w:lang w:val="en-US"/>
        </w:rPr>
        <w:footnoteReference w:id="11"/>
      </w:r>
      <w:r w:rsidR="002B190A" w:rsidRPr="009A7163">
        <w:rPr>
          <w:lang w:val="en-US"/>
        </w:rPr>
        <w:t xml:space="preserve"> The </w:t>
      </w:r>
      <w:r w:rsidR="00EA4C52" w:rsidRPr="009A7163">
        <w:rPr>
          <w:lang w:val="en-US"/>
        </w:rPr>
        <w:t>calculation made</w:t>
      </w:r>
      <w:r w:rsidR="002B190A" w:rsidRPr="009A7163">
        <w:rPr>
          <w:lang w:val="en-US"/>
        </w:rPr>
        <w:t xml:space="preserve"> gave the equivalent of 12 days a year per </w:t>
      </w:r>
      <w:r w:rsidR="002B190A" w:rsidRPr="009A7163">
        <w:rPr>
          <w:i/>
          <w:lang w:val="en-US"/>
        </w:rPr>
        <w:t>manzana</w:t>
      </w:r>
      <w:r w:rsidR="002B190A" w:rsidRPr="009A7163">
        <w:rPr>
          <w:lang w:val="en-US"/>
        </w:rPr>
        <w:t xml:space="preserve"> (0.7 of a hectare) for women’s unpaid work, </w:t>
      </w:r>
      <w:r w:rsidR="00C7504F" w:rsidRPr="009A7163">
        <w:rPr>
          <w:lang w:val="en-US"/>
        </w:rPr>
        <w:t>which is</w:t>
      </w:r>
      <w:r w:rsidR="002B190A" w:rsidRPr="009A7163">
        <w:rPr>
          <w:lang w:val="en-US"/>
        </w:rPr>
        <w:t xml:space="preserve"> the equivalent of 22% of the total labour involved. These 12 days were valued, </w:t>
      </w:r>
      <w:r w:rsidR="002B190A" w:rsidRPr="009A7163">
        <w:rPr>
          <w:lang w:val="en-US"/>
        </w:rPr>
        <w:lastRenderedPageBreak/>
        <w:t xml:space="preserve">using the going rate for rural manual labour of 80 </w:t>
      </w:r>
      <w:r w:rsidR="00AF3E53" w:rsidRPr="009A7163">
        <w:rPr>
          <w:i/>
          <w:lang w:val="en-US"/>
        </w:rPr>
        <w:t>córdobas</w:t>
      </w:r>
      <w:r w:rsidR="002B190A" w:rsidRPr="009A7163">
        <w:rPr>
          <w:lang w:val="en-US"/>
        </w:rPr>
        <w:t xml:space="preserve"> a day. This gave an extra 960 </w:t>
      </w:r>
      <w:r w:rsidR="00AF3E53" w:rsidRPr="009A7163">
        <w:rPr>
          <w:i/>
          <w:lang w:val="en-US"/>
        </w:rPr>
        <w:t>córdobas</w:t>
      </w:r>
      <w:r w:rsidR="002B190A" w:rsidRPr="009A7163">
        <w:rPr>
          <w:lang w:val="en-US"/>
        </w:rPr>
        <w:t xml:space="preserve"> a year (approximately $50) per </w:t>
      </w:r>
      <w:r w:rsidR="002B190A" w:rsidRPr="009A7163">
        <w:rPr>
          <w:i/>
          <w:lang w:val="en-US"/>
        </w:rPr>
        <w:t>manzana</w:t>
      </w:r>
      <w:r w:rsidR="002B190A" w:rsidRPr="009A7163">
        <w:rPr>
          <w:lang w:val="en-US"/>
        </w:rPr>
        <w:t xml:space="preserve"> due to women’s work</w:t>
      </w:r>
      <w:r w:rsidR="00C7504F" w:rsidRPr="009A7163">
        <w:rPr>
          <w:lang w:val="en-US"/>
        </w:rPr>
        <w:t>, or</w:t>
      </w:r>
      <w:r w:rsidR="002B190A" w:rsidRPr="009A7163">
        <w:rPr>
          <w:lang w:val="en-US"/>
        </w:rPr>
        <w:t xml:space="preserve"> </w:t>
      </w:r>
      <w:r w:rsidR="00C7504F" w:rsidRPr="009A7163">
        <w:rPr>
          <w:lang w:val="en-US"/>
        </w:rPr>
        <w:t>a</w:t>
      </w:r>
      <w:r w:rsidR="002B190A" w:rsidRPr="009A7163">
        <w:rPr>
          <w:lang w:val="en-US"/>
        </w:rPr>
        <w:t xml:space="preserve">bout 9% of the total value. </w:t>
      </w:r>
      <w:r w:rsidR="00C30DF5" w:rsidRPr="009A7163">
        <w:t>This</w:t>
      </w:r>
      <w:r w:rsidR="00723ACA" w:rsidRPr="009A7163">
        <w:t xml:space="preserve"> </w:t>
      </w:r>
      <w:r w:rsidR="00565B3F" w:rsidRPr="009A7163">
        <w:t xml:space="preserve">sum </w:t>
      </w:r>
      <w:r w:rsidR="00483F68" w:rsidRPr="009A7163">
        <w:t>was used when the contract with BSI was renegotiated in 2008</w:t>
      </w:r>
      <w:r w:rsidR="00EE5ED4" w:rsidRPr="009A7163">
        <w:t xml:space="preserve"> when</w:t>
      </w:r>
      <w:r w:rsidR="00C7504F" w:rsidRPr="009A7163">
        <w:t>,</w:t>
      </w:r>
      <w:r w:rsidR="00EE5ED4" w:rsidRPr="009A7163">
        <w:t xml:space="preserve"> a</w:t>
      </w:r>
      <w:r w:rsidR="00565B3F" w:rsidRPr="009A7163">
        <w:t>s pa</w:t>
      </w:r>
      <w:r w:rsidR="00856A58" w:rsidRPr="009A7163">
        <w:t>rt of a routine renegotiation</w:t>
      </w:r>
      <w:r w:rsidR="00C7504F" w:rsidRPr="009A7163">
        <w:t>,</w:t>
      </w:r>
      <w:r w:rsidR="00565B3F" w:rsidRPr="009A7163">
        <w:t xml:space="preserve"> </w:t>
      </w:r>
      <w:r w:rsidR="00E90128" w:rsidRPr="009A7163">
        <w:t>CJFPS made</w:t>
      </w:r>
      <w:r w:rsidR="00483F68" w:rsidRPr="009A7163">
        <w:t xml:space="preserve"> a new estimate of costs</w:t>
      </w:r>
      <w:r w:rsidR="00EE5ED4" w:rsidRPr="009A7163">
        <w:t>. For this estimate</w:t>
      </w:r>
      <w:r w:rsidR="00C7504F" w:rsidRPr="009A7163">
        <w:t>,</w:t>
      </w:r>
      <w:r w:rsidR="00EE5ED4" w:rsidRPr="009A7163">
        <w:t xml:space="preserve"> they </w:t>
      </w:r>
      <w:r w:rsidR="00E90128" w:rsidRPr="009A7163">
        <w:t xml:space="preserve">included </w:t>
      </w:r>
      <w:r w:rsidR="00483F68" w:rsidRPr="009A7163">
        <w:t>H</w:t>
      </w:r>
      <w:r w:rsidR="00E90128" w:rsidRPr="009A7163">
        <w:t>oskyn</w:t>
      </w:r>
      <w:r w:rsidR="009958D6" w:rsidRPr="009A7163">
        <w:t>s</w:t>
      </w:r>
      <w:r w:rsidR="00E90128" w:rsidRPr="009A7163">
        <w:t>’</w:t>
      </w:r>
      <w:r w:rsidR="00483F68" w:rsidRPr="009A7163">
        <w:t xml:space="preserve"> calculations</w:t>
      </w:r>
      <w:r w:rsidR="000910CC" w:rsidRPr="009A7163">
        <w:t xml:space="preserve"> as opposed to previous ones</w:t>
      </w:r>
      <w:r w:rsidR="007A0110" w:rsidRPr="009A7163">
        <w:t xml:space="preserve"> </w:t>
      </w:r>
      <w:r w:rsidR="00C7504F" w:rsidRPr="009A7163">
        <w:t>that had</w:t>
      </w:r>
      <w:r w:rsidR="007A0110" w:rsidRPr="009A7163">
        <w:t xml:space="preserve"> only measured and valued ‘man-days worked’ (</w:t>
      </w:r>
      <w:r w:rsidR="007A0110" w:rsidRPr="009A7163">
        <w:rPr>
          <w:i/>
          <w:iCs/>
        </w:rPr>
        <w:t>días/hombres</w:t>
      </w:r>
      <w:r w:rsidR="007A0110" w:rsidRPr="009A7163">
        <w:t>)</w:t>
      </w:r>
      <w:r w:rsidR="00C7504F" w:rsidRPr="009A7163">
        <w:t>.</w:t>
      </w:r>
      <w:r w:rsidR="00CF5A51" w:rsidRPr="009A7163">
        <w:rPr>
          <w:rStyle w:val="FootnoteReference"/>
        </w:rPr>
        <w:footnoteReference w:id="12"/>
      </w:r>
      <w:r w:rsidR="002B190A" w:rsidRPr="009A7163">
        <w:t xml:space="preserve"> </w:t>
      </w:r>
      <w:r w:rsidR="009958D6" w:rsidRPr="009A7163">
        <w:t>It is important to highlight that ‘t</w:t>
      </w:r>
      <w:r w:rsidR="00483F68" w:rsidRPr="009A7163">
        <w:t>he</w:t>
      </w:r>
      <w:r w:rsidR="002B190A" w:rsidRPr="009A7163">
        <w:t xml:space="preserve"> time of renegotiation was during a period of rising prices for sesam</w:t>
      </w:r>
      <w:r w:rsidR="00483F68" w:rsidRPr="009A7163">
        <w:t xml:space="preserve">e and </w:t>
      </w:r>
      <w:r w:rsidR="00A33AB9" w:rsidRPr="009A7163">
        <w:t>BSI thus understood that the</w:t>
      </w:r>
      <w:r w:rsidR="00723ACA" w:rsidRPr="009A7163">
        <w:t>y</w:t>
      </w:r>
      <w:r w:rsidR="002B190A" w:rsidRPr="009A7163">
        <w:t xml:space="preserve"> would have to pay more</w:t>
      </w:r>
      <w:r w:rsidR="009958D6" w:rsidRPr="009A7163">
        <w:t>’</w:t>
      </w:r>
      <w:r w:rsidR="00C30DF5" w:rsidRPr="009A7163">
        <w:t xml:space="preserve"> (Hoskyns et al</w:t>
      </w:r>
      <w:r w:rsidR="00C7504F" w:rsidRPr="009A7163">
        <w:t>.</w:t>
      </w:r>
      <w:r w:rsidR="00C30DF5" w:rsidRPr="009A7163">
        <w:t xml:space="preserve">, </w:t>
      </w:r>
      <w:r w:rsidR="00776F9E" w:rsidRPr="009A7163">
        <w:t>2012, p.</w:t>
      </w:r>
      <w:r w:rsidR="00C30DF5" w:rsidRPr="009A7163">
        <w:t xml:space="preserve"> 29)</w:t>
      </w:r>
      <w:r w:rsidR="002B190A" w:rsidRPr="009A7163">
        <w:t xml:space="preserve">. </w:t>
      </w:r>
      <w:r w:rsidR="00771A6E" w:rsidRPr="009A7163">
        <w:t>So,</w:t>
      </w:r>
      <w:r w:rsidR="00F16C1B" w:rsidRPr="009A7163">
        <w:t xml:space="preserve"> w</w:t>
      </w:r>
      <w:r w:rsidR="002B190A" w:rsidRPr="009A7163">
        <w:t xml:space="preserve">hen </w:t>
      </w:r>
      <w:r w:rsidR="00B63C19" w:rsidRPr="009A7163">
        <w:t>considering the</w:t>
      </w:r>
      <w:r w:rsidR="002B190A" w:rsidRPr="009A7163">
        <w:t xml:space="preserve"> new </w:t>
      </w:r>
      <w:r w:rsidR="00B63C19" w:rsidRPr="009A7163">
        <w:t>pricing scheme</w:t>
      </w:r>
      <w:r w:rsidR="002B190A" w:rsidRPr="009A7163">
        <w:t>, the cooperative managers decided to include under ‘inputs’ a figure for the unpaid work of women</w:t>
      </w:r>
      <w:r w:rsidR="00C7504F" w:rsidRPr="009A7163">
        <w:t xml:space="preserve"> that </w:t>
      </w:r>
      <w:r w:rsidR="002B190A" w:rsidRPr="009A7163">
        <w:t xml:space="preserve">contributed to production. </w:t>
      </w:r>
    </w:p>
    <w:p w14:paraId="0F60E2CB" w14:textId="11537030" w:rsidR="00332B31" w:rsidRPr="009A7163" w:rsidRDefault="004F46B5" w:rsidP="007A3A29">
      <w:pPr>
        <w:pStyle w:val="NormalWeb"/>
        <w:spacing w:before="0" w:beforeAutospacing="0" w:after="0" w:afterAutospacing="0" w:line="360" w:lineRule="auto"/>
        <w:ind w:firstLine="720"/>
        <w:jc w:val="both"/>
      </w:pPr>
      <w:r w:rsidRPr="009A7163">
        <w:t xml:space="preserve">With the new calculation agreed upon in 2008, BSI </w:t>
      </w:r>
      <w:r w:rsidR="00332B31" w:rsidRPr="009A7163">
        <w:t>still as</w:t>
      </w:r>
      <w:r w:rsidR="00D973DF" w:rsidRPr="009A7163">
        <w:t xml:space="preserve">ked for further information in order to </w:t>
      </w:r>
      <w:r w:rsidR="003F7E15" w:rsidRPr="009A7163">
        <w:t xml:space="preserve">justify </w:t>
      </w:r>
      <w:r w:rsidR="00332B31" w:rsidRPr="009A7163">
        <w:t>these costs</w:t>
      </w:r>
      <w:r w:rsidR="00B63C19" w:rsidRPr="009A7163">
        <w:t>.</w:t>
      </w:r>
      <w:r w:rsidR="00332B31" w:rsidRPr="009A7163">
        <w:t xml:space="preserve"> </w:t>
      </w:r>
      <w:r w:rsidR="00B63C19" w:rsidRPr="009A7163">
        <w:t>I</w:t>
      </w:r>
      <w:r w:rsidR="00332B31" w:rsidRPr="009A7163">
        <w:t xml:space="preserve">n particular BSI wanted to know which activities (women’s unpaid work) </w:t>
      </w:r>
      <w:r w:rsidR="001A666E" w:rsidRPr="009A7163">
        <w:t xml:space="preserve">directly supported production and which were </w:t>
      </w:r>
      <w:r w:rsidR="00B63C19" w:rsidRPr="009A7163">
        <w:t xml:space="preserve">an </w:t>
      </w:r>
      <w:r w:rsidR="001A666E" w:rsidRPr="009A7163">
        <w:t>indirect</w:t>
      </w:r>
      <w:r w:rsidR="00B63C19" w:rsidRPr="009A7163">
        <w:t xml:space="preserve"> support to </w:t>
      </w:r>
      <w:r w:rsidR="001A666E" w:rsidRPr="009A7163">
        <w:t xml:space="preserve">the family as an economic unit. </w:t>
      </w:r>
      <w:r w:rsidR="00332B31" w:rsidRPr="009A7163">
        <w:t>A detailed summary was later provided to the BSI (Cooperativa Juan Francisco Paz Silva, 2008)</w:t>
      </w:r>
      <w:r w:rsidR="000F3650" w:rsidRPr="009A7163">
        <w:t>,</w:t>
      </w:r>
      <w:r w:rsidR="00332B31" w:rsidRPr="009A7163">
        <w:t xml:space="preserve"> and</w:t>
      </w:r>
      <w:r w:rsidR="003F7E15" w:rsidRPr="009A7163">
        <w:t xml:space="preserve"> there is still some </w:t>
      </w:r>
      <w:r w:rsidR="001A666E" w:rsidRPr="009A7163">
        <w:t>uncertainty</w:t>
      </w:r>
      <w:r w:rsidR="003F7E15" w:rsidRPr="009A7163">
        <w:t xml:space="preserve"> over what is and/or should be included </w:t>
      </w:r>
      <w:r w:rsidR="001A666E" w:rsidRPr="009A7163">
        <w:t>in the broad category of unpaid work</w:t>
      </w:r>
      <w:r w:rsidR="00506E47" w:rsidRPr="009A7163">
        <w:t xml:space="preserve"> now </w:t>
      </w:r>
      <w:r w:rsidR="00EE5ED4" w:rsidRPr="009A7163">
        <w:t xml:space="preserve">included </w:t>
      </w:r>
      <w:r w:rsidR="00506E47" w:rsidRPr="009A7163">
        <w:t xml:space="preserve">in the </w:t>
      </w:r>
      <w:r w:rsidR="00B63C19" w:rsidRPr="009A7163">
        <w:t>pricing</w:t>
      </w:r>
      <w:r w:rsidR="00506E47" w:rsidRPr="009A7163">
        <w:t>. O</w:t>
      </w:r>
      <w:r w:rsidR="003F7E15" w:rsidRPr="009A7163">
        <w:t>verall</w:t>
      </w:r>
      <w:r w:rsidR="00332B31" w:rsidRPr="009A7163">
        <w:t xml:space="preserve"> BSI has been positive about th</w:t>
      </w:r>
      <w:r w:rsidR="003F7E15" w:rsidRPr="009A7163">
        <w:t>e initiative</w:t>
      </w:r>
      <w:r w:rsidR="00B63C19" w:rsidRPr="009A7163">
        <w:t>,</w:t>
      </w:r>
      <w:r w:rsidR="00EE5ED4" w:rsidRPr="009A7163">
        <w:t xml:space="preserve"> but</w:t>
      </w:r>
      <w:r w:rsidR="00B63C19" w:rsidRPr="009A7163">
        <w:t xml:space="preserve"> has</w:t>
      </w:r>
      <w:r w:rsidR="00EE5ED4" w:rsidRPr="009A7163">
        <w:t xml:space="preserve"> yet to use the model in other supply chains</w:t>
      </w:r>
      <w:r w:rsidR="003F7E15" w:rsidRPr="009A7163">
        <w:t>. Th</w:t>
      </w:r>
      <w:r w:rsidR="00332B31" w:rsidRPr="009A7163">
        <w:t>e price</w:t>
      </w:r>
      <w:r w:rsidR="00EE488F" w:rsidRPr="009A7163">
        <w:t xml:space="preserve"> </w:t>
      </w:r>
      <w:r w:rsidR="00332B31" w:rsidRPr="009A7163">
        <w:t xml:space="preserve">has </w:t>
      </w:r>
      <w:r w:rsidR="00EE5ED4" w:rsidRPr="009A7163">
        <w:t xml:space="preserve">also </w:t>
      </w:r>
      <w:r w:rsidR="00332B31" w:rsidRPr="009A7163">
        <w:t>ye</w:t>
      </w:r>
      <w:r w:rsidR="009409ED" w:rsidRPr="009A7163">
        <w:t>t to be</w:t>
      </w:r>
      <w:r w:rsidR="00D973DF" w:rsidRPr="009A7163">
        <w:t xml:space="preserve"> reviewed </w:t>
      </w:r>
      <w:r w:rsidR="00B63C19" w:rsidRPr="009A7163">
        <w:t>and</w:t>
      </w:r>
      <w:r w:rsidR="00D973DF" w:rsidRPr="009A7163">
        <w:t xml:space="preserve"> increased </w:t>
      </w:r>
      <w:r w:rsidR="00065F8D" w:rsidRPr="009A7163">
        <w:t>since it was calculated in 2006</w:t>
      </w:r>
      <w:r w:rsidR="009409ED" w:rsidRPr="009A7163">
        <w:t xml:space="preserve"> and included</w:t>
      </w:r>
      <w:r w:rsidR="00065F8D" w:rsidRPr="009A7163">
        <w:t xml:space="preserve"> in the price in 2008</w:t>
      </w:r>
      <w:r w:rsidR="00B63C19" w:rsidRPr="009A7163">
        <w:t>, and th</w:t>
      </w:r>
      <w:r w:rsidR="00A4613E" w:rsidRPr="009A7163">
        <w:t xml:space="preserve">e payment mechanism </w:t>
      </w:r>
      <w:r w:rsidR="00B63C19" w:rsidRPr="009A7163">
        <w:t>also has not been</w:t>
      </w:r>
      <w:r w:rsidR="00A4613E" w:rsidRPr="009A7163">
        <w:t xml:space="preserve"> reviewed.</w:t>
      </w:r>
    </w:p>
    <w:p w14:paraId="4A4AD8AB" w14:textId="53AA2051" w:rsidR="00A1074B" w:rsidRPr="009A7163" w:rsidRDefault="00271153" w:rsidP="007A3A29">
      <w:pPr>
        <w:pStyle w:val="NormalWeb"/>
        <w:spacing w:before="0" w:beforeAutospacing="0" w:after="0" w:afterAutospacing="0" w:line="360" w:lineRule="auto"/>
        <w:ind w:firstLine="720"/>
        <w:jc w:val="both"/>
        <w:rPr>
          <w:lang w:val="en-US"/>
        </w:rPr>
      </w:pPr>
      <w:r w:rsidRPr="009A7163">
        <w:t xml:space="preserve">The </w:t>
      </w:r>
      <w:r w:rsidR="00B2001C" w:rsidRPr="009A7163">
        <w:t xml:space="preserve">payment </w:t>
      </w:r>
      <w:r w:rsidRPr="009A7163">
        <w:t xml:space="preserve">mechanism </w:t>
      </w:r>
      <w:r w:rsidR="00B2001C" w:rsidRPr="009A7163">
        <w:t>is as important as the money paid</w:t>
      </w:r>
      <w:r w:rsidR="00B63C19" w:rsidRPr="009A7163">
        <w:t>,</w:t>
      </w:r>
      <w:r w:rsidR="00B2001C" w:rsidRPr="009A7163">
        <w:t xml:space="preserve"> and so it is important for my research to review whether this mechanism follows the process of empowerment. The decision on how to pay the money was decided by the board of directors and so o</w:t>
      </w:r>
      <w:r w:rsidR="00EF485F" w:rsidRPr="009A7163">
        <w:t>nce the agreement was made to charge the costs of women’s work in the costs of production</w:t>
      </w:r>
      <w:r w:rsidR="00251370" w:rsidRPr="009A7163">
        <w:t>,</w:t>
      </w:r>
      <w:r w:rsidR="00EF485F" w:rsidRPr="009A7163">
        <w:t xml:space="preserve"> the ne</w:t>
      </w:r>
      <w:r w:rsidR="00F16C1B" w:rsidRPr="009A7163">
        <w:t>xt</w:t>
      </w:r>
      <w:r w:rsidR="00EF485F" w:rsidRPr="009A7163">
        <w:t xml:space="preserve"> question was how the extra money should be used and who should receive it. </w:t>
      </w:r>
      <w:r w:rsidR="00B57F17" w:rsidRPr="009A7163">
        <w:t xml:space="preserve">The idea </w:t>
      </w:r>
      <w:r w:rsidR="00B63C19" w:rsidRPr="009A7163">
        <w:t xml:space="preserve">was to </w:t>
      </w:r>
      <w:r w:rsidR="000B1824" w:rsidRPr="009A7163">
        <w:t>channel</w:t>
      </w:r>
      <w:r w:rsidR="00B57F17" w:rsidRPr="009A7163">
        <w:t xml:space="preserve"> the funds </w:t>
      </w:r>
      <w:r w:rsidR="00AA0A7B" w:rsidRPr="009A7163">
        <w:t xml:space="preserve">to </w:t>
      </w:r>
      <w:r w:rsidR="003D7EB1" w:rsidRPr="009A7163">
        <w:t xml:space="preserve">a </w:t>
      </w:r>
      <w:r w:rsidR="00B57F17" w:rsidRPr="009A7163">
        <w:t xml:space="preserve">revolving credit scheme </w:t>
      </w:r>
      <w:r w:rsidR="00B57F17" w:rsidRPr="009A7163">
        <w:lastRenderedPageBreak/>
        <w:t>for women in the community</w:t>
      </w:r>
      <w:r w:rsidR="00B63C19" w:rsidRPr="009A7163">
        <w:t>,</w:t>
      </w:r>
      <w:r w:rsidR="007A0110" w:rsidRPr="009A7163">
        <w:t xml:space="preserve"> </w:t>
      </w:r>
      <w:r w:rsidR="00AA0A7B" w:rsidRPr="009A7163">
        <w:t>which could only be accessed through both individual and collective savings</w:t>
      </w:r>
      <w:r w:rsidR="007A0110" w:rsidRPr="009A7163">
        <w:t xml:space="preserve"> and funds to start small business</w:t>
      </w:r>
      <w:r w:rsidR="00B63C19" w:rsidRPr="009A7163">
        <w:t>es</w:t>
      </w:r>
      <w:r w:rsidR="007A0110" w:rsidRPr="009A7163">
        <w:t xml:space="preserve"> individually and </w:t>
      </w:r>
      <w:r w:rsidR="00251370" w:rsidRPr="009A7163">
        <w:t>collectively</w:t>
      </w:r>
      <w:r w:rsidR="007A0110" w:rsidRPr="009A7163">
        <w:t xml:space="preserve"> (</w:t>
      </w:r>
      <w:r w:rsidR="009B3B0E" w:rsidRPr="009A7163">
        <w:t>s</w:t>
      </w:r>
      <w:r w:rsidR="007A0110" w:rsidRPr="009A7163">
        <w:t>ee section 4.7.1</w:t>
      </w:r>
      <w:r w:rsidR="00921FF9" w:rsidRPr="009A7163">
        <w:t>.</w:t>
      </w:r>
      <w:r w:rsidR="007A0110" w:rsidRPr="009A7163">
        <w:t>4 for details)</w:t>
      </w:r>
      <w:r w:rsidR="00251370" w:rsidRPr="009A7163">
        <w:t xml:space="preserve">. This </w:t>
      </w:r>
      <w:r w:rsidR="00442F79" w:rsidRPr="009A7163">
        <w:t>was decided by the bo</w:t>
      </w:r>
      <w:r w:rsidR="00AA0A7B" w:rsidRPr="009A7163">
        <w:t>ard</w:t>
      </w:r>
      <w:r w:rsidR="00B63C19" w:rsidRPr="009A7163">
        <w:t>,</w:t>
      </w:r>
      <w:r w:rsidR="00AA0A7B" w:rsidRPr="009A7163">
        <w:t xml:space="preserve"> wh</w:t>
      </w:r>
      <w:r w:rsidR="00B63C19" w:rsidRPr="009A7163">
        <w:t>ich</w:t>
      </w:r>
      <w:r w:rsidR="00AA0A7B" w:rsidRPr="009A7163">
        <w:t xml:space="preserve"> believed that </w:t>
      </w:r>
      <w:r w:rsidR="00B63C19" w:rsidRPr="009A7163">
        <w:t xml:space="preserve">change could only be achieved </w:t>
      </w:r>
      <w:r w:rsidR="00AA0A7B" w:rsidRPr="009A7163">
        <w:t>through collective work</w:t>
      </w:r>
      <w:r w:rsidR="007A0110" w:rsidRPr="009A7163">
        <w:t>.</w:t>
      </w:r>
      <w:r w:rsidR="00AA0A7B" w:rsidRPr="009A7163">
        <w:t xml:space="preserve"> </w:t>
      </w:r>
      <w:r w:rsidR="00B61C54" w:rsidRPr="009A7163">
        <w:rPr>
          <w:rFonts w:eastAsia="Times New Roman"/>
          <w:sz w:val="20"/>
          <w:szCs w:val="20"/>
          <w:lang w:eastAsia="en-US"/>
        </w:rPr>
        <w:t xml:space="preserve"> </w:t>
      </w:r>
      <w:r w:rsidR="00B63C19" w:rsidRPr="009A7163">
        <w:rPr>
          <w:lang w:val="en-US"/>
        </w:rPr>
        <w:t xml:space="preserve">A common phrase – </w:t>
      </w:r>
      <w:r w:rsidR="0051540D" w:rsidRPr="009A7163">
        <w:rPr>
          <w:lang w:val="en-US"/>
        </w:rPr>
        <w:t>“</w:t>
      </w:r>
      <w:r w:rsidR="00B63C19" w:rsidRPr="009A7163">
        <w:rPr>
          <w:lang w:val="en-US"/>
        </w:rPr>
        <w:t>T</w:t>
      </w:r>
      <w:r w:rsidR="0051540D" w:rsidRPr="009A7163">
        <w:rPr>
          <w:lang w:val="en-US"/>
        </w:rPr>
        <w:t>ogether we are stronger</w:t>
      </w:r>
      <w:r w:rsidR="00B63C19" w:rsidRPr="009A7163">
        <w:rPr>
          <w:lang w:val="en-US"/>
        </w:rPr>
        <w:t>!</w:t>
      </w:r>
      <w:r w:rsidR="0051540D" w:rsidRPr="009A7163">
        <w:rPr>
          <w:lang w:val="en-US"/>
        </w:rPr>
        <w:t>”</w:t>
      </w:r>
      <w:r w:rsidR="00B63C19" w:rsidRPr="009A7163">
        <w:rPr>
          <w:lang w:val="en-US"/>
        </w:rPr>
        <w:t xml:space="preserve"> –</w:t>
      </w:r>
      <w:r w:rsidR="0051540D" w:rsidRPr="009A7163">
        <w:rPr>
          <w:lang w:val="en-US"/>
        </w:rPr>
        <w:t xml:space="preserve"> was used</w:t>
      </w:r>
      <w:r w:rsidR="002431FE" w:rsidRPr="009A7163">
        <w:rPr>
          <w:lang w:val="en-US"/>
        </w:rPr>
        <w:t xml:space="preserve"> </w:t>
      </w:r>
      <w:r w:rsidR="000910CC" w:rsidRPr="009A7163">
        <w:rPr>
          <w:lang w:val="en-US"/>
        </w:rPr>
        <w:t xml:space="preserve">by </w:t>
      </w:r>
      <w:r w:rsidR="002431FE" w:rsidRPr="009A7163">
        <w:rPr>
          <w:lang w:val="en-US"/>
        </w:rPr>
        <w:t xml:space="preserve">leaders </w:t>
      </w:r>
      <w:r w:rsidR="000910CC" w:rsidRPr="009A7163">
        <w:rPr>
          <w:lang w:val="en-US"/>
        </w:rPr>
        <w:t xml:space="preserve">to justify </w:t>
      </w:r>
      <w:r w:rsidR="002431FE" w:rsidRPr="009A7163">
        <w:rPr>
          <w:lang w:val="en-US"/>
        </w:rPr>
        <w:t xml:space="preserve">why they chose </w:t>
      </w:r>
      <w:r w:rsidR="00B63C19" w:rsidRPr="009A7163">
        <w:rPr>
          <w:lang w:val="en-US"/>
        </w:rPr>
        <w:t xml:space="preserve">a </w:t>
      </w:r>
      <w:r w:rsidR="002431FE" w:rsidRPr="009A7163">
        <w:rPr>
          <w:lang w:val="en-US"/>
        </w:rPr>
        <w:t xml:space="preserve">collective </w:t>
      </w:r>
      <w:r w:rsidR="000910CC" w:rsidRPr="009A7163">
        <w:rPr>
          <w:lang w:val="en-US"/>
        </w:rPr>
        <w:t>payment</w:t>
      </w:r>
      <w:r w:rsidR="00216E85" w:rsidRPr="009A7163">
        <w:rPr>
          <w:lang w:val="en-US"/>
        </w:rPr>
        <w:t xml:space="preserve"> method rather than making </w:t>
      </w:r>
      <w:r w:rsidR="000910CC" w:rsidRPr="009A7163">
        <w:rPr>
          <w:lang w:val="en-US"/>
        </w:rPr>
        <w:t xml:space="preserve">payments to individual women. </w:t>
      </w:r>
      <w:r w:rsidR="0051540D" w:rsidRPr="009A7163">
        <w:rPr>
          <w:lang w:val="en-US"/>
        </w:rPr>
        <w:t>Th</w:t>
      </w:r>
      <w:r w:rsidR="00216E85" w:rsidRPr="009A7163">
        <w:rPr>
          <w:lang w:val="en-US"/>
        </w:rPr>
        <w:t>e popular sayings</w:t>
      </w:r>
      <w:r w:rsidR="00506E47" w:rsidRPr="009A7163">
        <w:rPr>
          <w:lang w:val="en-US"/>
        </w:rPr>
        <w:t xml:space="preserve"> </w:t>
      </w:r>
      <w:r w:rsidR="00B63C19" w:rsidRPr="009A7163">
        <w:rPr>
          <w:lang w:val="en-US"/>
        </w:rPr>
        <w:t>that</w:t>
      </w:r>
      <w:r w:rsidR="00506E47" w:rsidRPr="009A7163">
        <w:rPr>
          <w:lang w:val="en-US"/>
        </w:rPr>
        <w:t xml:space="preserve"> prioritize</w:t>
      </w:r>
      <w:r w:rsidR="000910CC" w:rsidRPr="009A7163">
        <w:rPr>
          <w:lang w:val="en-US"/>
        </w:rPr>
        <w:t xml:space="preserve"> collective work have been </w:t>
      </w:r>
      <w:r w:rsidR="00B61C54" w:rsidRPr="009A7163">
        <w:rPr>
          <w:lang w:val="en-US"/>
        </w:rPr>
        <w:t xml:space="preserve">used in the language of cooperatives in Nicaragua </w:t>
      </w:r>
      <w:r w:rsidR="00872499" w:rsidRPr="009A7163">
        <w:rPr>
          <w:lang w:val="en-US"/>
        </w:rPr>
        <w:t>for a number of decades</w:t>
      </w:r>
      <w:r w:rsidR="00A1074B" w:rsidRPr="009A7163">
        <w:rPr>
          <w:lang w:val="en-US"/>
        </w:rPr>
        <w:t xml:space="preserve"> and encapsulate </w:t>
      </w:r>
      <w:r w:rsidR="005A27F4" w:rsidRPr="009A7163">
        <w:rPr>
          <w:lang w:val="en-US"/>
        </w:rPr>
        <w:t>philosophies</w:t>
      </w:r>
      <w:r w:rsidR="004B4074" w:rsidRPr="009A7163">
        <w:rPr>
          <w:lang w:val="en-US"/>
        </w:rPr>
        <w:t xml:space="preserve"> connected in part to the</w:t>
      </w:r>
      <w:r w:rsidR="00506E47" w:rsidRPr="009A7163">
        <w:rPr>
          <w:lang w:val="en-US"/>
        </w:rPr>
        <w:t xml:space="preserve"> country’s</w:t>
      </w:r>
      <w:r w:rsidR="004B4074" w:rsidRPr="009A7163">
        <w:rPr>
          <w:lang w:val="en-US"/>
        </w:rPr>
        <w:t xml:space="preserve"> history</w:t>
      </w:r>
      <w:r w:rsidR="00F16C1B" w:rsidRPr="009A7163">
        <w:rPr>
          <w:lang w:val="en-US"/>
        </w:rPr>
        <w:t xml:space="preserve">. </w:t>
      </w:r>
      <w:r w:rsidR="00430EBE" w:rsidRPr="009A7163">
        <w:rPr>
          <w:lang w:val="en-US"/>
        </w:rPr>
        <w:t>These types of cooperative principles</w:t>
      </w:r>
      <w:r w:rsidR="00F16C1B" w:rsidRPr="009A7163">
        <w:rPr>
          <w:lang w:val="en-US"/>
        </w:rPr>
        <w:t xml:space="preserve"> </w:t>
      </w:r>
      <w:r w:rsidR="000910CC" w:rsidRPr="009A7163">
        <w:rPr>
          <w:lang w:val="en-US"/>
        </w:rPr>
        <w:t xml:space="preserve">come </w:t>
      </w:r>
      <w:r w:rsidR="0051540D" w:rsidRPr="009A7163">
        <w:rPr>
          <w:lang w:val="en-US"/>
        </w:rPr>
        <w:t>from both ‘</w:t>
      </w:r>
      <w:r w:rsidR="002431FE" w:rsidRPr="009A7163">
        <w:rPr>
          <w:lang w:val="en-US"/>
        </w:rPr>
        <w:t>socialist</w:t>
      </w:r>
      <w:r w:rsidR="0051540D" w:rsidRPr="009A7163">
        <w:rPr>
          <w:lang w:val="en-US"/>
        </w:rPr>
        <w:t xml:space="preserve"> and Sandinista ideology’ </w:t>
      </w:r>
      <w:r w:rsidR="0051540D" w:rsidRPr="009A7163">
        <w:t>(U</w:t>
      </w:r>
      <w:r w:rsidR="002431FE" w:rsidRPr="009A7163">
        <w:t>tting</w:t>
      </w:r>
      <w:r w:rsidR="0051540D" w:rsidRPr="009A7163">
        <w:t xml:space="preserve"> et al</w:t>
      </w:r>
      <w:r w:rsidR="005037B1" w:rsidRPr="009A7163">
        <w:t>.,</w:t>
      </w:r>
      <w:r w:rsidR="00C82153" w:rsidRPr="009A7163">
        <w:t xml:space="preserve"> 2014</w:t>
      </w:r>
      <w:r w:rsidR="0051540D" w:rsidRPr="009A7163">
        <w:t xml:space="preserve"> p.</w:t>
      </w:r>
      <w:r w:rsidR="005037B1" w:rsidRPr="009A7163">
        <w:t xml:space="preserve"> </w:t>
      </w:r>
      <w:r w:rsidR="0051540D" w:rsidRPr="009A7163">
        <w:t>2)</w:t>
      </w:r>
      <w:r w:rsidR="005037B1" w:rsidRPr="009A7163">
        <w:t xml:space="preserve">, </w:t>
      </w:r>
      <w:r w:rsidR="00A1074B" w:rsidRPr="009A7163">
        <w:t>and</w:t>
      </w:r>
      <w:r w:rsidR="00F16C1B" w:rsidRPr="009A7163">
        <w:t xml:space="preserve"> </w:t>
      </w:r>
      <w:r w:rsidR="005037B1" w:rsidRPr="009A7163">
        <w:t xml:space="preserve">they </w:t>
      </w:r>
      <w:r w:rsidR="00F16C1B" w:rsidRPr="009A7163">
        <w:t xml:space="preserve">promote </w:t>
      </w:r>
      <w:r w:rsidR="00E20A87" w:rsidRPr="009A7163">
        <w:t>collective over individual gain.</w:t>
      </w:r>
      <w:r w:rsidR="005037B1" w:rsidRPr="009A7163">
        <w:rPr>
          <w:rStyle w:val="FootnoteReference"/>
          <w:lang w:val="en-US"/>
        </w:rPr>
        <w:footnoteReference w:id="13"/>
      </w:r>
      <w:r w:rsidR="00E20A87" w:rsidRPr="009A7163">
        <w:t xml:space="preserve"> </w:t>
      </w:r>
      <w:r w:rsidR="00CE630E" w:rsidRPr="009A7163">
        <w:t xml:space="preserve">According to </w:t>
      </w:r>
      <w:r w:rsidR="000F3650" w:rsidRPr="009A7163">
        <w:t>Nitlapan-</w:t>
      </w:r>
      <w:r w:rsidR="00CE630E" w:rsidRPr="009A7163">
        <w:t xml:space="preserve">Envio </w:t>
      </w:r>
      <w:r w:rsidR="00A1074B" w:rsidRPr="009A7163">
        <w:t>(1</w:t>
      </w:r>
      <w:r w:rsidR="00CE630E" w:rsidRPr="009A7163">
        <w:t>987)</w:t>
      </w:r>
      <w:r w:rsidR="005037B1" w:rsidRPr="009A7163">
        <w:t>,</w:t>
      </w:r>
      <w:r w:rsidR="00CE630E" w:rsidRPr="009A7163">
        <w:t xml:space="preserve"> the three commandments of being a “good Cristian” in the Sandinista cooperatives were to</w:t>
      </w:r>
      <w:r w:rsidR="005037B1" w:rsidRPr="009A7163">
        <w:t>:</w:t>
      </w:r>
      <w:r w:rsidR="00CE630E" w:rsidRPr="009A7163">
        <w:t xml:space="preserve"> 1) not own private land</w:t>
      </w:r>
      <w:r w:rsidR="005037B1" w:rsidRPr="009A7163">
        <w:t>;</w:t>
      </w:r>
      <w:r w:rsidR="00CE630E" w:rsidRPr="009A7163">
        <w:t xml:space="preserve"> 2) work together or in collective</w:t>
      </w:r>
      <w:r w:rsidR="005037B1" w:rsidRPr="009A7163">
        <w:t>; and</w:t>
      </w:r>
      <w:r w:rsidR="00CE630E" w:rsidRPr="009A7163">
        <w:t xml:space="preserve"> 3) distribute profits </w:t>
      </w:r>
      <w:r w:rsidR="00A1074B" w:rsidRPr="009A7163">
        <w:t>equally despite difference and difficulties.</w:t>
      </w:r>
      <w:r w:rsidR="00754AC1" w:rsidRPr="009A7163">
        <w:t xml:space="preserve"> </w:t>
      </w:r>
    </w:p>
    <w:p w14:paraId="6E1199A1" w14:textId="2852A42C" w:rsidR="00410898" w:rsidRPr="009A7163" w:rsidRDefault="00A1074B" w:rsidP="007A3A29">
      <w:pPr>
        <w:pStyle w:val="NormalWeb"/>
        <w:spacing w:before="0" w:beforeAutospacing="0" w:after="0" w:afterAutospacing="0" w:line="360" w:lineRule="auto"/>
        <w:ind w:firstLine="720"/>
        <w:jc w:val="both"/>
        <w:rPr>
          <w:rFonts w:ascii="TimesNewRomanPSMT" w:hAnsi="TimesNewRomanPSMT" w:cs="TimesNewRomanPSMT"/>
        </w:rPr>
      </w:pPr>
      <w:r w:rsidRPr="009A7163">
        <w:t>Whilst</w:t>
      </w:r>
      <w:r w:rsidR="00F16C1B" w:rsidRPr="009A7163">
        <w:t xml:space="preserve"> the cooperatives have passed through a number of distinct phases</w:t>
      </w:r>
      <w:r w:rsidR="005037B1" w:rsidRPr="009A7163">
        <w:t>,</w:t>
      </w:r>
      <w:r w:rsidR="005037B1" w:rsidRPr="009A7163">
        <w:rPr>
          <w:rStyle w:val="FootnoteReference"/>
        </w:rPr>
        <w:footnoteReference w:id="14"/>
      </w:r>
      <w:r w:rsidR="005037B1" w:rsidRPr="009A7163">
        <w:t xml:space="preserve"> </w:t>
      </w:r>
      <w:r w:rsidR="00F16C1B" w:rsidRPr="009A7163">
        <w:t xml:space="preserve">the ‘social and solidarity’ economy (Utting, 2013) exemplified in cooperatives </w:t>
      </w:r>
      <w:r w:rsidR="004B4074" w:rsidRPr="009A7163">
        <w:t>has</w:t>
      </w:r>
      <w:r w:rsidR="00F16C1B" w:rsidRPr="009A7163">
        <w:t xml:space="preserve"> </w:t>
      </w:r>
      <w:r w:rsidR="005037B1" w:rsidRPr="009A7163">
        <w:t>grown stronger</w:t>
      </w:r>
      <w:r w:rsidR="00735B15" w:rsidRPr="009A7163">
        <w:t xml:space="preserve"> in recent years</w:t>
      </w:r>
      <w:r w:rsidR="00C13F61" w:rsidRPr="009A7163">
        <w:t xml:space="preserve"> in part due to the Fairtrade movement</w:t>
      </w:r>
      <w:r w:rsidR="00F16C1B" w:rsidRPr="009A7163">
        <w:t xml:space="preserve">. </w:t>
      </w:r>
      <w:r w:rsidR="00506E47" w:rsidRPr="009A7163">
        <w:t xml:space="preserve">The cooperatives continue to be a </w:t>
      </w:r>
      <w:r w:rsidR="008F1E03" w:rsidRPr="009A7163">
        <w:t xml:space="preserve">strong </w:t>
      </w:r>
      <w:r w:rsidR="00506E47" w:rsidRPr="009A7163">
        <w:t>part of Nicaraguan economy</w:t>
      </w:r>
      <w:r w:rsidR="00CE4697" w:rsidRPr="009A7163">
        <w:t xml:space="preserve"> with over 5,000 cooperatives</w:t>
      </w:r>
      <w:r w:rsidR="00C24E65" w:rsidRPr="009A7163">
        <w:t xml:space="preserve"> currently registered and forming a strong part of the social economy</w:t>
      </w:r>
      <w:r w:rsidR="005037B1" w:rsidRPr="009A7163">
        <w:t>.</w:t>
      </w:r>
      <w:r w:rsidR="00C24E65" w:rsidRPr="009A7163">
        <w:rPr>
          <w:rStyle w:val="FootnoteReference"/>
        </w:rPr>
        <w:footnoteReference w:id="15"/>
      </w:r>
      <w:r w:rsidR="00506E47" w:rsidRPr="009A7163">
        <w:t xml:space="preserve"> </w:t>
      </w:r>
      <w:r w:rsidR="001A2BDA" w:rsidRPr="009A7163">
        <w:t>However, i</w:t>
      </w:r>
      <w:r w:rsidR="00EC4C6E" w:rsidRPr="009A7163">
        <w:t xml:space="preserve">n one </w:t>
      </w:r>
      <w:r w:rsidR="00EC4C6E" w:rsidRPr="009A7163">
        <w:lastRenderedPageBreak/>
        <w:t>illuminating article</w:t>
      </w:r>
      <w:r w:rsidR="00EA1F46" w:rsidRPr="009A7163">
        <w:t>,</w:t>
      </w:r>
      <w:r w:rsidR="00EC4C6E" w:rsidRPr="009A7163">
        <w:t xml:space="preserve"> authors Rube</w:t>
      </w:r>
      <w:r w:rsidR="00404271" w:rsidRPr="009A7163">
        <w:t>n</w:t>
      </w:r>
      <w:r w:rsidR="0080361A" w:rsidRPr="009A7163">
        <w:t xml:space="preserve"> and</w:t>
      </w:r>
      <w:r w:rsidR="00EC4C6E" w:rsidRPr="009A7163">
        <w:t xml:space="preserve"> Lerman (2005)</w:t>
      </w:r>
      <w:r w:rsidR="00404271" w:rsidRPr="009A7163">
        <w:t xml:space="preserve"> examine w</w:t>
      </w:r>
      <w:r w:rsidR="00186CE9" w:rsidRPr="009A7163">
        <w:t>hy</w:t>
      </w:r>
      <w:r w:rsidR="0080361A" w:rsidRPr="009A7163">
        <w:t xml:space="preserve"> </w:t>
      </w:r>
      <w:r w:rsidR="00186CE9" w:rsidRPr="009A7163">
        <w:t xml:space="preserve">producers </w:t>
      </w:r>
      <w:r w:rsidR="000F3650" w:rsidRPr="009A7163">
        <w:t xml:space="preserve">in Nicaragua </w:t>
      </w:r>
      <w:r w:rsidR="00186CE9" w:rsidRPr="009A7163">
        <w:t>remain</w:t>
      </w:r>
      <w:r w:rsidR="00DF74DE" w:rsidRPr="009A7163">
        <w:t xml:space="preserve"> in cooperatives </w:t>
      </w:r>
      <w:r w:rsidR="00D229D0" w:rsidRPr="009A7163">
        <w:rPr>
          <w:rFonts w:ascii="TimesNewRomanPSMT" w:hAnsi="TimesNewRomanPSMT" w:cs="TimesNewRomanPSMT"/>
        </w:rPr>
        <w:t>in a context of ideological shifts, the disabling policy environmen</w:t>
      </w:r>
      <w:r w:rsidR="000F3650" w:rsidRPr="009A7163">
        <w:rPr>
          <w:rFonts w:ascii="TimesNewRomanPSMT" w:hAnsi="TimesNewRomanPSMT" w:cs="TimesNewRomanPSMT"/>
        </w:rPr>
        <w:t>t</w:t>
      </w:r>
      <w:r w:rsidR="00D229D0" w:rsidRPr="009A7163">
        <w:rPr>
          <w:rFonts w:ascii="TimesNewRomanPSMT" w:hAnsi="TimesNewRomanPSMT" w:cs="TimesNewRomanPSMT"/>
        </w:rPr>
        <w:t xml:space="preserve"> and direct </w:t>
      </w:r>
      <w:r w:rsidR="004D78B6" w:rsidRPr="009A7163">
        <w:rPr>
          <w:rFonts w:ascii="TimesNewRomanPSMT" w:hAnsi="TimesNewRomanPSMT" w:cs="TimesNewRomanPSMT"/>
        </w:rPr>
        <w:t>threats to land and human life</w:t>
      </w:r>
      <w:r w:rsidR="000F3650" w:rsidRPr="009A7163">
        <w:rPr>
          <w:rFonts w:ascii="TimesNewRomanPSMT" w:hAnsi="TimesNewRomanPSMT" w:cs="TimesNewRomanPSMT"/>
        </w:rPr>
        <w:t>.</w:t>
      </w:r>
      <w:r w:rsidR="00404271" w:rsidRPr="009A7163">
        <w:rPr>
          <w:rFonts w:ascii="TimesNewRomanPSMT" w:hAnsi="TimesNewRomanPSMT" w:cs="TimesNewRomanPSMT"/>
        </w:rPr>
        <w:t xml:space="preserve"> W</w:t>
      </w:r>
      <w:r w:rsidR="004D78B6" w:rsidRPr="009A7163">
        <w:rPr>
          <w:rFonts w:ascii="TimesNewRomanPSMT" w:hAnsi="TimesNewRomanPSMT" w:cs="TimesNewRomanPSMT"/>
        </w:rPr>
        <w:t xml:space="preserve">hilst the study reveals no </w:t>
      </w:r>
      <w:r w:rsidR="00764F69" w:rsidRPr="009A7163">
        <w:rPr>
          <w:rFonts w:ascii="TimesNewRomanPSMT" w:hAnsi="TimesNewRomanPSMT" w:cs="TimesNewRomanPSMT"/>
        </w:rPr>
        <w:t>clear-cut</w:t>
      </w:r>
      <w:r w:rsidR="004D78B6" w:rsidRPr="009A7163">
        <w:rPr>
          <w:rFonts w:ascii="TimesNewRomanPSMT" w:hAnsi="TimesNewRomanPSMT" w:cs="TimesNewRomanPSMT"/>
        </w:rPr>
        <w:t xml:space="preserve"> reasons, some of the </w:t>
      </w:r>
      <w:r w:rsidR="00C13F61" w:rsidRPr="009A7163">
        <w:rPr>
          <w:rFonts w:ascii="TimesNewRomanPSMT" w:hAnsi="TimesNewRomanPSMT" w:cs="TimesNewRomanPSMT"/>
        </w:rPr>
        <w:t xml:space="preserve">primary </w:t>
      </w:r>
      <w:r w:rsidR="004D78B6" w:rsidRPr="009A7163">
        <w:rPr>
          <w:rFonts w:ascii="TimesNewRomanPSMT" w:hAnsi="TimesNewRomanPSMT" w:cs="TimesNewRomanPSMT"/>
        </w:rPr>
        <w:t>reasons</w:t>
      </w:r>
      <w:r w:rsidR="0080361A" w:rsidRPr="009A7163">
        <w:rPr>
          <w:rFonts w:ascii="TimesNewRomanPSMT" w:hAnsi="TimesNewRomanPSMT" w:cs="TimesNewRomanPSMT"/>
        </w:rPr>
        <w:t xml:space="preserve"> include</w:t>
      </w:r>
      <w:r w:rsidR="004D78B6" w:rsidRPr="009A7163">
        <w:rPr>
          <w:rFonts w:ascii="TimesNewRomanPSMT" w:hAnsi="TimesNewRomanPSMT" w:cs="TimesNewRomanPSMT"/>
        </w:rPr>
        <w:t xml:space="preserve"> access to </w:t>
      </w:r>
      <w:r w:rsidR="00E62DF7" w:rsidRPr="009A7163">
        <w:rPr>
          <w:rFonts w:ascii="TimesNewRomanPSMT" w:hAnsi="TimesNewRomanPSMT" w:cs="TimesNewRomanPSMT"/>
        </w:rPr>
        <w:t>cooperative</w:t>
      </w:r>
      <w:r w:rsidR="004D78B6" w:rsidRPr="009A7163">
        <w:rPr>
          <w:rFonts w:ascii="TimesNewRomanPSMT" w:hAnsi="TimesNewRomanPSMT" w:cs="TimesNewRomanPSMT"/>
        </w:rPr>
        <w:t xml:space="preserve"> services, social capital, participation in social networks and </w:t>
      </w:r>
      <w:r w:rsidR="00186CE9" w:rsidRPr="009A7163">
        <w:rPr>
          <w:rFonts w:ascii="TimesNewRomanPSMT" w:hAnsi="TimesNewRomanPSMT" w:cs="TimesNewRomanPSMT"/>
        </w:rPr>
        <w:t>likening</w:t>
      </w:r>
      <w:r w:rsidR="004D78B6" w:rsidRPr="009A7163">
        <w:rPr>
          <w:rFonts w:ascii="TimesNewRomanPSMT" w:hAnsi="TimesNewRomanPSMT" w:cs="TimesNewRomanPSMT"/>
        </w:rPr>
        <w:t xml:space="preserve"> to work with others</w:t>
      </w:r>
      <w:r w:rsidR="00764F69" w:rsidRPr="009A7163">
        <w:rPr>
          <w:rFonts w:ascii="TimesNewRomanPSMT" w:hAnsi="TimesNewRomanPSMT" w:cs="TimesNewRomanPSMT"/>
        </w:rPr>
        <w:t xml:space="preserve">. </w:t>
      </w:r>
      <w:r w:rsidR="00EC4C6E" w:rsidRPr="009A7163">
        <w:rPr>
          <w:rFonts w:ascii="TimesNewRomanPSMT" w:hAnsi="TimesNewRomanPSMT" w:cs="TimesNewRomanPSMT"/>
        </w:rPr>
        <w:t>In this context,</w:t>
      </w:r>
      <w:r w:rsidR="0094596F" w:rsidRPr="009A7163">
        <w:rPr>
          <w:rFonts w:ascii="TimesNewRomanPSMT" w:hAnsi="TimesNewRomanPSMT" w:cs="TimesNewRomanPSMT"/>
        </w:rPr>
        <w:t xml:space="preserve"> it is </w:t>
      </w:r>
      <w:r w:rsidR="00D75031" w:rsidRPr="009A7163">
        <w:rPr>
          <w:rFonts w:ascii="TimesNewRomanPSMT" w:hAnsi="TimesNewRomanPSMT" w:cs="TimesNewRomanPSMT"/>
        </w:rPr>
        <w:t>easy to understand the logic of a collective fund over individual payments</w:t>
      </w:r>
      <w:r w:rsidR="005A27F4" w:rsidRPr="009A7163">
        <w:rPr>
          <w:rFonts w:ascii="TimesNewRomanPSMT" w:hAnsi="TimesNewRomanPSMT" w:cs="TimesNewRomanPSMT"/>
        </w:rPr>
        <w:t xml:space="preserve"> and prioritising </w:t>
      </w:r>
      <w:r w:rsidR="00C24E65" w:rsidRPr="009A7163">
        <w:rPr>
          <w:rFonts w:ascii="TimesNewRomanPSMT" w:hAnsi="TimesNewRomanPSMT" w:cs="TimesNewRomanPSMT"/>
        </w:rPr>
        <w:t>organizing groups</w:t>
      </w:r>
      <w:r w:rsidR="00D75031" w:rsidRPr="009A7163">
        <w:rPr>
          <w:rFonts w:ascii="TimesNewRomanPSMT" w:hAnsi="TimesNewRomanPSMT" w:cs="TimesNewRomanPSMT"/>
        </w:rPr>
        <w:t xml:space="preserve">. </w:t>
      </w:r>
    </w:p>
    <w:p w14:paraId="3D289685" w14:textId="036B5C69" w:rsidR="00F751CF" w:rsidRPr="00663534" w:rsidRDefault="00430EBE" w:rsidP="007A3A29">
      <w:pPr>
        <w:pStyle w:val="NormalWeb"/>
        <w:spacing w:before="0" w:beforeAutospacing="0" w:after="0" w:afterAutospacing="0" w:line="360" w:lineRule="auto"/>
        <w:ind w:firstLine="720"/>
        <w:jc w:val="both"/>
      </w:pPr>
      <w:r w:rsidRPr="009A7163">
        <w:rPr>
          <w:rFonts w:ascii="TimesNewRomanPSMT" w:hAnsi="TimesNewRomanPSMT" w:cs="TimesNewRomanPSMT"/>
        </w:rPr>
        <w:t>However, whilst</w:t>
      </w:r>
      <w:r w:rsidR="00EA1F46" w:rsidRPr="009A7163">
        <w:rPr>
          <w:rFonts w:ascii="TimesNewRomanPSMT" w:hAnsi="TimesNewRomanPSMT" w:cs="TimesNewRomanPSMT"/>
        </w:rPr>
        <w:t xml:space="preserve"> the context demonstrates a clear argument for the collective action</w:t>
      </w:r>
      <w:r w:rsidR="005F6C74" w:rsidRPr="009A7163">
        <w:rPr>
          <w:rFonts w:ascii="TimesNewRomanPSMT" w:hAnsi="TimesNewRomanPSMT" w:cs="TimesNewRomanPSMT"/>
        </w:rPr>
        <w:t xml:space="preserve"> in particular to resources</w:t>
      </w:r>
      <w:r w:rsidR="00404271" w:rsidRPr="009A7163">
        <w:rPr>
          <w:rFonts w:ascii="TimesNewRomanPSMT" w:hAnsi="TimesNewRomanPSMT" w:cs="TimesNewRomanPSMT"/>
        </w:rPr>
        <w:t xml:space="preserve"> </w:t>
      </w:r>
      <w:r w:rsidR="006B0BC9" w:rsidRPr="009A7163">
        <w:rPr>
          <w:rFonts w:ascii="TimesNewRomanPSMT" w:hAnsi="TimesNewRomanPSMT" w:cs="TimesNewRomanPSMT"/>
        </w:rPr>
        <w:t>(</w:t>
      </w:r>
      <w:r w:rsidR="00404271" w:rsidRPr="009A7163">
        <w:rPr>
          <w:rFonts w:ascii="TimesNewRomanPSMT" w:hAnsi="TimesNewRomanPSMT" w:cs="TimesNewRomanPSMT"/>
        </w:rPr>
        <w:t>such as access to credit</w:t>
      </w:r>
      <w:r w:rsidR="006B0BC9" w:rsidRPr="009A7163">
        <w:rPr>
          <w:rFonts w:ascii="TimesNewRomanPSMT" w:hAnsi="TimesNewRomanPSMT" w:cs="TimesNewRomanPSMT"/>
        </w:rPr>
        <w:t>)</w:t>
      </w:r>
      <w:r w:rsidR="0080361A" w:rsidRPr="009A7163">
        <w:rPr>
          <w:rFonts w:ascii="TimesNewRomanPSMT" w:hAnsi="TimesNewRomanPSMT" w:cs="TimesNewRomanPSMT"/>
        </w:rPr>
        <w:t>,</w:t>
      </w:r>
      <w:r w:rsidR="00EA1F46" w:rsidRPr="009A7163">
        <w:rPr>
          <w:rFonts w:ascii="TimesNewRomanPSMT" w:hAnsi="TimesNewRomanPSMT" w:cs="TimesNewRomanPSMT"/>
        </w:rPr>
        <w:t xml:space="preserve"> </w:t>
      </w:r>
      <w:r w:rsidR="00D75031" w:rsidRPr="009A7163">
        <w:rPr>
          <w:rFonts w:ascii="TimesNewRomanPSMT" w:hAnsi="TimesNewRomanPSMT" w:cs="TimesNewRomanPSMT"/>
        </w:rPr>
        <w:t xml:space="preserve">it is important to add that the </w:t>
      </w:r>
      <w:r w:rsidR="00AA0A7B" w:rsidRPr="009A7163">
        <w:t>women</w:t>
      </w:r>
      <w:r w:rsidR="00E04526" w:rsidRPr="009A7163">
        <w:t>,</w:t>
      </w:r>
      <w:r w:rsidR="00AA0A7B" w:rsidRPr="009A7163">
        <w:t xml:space="preserve"> whose work was </w:t>
      </w:r>
      <w:r w:rsidR="00704480" w:rsidRPr="009A7163">
        <w:t>recognised</w:t>
      </w:r>
      <w:r w:rsidR="00AA0A7B" w:rsidRPr="009A7163">
        <w:t xml:space="preserve"> through this scheme</w:t>
      </w:r>
      <w:r w:rsidR="00E04526" w:rsidRPr="009A7163">
        <w:t>,</w:t>
      </w:r>
      <w:r w:rsidR="00AA0A7B" w:rsidRPr="009A7163">
        <w:t xml:space="preserve"> </w:t>
      </w:r>
      <w:r w:rsidR="00034564" w:rsidRPr="009A7163">
        <w:t xml:space="preserve">were not </w:t>
      </w:r>
      <w:r w:rsidR="00AA0A7B" w:rsidRPr="009A7163">
        <w:t>involved in the design and ha</w:t>
      </w:r>
      <w:r w:rsidR="00EA013D" w:rsidRPr="009A7163">
        <w:t>d</w:t>
      </w:r>
      <w:r w:rsidR="00AA0A7B" w:rsidRPr="009A7163">
        <w:t xml:space="preserve"> no decision-making power </w:t>
      </w:r>
      <w:r w:rsidR="0080361A" w:rsidRPr="009A7163">
        <w:t>over</w:t>
      </w:r>
      <w:r w:rsidR="00AA0A7B" w:rsidRPr="009A7163">
        <w:t xml:space="preserve"> how the credit is offered or the terms and conditions. </w:t>
      </w:r>
      <w:r w:rsidR="00AF4190" w:rsidRPr="009A7163">
        <w:t>Furthermore, i</w:t>
      </w:r>
      <w:r w:rsidR="00B56DBA" w:rsidRPr="009A7163">
        <w:t>n order to access the mone</w:t>
      </w:r>
      <w:r w:rsidR="0038695F" w:rsidRPr="009A7163">
        <w:t>y for the recognition of the work</w:t>
      </w:r>
      <w:r w:rsidR="00B56DBA" w:rsidRPr="009A7163">
        <w:t xml:space="preserve">, the women have to </w:t>
      </w:r>
      <w:r w:rsidR="00AF4190" w:rsidRPr="009A7163">
        <w:t xml:space="preserve">undertake further work to receive </w:t>
      </w:r>
      <w:r w:rsidR="00EA7635" w:rsidRPr="009A7163">
        <w:t>the</w:t>
      </w:r>
      <w:r w:rsidR="00AF4190" w:rsidRPr="009A7163">
        <w:t xml:space="preserve"> token payment </w:t>
      </w:r>
      <w:r w:rsidR="0080361A" w:rsidRPr="009A7163">
        <w:t>that recognises</w:t>
      </w:r>
      <w:r w:rsidR="000B1824" w:rsidRPr="009A7163">
        <w:t xml:space="preserve"> their unpaid work.</w:t>
      </w:r>
      <w:r w:rsidR="00254EE2" w:rsidRPr="009A7163">
        <w:t xml:space="preserve"> </w:t>
      </w:r>
      <w:r w:rsidR="00E13D5B" w:rsidRPr="009A7163">
        <w:t>Additionally</w:t>
      </w:r>
      <w:r w:rsidR="00704480" w:rsidRPr="009A7163">
        <w:t>, t</w:t>
      </w:r>
      <w:r w:rsidR="00AA0A7B" w:rsidRPr="009A7163">
        <w:t xml:space="preserve">he decision to </w:t>
      </w:r>
      <w:r w:rsidR="003D7EB1" w:rsidRPr="009A7163">
        <w:t>use</w:t>
      </w:r>
      <w:r w:rsidR="00AA0A7B" w:rsidRPr="009A7163">
        <w:t xml:space="preserve"> the funds for a revolving credit f</w:t>
      </w:r>
      <w:r w:rsidR="00705D56" w:rsidRPr="009A7163">
        <w:t>und</w:t>
      </w:r>
      <w:r w:rsidR="00D75031" w:rsidRPr="009A7163">
        <w:t xml:space="preserve"> </w:t>
      </w:r>
      <w:r w:rsidR="000B1824" w:rsidRPr="009A7163">
        <w:t>i</w:t>
      </w:r>
      <w:r w:rsidR="00705D56" w:rsidRPr="009A7163">
        <w:t xml:space="preserve">s likely to </w:t>
      </w:r>
      <w:r w:rsidR="000B1824" w:rsidRPr="009A7163">
        <w:t xml:space="preserve">have been </w:t>
      </w:r>
      <w:r w:rsidR="00705D56" w:rsidRPr="009A7163">
        <w:t>influenced by the plethora of microfinance projects</w:t>
      </w:r>
      <w:r w:rsidR="00034564" w:rsidRPr="009A7163">
        <w:t xml:space="preserve"> in </w:t>
      </w:r>
      <w:r w:rsidR="00034564" w:rsidRPr="00663534">
        <w:t>rural areas</w:t>
      </w:r>
      <w:r w:rsidR="00705D56" w:rsidRPr="00663534">
        <w:t xml:space="preserve"> </w:t>
      </w:r>
      <w:r w:rsidR="0080361A" w:rsidRPr="00663534">
        <w:t>that</w:t>
      </w:r>
      <w:r w:rsidR="00705D56" w:rsidRPr="00663534">
        <w:t xml:space="preserve"> have expanded </w:t>
      </w:r>
      <w:r w:rsidR="00B11288" w:rsidRPr="00663534">
        <w:t>rapidly</w:t>
      </w:r>
      <w:r w:rsidR="00705D56" w:rsidRPr="00663534">
        <w:t xml:space="preserve"> in Nicaragua</w:t>
      </w:r>
      <w:r w:rsidR="000B1824" w:rsidRPr="00663534">
        <w:t xml:space="preserve"> in the last decade</w:t>
      </w:r>
      <w:r w:rsidR="00705D56" w:rsidRPr="00663534">
        <w:t xml:space="preserve"> (Blijenstein et al</w:t>
      </w:r>
      <w:r w:rsidR="0080361A" w:rsidRPr="00663534">
        <w:t>.</w:t>
      </w:r>
      <w:r w:rsidR="00705D56" w:rsidRPr="00663534">
        <w:t>, 2002)</w:t>
      </w:r>
      <w:r w:rsidR="00C2470B" w:rsidRPr="00663534">
        <w:t xml:space="preserve"> and</w:t>
      </w:r>
      <w:r w:rsidR="0080361A" w:rsidRPr="00663534">
        <w:t xml:space="preserve"> were </w:t>
      </w:r>
      <w:r w:rsidR="00994539" w:rsidRPr="00663534">
        <w:t>experiencing a boom</w:t>
      </w:r>
      <w:r w:rsidR="0080361A" w:rsidRPr="00663534">
        <w:t xml:space="preserve"> </w:t>
      </w:r>
      <w:r w:rsidR="00EE5C62" w:rsidRPr="00663534">
        <w:t>at the time the</w:t>
      </w:r>
      <w:r w:rsidR="001A2B40" w:rsidRPr="00663534">
        <w:t xml:space="preserve"> </w:t>
      </w:r>
      <w:r w:rsidR="00AF4190" w:rsidRPr="00663534">
        <w:t>initiative</w:t>
      </w:r>
      <w:r w:rsidR="001A2B40" w:rsidRPr="00663534">
        <w:t xml:space="preserve"> </w:t>
      </w:r>
      <w:r w:rsidR="00EE5C62" w:rsidRPr="00663534">
        <w:t>was conceived</w:t>
      </w:r>
      <w:r w:rsidR="00705D56" w:rsidRPr="00663534">
        <w:t>.</w:t>
      </w:r>
      <w:r w:rsidR="0080361A" w:rsidRPr="00663534">
        <w:rPr>
          <w:rStyle w:val="FootnoteReference"/>
        </w:rPr>
        <w:footnoteReference w:id="16"/>
      </w:r>
    </w:p>
    <w:p w14:paraId="404EA095" w14:textId="620370E7" w:rsidR="00AD2177" w:rsidRPr="00663534" w:rsidRDefault="00A85D48" w:rsidP="007A3A29">
      <w:pPr>
        <w:pStyle w:val="NormalWeb"/>
        <w:spacing w:before="0" w:beforeAutospacing="0" w:after="0" w:afterAutospacing="0" w:line="360" w:lineRule="auto"/>
        <w:ind w:firstLine="720"/>
        <w:jc w:val="both"/>
      </w:pPr>
      <w:r w:rsidRPr="00663534">
        <w:t>Typically,</w:t>
      </w:r>
      <w:r w:rsidR="00EE5C62" w:rsidRPr="00663534">
        <w:t xml:space="preserve"> t</w:t>
      </w:r>
      <w:r w:rsidR="00705D56" w:rsidRPr="00663534">
        <w:t>he main recipients</w:t>
      </w:r>
      <w:r w:rsidR="00034564" w:rsidRPr="00663534">
        <w:t xml:space="preserve"> of</w:t>
      </w:r>
      <w:r w:rsidR="00EE5C62" w:rsidRPr="00663534">
        <w:t xml:space="preserve"> </w:t>
      </w:r>
      <w:r w:rsidR="00034564" w:rsidRPr="00663534">
        <w:t>micro</w:t>
      </w:r>
      <w:r w:rsidR="00705D56" w:rsidRPr="00663534">
        <w:t xml:space="preserve">credit </w:t>
      </w:r>
      <w:r w:rsidR="00034564" w:rsidRPr="00663534">
        <w:t xml:space="preserve">in Nicaragua </w:t>
      </w:r>
      <w:r w:rsidR="00705D56" w:rsidRPr="00663534">
        <w:t>have been women</w:t>
      </w:r>
      <w:r w:rsidR="0080361A" w:rsidRPr="00663534">
        <w:t>,</w:t>
      </w:r>
      <w:r w:rsidR="00705D56" w:rsidRPr="00663534">
        <w:t xml:space="preserve"> and the promotion of </w:t>
      </w:r>
      <w:r w:rsidR="00456128" w:rsidRPr="00663534">
        <w:t>self-employment (and microenterprise development) has become the preval</w:t>
      </w:r>
      <w:r w:rsidR="00705D56" w:rsidRPr="00663534">
        <w:t xml:space="preserve">ent model in aiding poor women </w:t>
      </w:r>
      <w:r w:rsidR="00456128" w:rsidRPr="00663534">
        <w:t xml:space="preserve">(Poster </w:t>
      </w:r>
      <w:r w:rsidR="0080361A" w:rsidRPr="00663534">
        <w:t>and</w:t>
      </w:r>
      <w:r w:rsidR="00456128" w:rsidRPr="00663534">
        <w:t xml:space="preserve"> Salime, 2002). </w:t>
      </w:r>
      <w:r w:rsidR="00034564" w:rsidRPr="00663534">
        <w:t xml:space="preserve">Much has been written about microfinance and </w:t>
      </w:r>
      <w:r w:rsidR="0080361A" w:rsidRPr="00663534">
        <w:t>WEE</w:t>
      </w:r>
      <w:r w:rsidR="00034564" w:rsidRPr="00663534">
        <w:t xml:space="preserve"> and </w:t>
      </w:r>
      <w:r w:rsidR="00994539" w:rsidRPr="00663534">
        <w:t>whether it leads to empowerment</w:t>
      </w:r>
      <w:r w:rsidR="00D75031" w:rsidRPr="00663534">
        <w:t xml:space="preserve"> (</w:t>
      </w:r>
      <w:r w:rsidR="0080361A" w:rsidRPr="00663534">
        <w:t>s</w:t>
      </w:r>
      <w:r w:rsidR="000F693F" w:rsidRPr="00663534">
        <w:t>ee section 2.3</w:t>
      </w:r>
      <w:r w:rsidR="00D75031" w:rsidRPr="00663534">
        <w:t>)</w:t>
      </w:r>
      <w:r w:rsidR="00994539" w:rsidRPr="00663534">
        <w:t>. Bradshaw</w:t>
      </w:r>
      <w:r w:rsidR="003B4751" w:rsidRPr="00663534">
        <w:t xml:space="preserve"> (2013)</w:t>
      </w:r>
      <w:r w:rsidR="00994539" w:rsidRPr="00663534">
        <w:t xml:space="preserve"> </w:t>
      </w:r>
      <w:r w:rsidR="000B1824" w:rsidRPr="00663534">
        <w:t>state</w:t>
      </w:r>
      <w:r w:rsidR="003D3676" w:rsidRPr="00663534">
        <w:t>d</w:t>
      </w:r>
      <w:r w:rsidR="00994539" w:rsidRPr="00663534">
        <w:t xml:space="preserve">: </w:t>
      </w:r>
      <w:r w:rsidR="0080361A" w:rsidRPr="00663534">
        <w:t>‘</w:t>
      </w:r>
      <w:r w:rsidR="00843033" w:rsidRPr="00663534">
        <w:t>A focus on income generation alone suggests economic inequality to be the cause of wider inequalities rather than a symptom of unequal power relations inside and outside the home, and this is a view increasingly being questioned even by some mainstream economists</w:t>
      </w:r>
      <w:r w:rsidR="0080361A" w:rsidRPr="00663534">
        <w:t>’</w:t>
      </w:r>
      <w:r w:rsidR="00843033" w:rsidRPr="00663534">
        <w:t xml:space="preserve"> (</w:t>
      </w:r>
      <w:r w:rsidR="003B4751" w:rsidRPr="00663534">
        <w:t>p.</w:t>
      </w:r>
      <w:r w:rsidR="0080361A" w:rsidRPr="00663534">
        <w:t xml:space="preserve"> </w:t>
      </w:r>
      <w:r w:rsidR="003B4751" w:rsidRPr="00663534">
        <w:t>82</w:t>
      </w:r>
      <w:r w:rsidR="00843033" w:rsidRPr="00663534">
        <w:t>)</w:t>
      </w:r>
      <w:r w:rsidR="00B11288" w:rsidRPr="00663534">
        <w:t>.</w:t>
      </w:r>
      <w:r w:rsidR="00495B17" w:rsidRPr="00663534">
        <w:t xml:space="preserve"> </w:t>
      </w:r>
      <w:r w:rsidR="00AD2177" w:rsidRPr="00663534">
        <w:t>Th</w:t>
      </w:r>
      <w:r w:rsidR="00F751CF" w:rsidRPr="00663534">
        <w:t>e question of</w:t>
      </w:r>
      <w:r w:rsidR="00AD2177" w:rsidRPr="00663534">
        <w:t xml:space="preserve"> income generation and its relation to wider inequalities and power relations is important for</w:t>
      </w:r>
      <w:r w:rsidR="00A17A9D" w:rsidRPr="00663534">
        <w:t xml:space="preserve"> my research since the initiative </w:t>
      </w:r>
      <w:r w:rsidR="00AD2177" w:rsidRPr="00663534">
        <w:t>principal</w:t>
      </w:r>
      <w:r w:rsidR="00A4173E" w:rsidRPr="00663534">
        <w:t>ly focuses on income generation.</w:t>
      </w:r>
    </w:p>
    <w:p w14:paraId="7A33608E" w14:textId="4B4E0E9D" w:rsidR="00915FE8" w:rsidRPr="00663534" w:rsidRDefault="001A140D" w:rsidP="007A3A29">
      <w:pPr>
        <w:spacing w:line="360" w:lineRule="auto"/>
        <w:ind w:firstLine="720"/>
        <w:jc w:val="both"/>
      </w:pPr>
      <w:r w:rsidRPr="00663534">
        <w:t>At the start</w:t>
      </w:r>
      <w:r w:rsidR="0080361A" w:rsidRPr="00663534">
        <w:t>,</w:t>
      </w:r>
      <w:r w:rsidR="00DF111D" w:rsidRPr="00663534">
        <w:t xml:space="preserve"> t</w:t>
      </w:r>
      <w:r w:rsidR="00710A30" w:rsidRPr="00663534">
        <w:t xml:space="preserve">he pricing initiative piloted </w:t>
      </w:r>
      <w:r w:rsidR="00495B17" w:rsidRPr="00663534">
        <w:t xml:space="preserve">by BSI </w:t>
      </w:r>
      <w:r w:rsidR="003E66BD" w:rsidRPr="00663534">
        <w:t>and led by CJPS had no fo</w:t>
      </w:r>
      <w:r w:rsidR="005A27F4" w:rsidRPr="00663534">
        <w:t xml:space="preserve">rmal documentation stating </w:t>
      </w:r>
      <w:r w:rsidR="00F751CF" w:rsidRPr="00663534">
        <w:t xml:space="preserve">its </w:t>
      </w:r>
      <w:r w:rsidR="003E66BD" w:rsidRPr="00663534">
        <w:t>obj</w:t>
      </w:r>
      <w:r w:rsidR="005A27F4" w:rsidRPr="00663534">
        <w:t>ectives and outputs</w:t>
      </w:r>
      <w:r w:rsidR="00A4173E" w:rsidRPr="00663534">
        <w:t xml:space="preserve">. The only agreed </w:t>
      </w:r>
      <w:r w:rsidR="003E66BD" w:rsidRPr="00663534">
        <w:t xml:space="preserve">objective was to create a revolving credit fund for individual and collective savings </w:t>
      </w:r>
      <w:r w:rsidR="00A4173E" w:rsidRPr="00663534">
        <w:t>and businesses</w:t>
      </w:r>
      <w:r w:rsidR="0080361A" w:rsidRPr="00663534">
        <w:t>,</w:t>
      </w:r>
      <w:r w:rsidR="00A4173E" w:rsidRPr="00663534">
        <w:t xml:space="preserve"> and that the latter (e.g.</w:t>
      </w:r>
      <w:r w:rsidR="009B3B0E" w:rsidRPr="00663534">
        <w:t>,</w:t>
      </w:r>
      <w:r w:rsidR="00A4173E" w:rsidRPr="00663534">
        <w:t xml:space="preserve"> collective work) </w:t>
      </w:r>
      <w:r w:rsidR="003E66BD" w:rsidRPr="00663534">
        <w:t>was obligatory. No specific claims were made about what the fund would achieve</w:t>
      </w:r>
      <w:r w:rsidR="0080361A" w:rsidRPr="00663534">
        <w:t>,</w:t>
      </w:r>
      <w:r w:rsidR="003E66BD" w:rsidRPr="00663534">
        <w:t xml:space="preserve"> but the assumption was that it would lead to </w:t>
      </w:r>
      <w:r w:rsidR="003E66BD" w:rsidRPr="00663534">
        <w:lastRenderedPageBreak/>
        <w:t>individual and collective economic empowerment.</w:t>
      </w:r>
      <w:r w:rsidR="00665354" w:rsidRPr="00663534">
        <w:t xml:space="preserve"> There </w:t>
      </w:r>
      <w:r w:rsidR="00A4173E" w:rsidRPr="00663534">
        <w:t xml:space="preserve">is no evidence of any </w:t>
      </w:r>
      <w:r w:rsidR="00665354" w:rsidRPr="00663534">
        <w:t>critical analys</w:t>
      </w:r>
      <w:r w:rsidR="00A4173E" w:rsidRPr="00663534">
        <w:t xml:space="preserve">is </w:t>
      </w:r>
      <w:r w:rsidR="005A27F4" w:rsidRPr="00663534">
        <w:t>of</w:t>
      </w:r>
      <w:r w:rsidR="00665354" w:rsidRPr="00663534">
        <w:t xml:space="preserve"> the mechanism of the fund</w:t>
      </w:r>
      <w:r w:rsidR="005A27F4" w:rsidRPr="00663534">
        <w:t xml:space="preserve">, </w:t>
      </w:r>
      <w:r w:rsidR="00F751CF" w:rsidRPr="00663534">
        <w:t xml:space="preserve">nor </w:t>
      </w:r>
      <w:r w:rsidR="00665354" w:rsidRPr="00663534">
        <w:t xml:space="preserve">the degree </w:t>
      </w:r>
      <w:r w:rsidR="00A4173E" w:rsidRPr="00663534">
        <w:t xml:space="preserve">to which it </w:t>
      </w:r>
      <w:r w:rsidR="00665354" w:rsidRPr="00663534">
        <w:t xml:space="preserve">could achieve individual and collective economic empowerment for the women beneficiaries or the potential unintended impacts of </w:t>
      </w:r>
      <w:r w:rsidR="00A17A9D" w:rsidRPr="00663534">
        <w:t xml:space="preserve">the </w:t>
      </w:r>
      <w:r w:rsidR="00A4173E" w:rsidRPr="00663534">
        <w:t>initiative</w:t>
      </w:r>
      <w:r w:rsidR="00A17A9D" w:rsidRPr="00663534">
        <w:t xml:space="preserve">. </w:t>
      </w:r>
      <w:r w:rsidR="00495B17" w:rsidRPr="00663534">
        <w:t>It was only in 2013</w:t>
      </w:r>
      <w:r w:rsidR="008459D3" w:rsidRPr="00663534">
        <w:t xml:space="preserve"> (five years after its inception)</w:t>
      </w:r>
      <w:r w:rsidR="005A27F4" w:rsidRPr="00663534">
        <w:t xml:space="preserve">, </w:t>
      </w:r>
      <w:r w:rsidR="00495B17" w:rsidRPr="00663534">
        <w:t xml:space="preserve">prompted by </w:t>
      </w:r>
      <w:r w:rsidR="00424BA0" w:rsidRPr="00663534">
        <w:t xml:space="preserve">external </w:t>
      </w:r>
      <w:r w:rsidR="00495B17" w:rsidRPr="00663534">
        <w:t xml:space="preserve">interest </w:t>
      </w:r>
      <w:r w:rsidR="00424BA0" w:rsidRPr="00663534">
        <w:t>in the pricing initiative</w:t>
      </w:r>
      <w:r w:rsidR="00F751CF" w:rsidRPr="00663534">
        <w:t xml:space="preserve"> and my doctoral research</w:t>
      </w:r>
      <w:r w:rsidR="005A27F4" w:rsidRPr="00663534">
        <w:t xml:space="preserve">, </w:t>
      </w:r>
      <w:r w:rsidR="00495B17" w:rsidRPr="00663534">
        <w:t>that the cooperative</w:t>
      </w:r>
      <w:r w:rsidR="00424BA0" w:rsidRPr="00663534">
        <w:t xml:space="preserve"> decided to write</w:t>
      </w:r>
      <w:r w:rsidR="00495B17" w:rsidRPr="00663534">
        <w:t xml:space="preserve"> a docu</w:t>
      </w:r>
      <w:r w:rsidR="003E66BD" w:rsidRPr="00663534">
        <w:t xml:space="preserve">ment to lay out the objectives in a meeting </w:t>
      </w:r>
      <w:r w:rsidR="006B0BC9" w:rsidRPr="00663534">
        <w:t xml:space="preserve">to </w:t>
      </w:r>
      <w:r w:rsidR="003E66BD" w:rsidRPr="00663534">
        <w:t>I was invited to participate</w:t>
      </w:r>
      <w:r w:rsidR="00495B17" w:rsidRPr="00663534">
        <w:t xml:space="preserve">. The </w:t>
      </w:r>
      <w:r w:rsidR="001F7E0A" w:rsidRPr="00663534">
        <w:t>cooperative</w:t>
      </w:r>
      <w:r w:rsidR="00F85A68" w:rsidRPr="00663534">
        <w:t xml:space="preserve"> </w:t>
      </w:r>
      <w:r w:rsidR="008459D3" w:rsidRPr="00663534">
        <w:t>leadership</w:t>
      </w:r>
      <w:r w:rsidR="00822887" w:rsidRPr="00663534">
        <w:t xml:space="preserve"> </w:t>
      </w:r>
      <w:r w:rsidR="00B248E0" w:rsidRPr="00663534">
        <w:t>brainstormed</w:t>
      </w:r>
      <w:r w:rsidR="00F85A68" w:rsidRPr="00663534">
        <w:t xml:space="preserve"> 18 </w:t>
      </w:r>
      <w:r w:rsidR="00DF7679" w:rsidRPr="00663534">
        <w:t xml:space="preserve">diverse </w:t>
      </w:r>
      <w:r w:rsidR="00822887" w:rsidRPr="00663534">
        <w:t>objectives</w:t>
      </w:r>
      <w:r w:rsidR="009B3B0E" w:rsidRPr="00663534">
        <w:t>,</w:t>
      </w:r>
      <w:r w:rsidR="00B248E0" w:rsidRPr="00663534">
        <w:t xml:space="preserve"> </w:t>
      </w:r>
      <w:r w:rsidR="00822887" w:rsidRPr="00663534">
        <w:t xml:space="preserve">which were </w:t>
      </w:r>
      <w:r w:rsidR="00B248E0" w:rsidRPr="00663534">
        <w:t xml:space="preserve">never </w:t>
      </w:r>
      <w:r w:rsidR="003E66BD" w:rsidRPr="00663534">
        <w:t>formalised (</w:t>
      </w:r>
      <w:r w:rsidR="00BC694C" w:rsidRPr="00663534">
        <w:t xml:space="preserve">CFJPS </w:t>
      </w:r>
      <w:r w:rsidR="00822887" w:rsidRPr="00663534">
        <w:t xml:space="preserve">Iniciativa: </w:t>
      </w:r>
      <w:r w:rsidR="00822887" w:rsidRPr="00663534">
        <w:rPr>
          <w:lang w:val="es-ES_tradnl"/>
        </w:rPr>
        <w:t>El Trabajo no Remunerado de las Mujeres, 2013</w:t>
      </w:r>
      <w:r w:rsidR="00B1515B" w:rsidRPr="00663534">
        <w:rPr>
          <w:lang w:val="es-ES_tradnl"/>
        </w:rPr>
        <w:t xml:space="preserve"> -Appendix A</w:t>
      </w:r>
      <w:r w:rsidR="00822887" w:rsidRPr="00663534">
        <w:rPr>
          <w:lang w:val="es-ES_tradnl"/>
        </w:rPr>
        <w:t>)</w:t>
      </w:r>
      <w:r w:rsidR="005A27F4" w:rsidRPr="00663534">
        <w:rPr>
          <w:lang w:val="es-ES_tradnl"/>
        </w:rPr>
        <w:t>.</w:t>
      </w:r>
      <w:r w:rsidR="009B3B0E" w:rsidRPr="00663534">
        <w:rPr>
          <w:rStyle w:val="FootnoteReference"/>
        </w:rPr>
        <w:footnoteReference w:id="17"/>
      </w:r>
      <w:r w:rsidR="005A27F4" w:rsidRPr="00663534">
        <w:rPr>
          <w:lang w:val="es-ES_tradnl"/>
        </w:rPr>
        <w:t xml:space="preserve"> </w:t>
      </w:r>
      <w:r w:rsidR="005A27F4" w:rsidRPr="00663534">
        <w:t>However,</w:t>
      </w:r>
      <w:r w:rsidR="008459D3" w:rsidRPr="00663534">
        <w:t xml:space="preserve"> it is worth adding that the 18 objectives that they laid out included many non-economic </w:t>
      </w:r>
      <w:r w:rsidR="005A27F4" w:rsidRPr="00663534">
        <w:t>empowerments</w:t>
      </w:r>
      <w:r w:rsidR="008459D3" w:rsidRPr="00663534">
        <w:t xml:space="preserve"> aims for the women and also included the participation of members of t</w:t>
      </w:r>
      <w:r w:rsidR="005A27F4" w:rsidRPr="00663534">
        <w:t>he household which is important addition.</w:t>
      </w:r>
    </w:p>
    <w:p w14:paraId="48A37167" w14:textId="0C938B42" w:rsidR="001A666E" w:rsidRPr="00663534" w:rsidRDefault="008459D3" w:rsidP="007A3A29">
      <w:pPr>
        <w:spacing w:line="360" w:lineRule="auto"/>
        <w:ind w:firstLine="720"/>
        <w:jc w:val="both"/>
      </w:pPr>
      <w:r w:rsidRPr="00663534">
        <w:t>Since the work of the doc</w:t>
      </w:r>
      <w:r w:rsidR="00FF07B4" w:rsidRPr="00663534">
        <w:t>toral thesis started before the</w:t>
      </w:r>
      <w:r w:rsidRPr="00663534">
        <w:t xml:space="preserve"> meeting in 2013, my research questions examine whether the individual and colle</w:t>
      </w:r>
      <w:r w:rsidR="00430EBE" w:rsidRPr="00663534">
        <w:t>ctive empowerment funds paid</w:t>
      </w:r>
      <w:r w:rsidRPr="00663534">
        <w:t xml:space="preserve"> via the pricing initiative to recognise women’s unpaid work </w:t>
      </w:r>
      <w:r w:rsidR="00F751CF" w:rsidRPr="00663534">
        <w:t xml:space="preserve">has </w:t>
      </w:r>
      <w:r w:rsidRPr="00663534">
        <w:t>led to economic empowerment</w:t>
      </w:r>
      <w:r w:rsidR="00430EBE" w:rsidRPr="00663534">
        <w:t xml:space="preserve">. </w:t>
      </w:r>
      <w:r w:rsidR="00E243A1" w:rsidRPr="00663534">
        <w:t>The title of the thesis is</w:t>
      </w:r>
      <w:r w:rsidR="0038695F" w:rsidRPr="00663534">
        <w:t xml:space="preserve"> </w:t>
      </w:r>
      <w:r w:rsidR="00AF4190" w:rsidRPr="00663534">
        <w:t>therefore</w:t>
      </w:r>
      <w:r w:rsidR="00E243A1" w:rsidRPr="00663534">
        <w:t xml:space="preserve"> framed as a question as it asks whether valuing women’s work through WEE initiatives can lead to empowerment</w:t>
      </w:r>
      <w:r w:rsidR="006B0BC9" w:rsidRPr="00663534">
        <w:t>.</w:t>
      </w:r>
      <w:r w:rsidR="001F53BE" w:rsidRPr="00663534">
        <w:t xml:space="preserve"> Does a model like this have </w:t>
      </w:r>
      <w:r w:rsidR="00A85D48" w:rsidRPr="00663534">
        <w:t xml:space="preserve">the </w:t>
      </w:r>
      <w:r w:rsidR="001F53BE" w:rsidRPr="00663534">
        <w:t>capacity to empower</w:t>
      </w:r>
      <w:r w:rsidR="00F751CF" w:rsidRPr="00663534">
        <w:t xml:space="preserve"> and does the </w:t>
      </w:r>
      <w:r w:rsidR="00430EBE" w:rsidRPr="00663534">
        <w:t>proposed mechanism</w:t>
      </w:r>
      <w:r w:rsidR="00F751CF" w:rsidRPr="00663534">
        <w:t xml:space="preserve"> follow processes of empowerment</w:t>
      </w:r>
      <w:r w:rsidR="001F53BE" w:rsidRPr="00663534">
        <w:t xml:space="preserve">? </w:t>
      </w:r>
      <w:r w:rsidR="00FF07B4" w:rsidRPr="00663534">
        <w:t>In short, does the pricing mechanism deliver</w:t>
      </w:r>
      <w:r w:rsidR="00BC694C" w:rsidRPr="00663534">
        <w:t xml:space="preserve"> its objectives? </w:t>
      </w:r>
      <w:r w:rsidR="00E243A1" w:rsidRPr="00663534">
        <w:t xml:space="preserve">The research </w:t>
      </w:r>
      <w:r w:rsidR="00AF4190" w:rsidRPr="00663534">
        <w:t>examines</w:t>
      </w:r>
      <w:r w:rsidR="00E243A1" w:rsidRPr="00663534">
        <w:t xml:space="preserve"> the objectives of the pricing initiatives</w:t>
      </w:r>
      <w:r w:rsidR="003D7EB1" w:rsidRPr="00663534">
        <w:t xml:space="preserve"> </w:t>
      </w:r>
      <w:r w:rsidR="00E243A1" w:rsidRPr="00663534">
        <w:t>whilst highlighting the tensions in its claims and also subtleties of how it works in practice</w:t>
      </w:r>
      <w:r w:rsidR="00B932D0" w:rsidRPr="00663534">
        <w:t>.</w:t>
      </w:r>
      <w:r w:rsidR="00CA5180" w:rsidRPr="00663534">
        <w:t xml:space="preserve"> </w:t>
      </w:r>
    </w:p>
    <w:p w14:paraId="65564B6E" w14:textId="52060FA4" w:rsidR="003A4770" w:rsidRPr="009A7163" w:rsidRDefault="00B932D0" w:rsidP="007A3A29">
      <w:pPr>
        <w:widowControl w:val="0"/>
        <w:autoSpaceDE w:val="0"/>
        <w:autoSpaceDN w:val="0"/>
        <w:adjustRightInd w:val="0"/>
        <w:spacing w:line="360" w:lineRule="auto"/>
        <w:ind w:firstLine="720"/>
        <w:jc w:val="both"/>
      </w:pPr>
      <w:r w:rsidRPr="00663534">
        <w:t xml:space="preserve">This study </w:t>
      </w:r>
      <w:r w:rsidR="00A01E5F" w:rsidRPr="00663534">
        <w:t xml:space="preserve">addresses a gap in knowledge and contributes in a </w:t>
      </w:r>
      <w:r w:rsidR="00B3143F" w:rsidRPr="00663534">
        <w:t>two-pronged</w:t>
      </w:r>
      <w:r w:rsidR="00A01E5F" w:rsidRPr="00663534">
        <w:t xml:space="preserve"> </w:t>
      </w:r>
      <w:r w:rsidR="00B3143F" w:rsidRPr="00663534">
        <w:t>approach</w:t>
      </w:r>
      <w:r w:rsidR="001A2B40" w:rsidRPr="00663534">
        <w:t xml:space="preserve">: </w:t>
      </w:r>
      <w:r w:rsidR="009B3B0E" w:rsidRPr="00663534">
        <w:t>F</w:t>
      </w:r>
      <w:r w:rsidR="00B3143F" w:rsidRPr="00663534">
        <w:t>irstly,</w:t>
      </w:r>
      <w:r w:rsidR="00A01E5F" w:rsidRPr="00663534">
        <w:t xml:space="preserve"> </w:t>
      </w:r>
      <w:r w:rsidR="001A2B40" w:rsidRPr="00663534">
        <w:t xml:space="preserve">it investigates </w:t>
      </w:r>
      <w:r w:rsidR="00AF4190" w:rsidRPr="00663534">
        <w:t>women’s</w:t>
      </w:r>
      <w:r w:rsidR="0091250C" w:rsidRPr="00663534">
        <w:t xml:space="preserve"> unpaid work and FT</w:t>
      </w:r>
      <w:r w:rsidR="009B3B0E" w:rsidRPr="00663534">
        <w:t>,</w:t>
      </w:r>
      <w:r w:rsidR="00AF4190" w:rsidRPr="00663534">
        <w:t xml:space="preserve"> </w:t>
      </w:r>
      <w:r w:rsidR="00A01E5F" w:rsidRPr="00663534">
        <w:t xml:space="preserve">which is </w:t>
      </w:r>
      <w:r w:rsidR="00704480" w:rsidRPr="00663534">
        <w:t>an unexplored area</w:t>
      </w:r>
      <w:r w:rsidR="009B3B0E" w:rsidRPr="00663534">
        <w:t>,</w:t>
      </w:r>
      <w:r w:rsidR="00704480" w:rsidRPr="00663534">
        <w:t xml:space="preserve"> </w:t>
      </w:r>
      <w:r w:rsidR="00AF4190" w:rsidRPr="00663534">
        <w:t xml:space="preserve">and </w:t>
      </w:r>
      <w:r w:rsidR="00A01E5F" w:rsidRPr="00663534">
        <w:t xml:space="preserve">secondly, it </w:t>
      </w:r>
      <w:r w:rsidR="009B3B0E" w:rsidRPr="00663534">
        <w:t>employs</w:t>
      </w:r>
      <w:r w:rsidR="00AF4190" w:rsidRPr="00663534">
        <w:t xml:space="preserve"> a new research methodolo</w:t>
      </w:r>
      <w:r w:rsidR="00AF4190" w:rsidRPr="009A7163">
        <w:t>gy to examine</w:t>
      </w:r>
      <w:r w:rsidR="00032298" w:rsidRPr="009A7163">
        <w:t xml:space="preserve"> </w:t>
      </w:r>
      <w:r w:rsidR="003D7EB1" w:rsidRPr="009A7163">
        <w:t>this area</w:t>
      </w:r>
      <w:r w:rsidR="00AF4190" w:rsidRPr="009A7163">
        <w:t>.</w:t>
      </w:r>
      <w:r w:rsidR="001A2B40" w:rsidRPr="009A7163">
        <w:t xml:space="preserve"> </w:t>
      </w:r>
      <w:r w:rsidR="00AF4190" w:rsidRPr="009A7163">
        <w:t>I</w:t>
      </w:r>
      <w:r w:rsidR="003A4770" w:rsidRPr="009A7163">
        <w:t xml:space="preserve">n FT </w:t>
      </w:r>
      <w:r w:rsidR="003A4770" w:rsidRPr="009A7163">
        <w:lastRenderedPageBreak/>
        <w:t>relatively little is known about the way improvements</w:t>
      </w:r>
      <w:r w:rsidR="00A52395" w:rsidRPr="009A7163">
        <w:t xml:space="preserve"> through higher price and premium</w:t>
      </w:r>
      <w:r w:rsidR="003A4770" w:rsidRPr="009A7163">
        <w:t xml:space="preserve"> </w:t>
      </w:r>
      <w:r w:rsidR="00976DD3" w:rsidRPr="009A7163">
        <w:t>(</w:t>
      </w:r>
      <w:r w:rsidR="003A4770" w:rsidRPr="009A7163">
        <w:t>as a result of F</w:t>
      </w:r>
      <w:r w:rsidR="00594372" w:rsidRPr="009A7163">
        <w:t>T</w:t>
      </w:r>
      <w:r w:rsidR="003A4770" w:rsidRPr="009A7163">
        <w:t>) impact the</w:t>
      </w:r>
      <w:r w:rsidR="009B3B0E" w:rsidRPr="009A7163">
        <w:t xml:space="preserve"> economic and non-economic</w:t>
      </w:r>
      <w:r w:rsidR="003A4770" w:rsidRPr="009A7163">
        <w:t xml:space="preserve"> well</w:t>
      </w:r>
      <w:r w:rsidR="009B3B0E" w:rsidRPr="009A7163">
        <w:t>-</w:t>
      </w:r>
      <w:r w:rsidR="003A4770" w:rsidRPr="009A7163">
        <w:t>being of individual members of household</w:t>
      </w:r>
      <w:r w:rsidR="009B3B0E" w:rsidRPr="009A7163">
        <w:t>s</w:t>
      </w:r>
      <w:r w:rsidR="00A52395" w:rsidRPr="009A7163">
        <w:t xml:space="preserve"> </w:t>
      </w:r>
      <w:r w:rsidR="003A4770" w:rsidRPr="009A7163">
        <w:t>(Smith, 2008</w:t>
      </w:r>
      <w:r w:rsidR="003D7EB1" w:rsidRPr="009A7163">
        <w:t>)</w:t>
      </w:r>
      <w:r w:rsidR="003A4770" w:rsidRPr="009A7163">
        <w:t xml:space="preserve">. The thesis addresses a gap in </w:t>
      </w:r>
      <w:r w:rsidR="007623F0" w:rsidRPr="009A7163">
        <w:t xml:space="preserve">the </w:t>
      </w:r>
      <w:r w:rsidR="003A4770" w:rsidRPr="009A7163">
        <w:t>literature on the potential of pricing models to i</w:t>
      </w:r>
      <w:r w:rsidR="009B3B0E" w:rsidRPr="009A7163">
        <w:t>nfluence</w:t>
      </w:r>
      <w:r w:rsidR="003A4770" w:rsidRPr="009A7163">
        <w:t xml:space="preserve"> gender </w:t>
      </w:r>
      <w:r w:rsidR="00381554" w:rsidRPr="009A7163">
        <w:t xml:space="preserve">dynamics in the household </w:t>
      </w:r>
      <w:r w:rsidR="003A4770" w:rsidRPr="009A7163">
        <w:t xml:space="preserve">and adds to the literature on gender and </w:t>
      </w:r>
      <w:r w:rsidR="009B3B0E" w:rsidRPr="009A7163">
        <w:t>c</w:t>
      </w:r>
      <w:r w:rsidR="00032298" w:rsidRPr="009A7163">
        <w:t xml:space="preserve">orporate </w:t>
      </w:r>
      <w:r w:rsidR="009B3B0E" w:rsidRPr="009A7163">
        <w:t>s</w:t>
      </w:r>
      <w:r w:rsidR="00032298" w:rsidRPr="009A7163">
        <w:t xml:space="preserve">ocial </w:t>
      </w:r>
      <w:r w:rsidR="009B3B0E" w:rsidRPr="009A7163">
        <w:t>r</w:t>
      </w:r>
      <w:r w:rsidR="00032298" w:rsidRPr="009A7163">
        <w:t>esponsibility</w:t>
      </w:r>
      <w:r w:rsidR="003A4770" w:rsidRPr="009A7163">
        <w:t>, gender</w:t>
      </w:r>
      <w:r w:rsidR="009B3B0E" w:rsidRPr="009A7163">
        <w:t xml:space="preserve">, </w:t>
      </w:r>
      <w:r w:rsidR="003A4770" w:rsidRPr="009A7163">
        <w:t>FT and women’s unpaid work in value chains</w:t>
      </w:r>
      <w:r w:rsidR="0091250C" w:rsidRPr="009A7163">
        <w:t xml:space="preserve"> whilst </w:t>
      </w:r>
      <w:r w:rsidR="00E63CDC" w:rsidRPr="009A7163">
        <w:t>introducing</w:t>
      </w:r>
      <w:r w:rsidR="0091250C" w:rsidRPr="009A7163">
        <w:t xml:space="preserve"> a new methodology </w:t>
      </w:r>
      <w:r w:rsidR="009B3B0E" w:rsidRPr="009A7163">
        <w:t>that</w:t>
      </w:r>
      <w:r w:rsidR="00AF4190" w:rsidRPr="009A7163">
        <w:t xml:space="preserve"> will be presented </w:t>
      </w:r>
      <w:r w:rsidR="009B3B0E" w:rsidRPr="009A7163">
        <w:t>below</w:t>
      </w:r>
      <w:r w:rsidR="00AF4190" w:rsidRPr="009A7163">
        <w:t>.</w:t>
      </w:r>
    </w:p>
    <w:p w14:paraId="0A5D2B85" w14:textId="78CCDAC9" w:rsidR="004C1C93" w:rsidRPr="009A7163" w:rsidRDefault="003A4770" w:rsidP="00EE3B23">
      <w:pPr>
        <w:spacing w:after="240" w:line="360" w:lineRule="auto"/>
        <w:ind w:firstLine="720"/>
        <w:jc w:val="both"/>
      </w:pPr>
      <w:r w:rsidRPr="009A7163">
        <w:t xml:space="preserve"> The findings from this research </w:t>
      </w:r>
      <w:r w:rsidR="003D7EB1" w:rsidRPr="009A7163">
        <w:t>are</w:t>
      </w:r>
      <w:r w:rsidRPr="009A7163">
        <w:t xml:space="preserve"> intended for </w:t>
      </w:r>
      <w:r w:rsidR="00976DD3" w:rsidRPr="009A7163">
        <w:t>four</w:t>
      </w:r>
      <w:r w:rsidRPr="009A7163">
        <w:t xml:space="preserve"> audiences: </w:t>
      </w:r>
      <w:r w:rsidR="00B1515B" w:rsidRPr="009A7163">
        <w:t>academics</w:t>
      </w:r>
      <w:r w:rsidR="006B0BC9" w:rsidRPr="009A7163">
        <w:t>;</w:t>
      </w:r>
      <w:r w:rsidR="009B3B0E" w:rsidRPr="009A7163">
        <w:rPr>
          <w:strike/>
        </w:rPr>
        <w:t xml:space="preserve"> </w:t>
      </w:r>
      <w:r w:rsidR="00B1515B" w:rsidRPr="009A7163">
        <w:t xml:space="preserve"> BSI</w:t>
      </w:r>
      <w:r w:rsidR="009B3B0E" w:rsidRPr="009A7163">
        <w:t>, which</w:t>
      </w:r>
      <w:r w:rsidRPr="009A7163">
        <w:t xml:space="preserve"> may choose to include a premium for women’s unpaid work in their other supply chains; for the women participants</w:t>
      </w:r>
      <w:r w:rsidR="006B0BC9" w:rsidRPr="009A7163">
        <w:t>,</w:t>
      </w:r>
      <w:r w:rsidRPr="009A7163">
        <w:t xml:space="preserve"> so that the pilot initiative can be amended to better serve their needs and those of future initiatives; and </w:t>
      </w:r>
      <w:r w:rsidR="00763FE2" w:rsidRPr="009A7163">
        <w:t>finally,</w:t>
      </w:r>
      <w:r w:rsidRPr="009A7163">
        <w:t xml:space="preserve"> for other businesses, practitioners and policy makers </w:t>
      </w:r>
      <w:r w:rsidR="009B3B0E" w:rsidRPr="009A7163">
        <w:t>that</w:t>
      </w:r>
      <w:r w:rsidRPr="009A7163">
        <w:t xml:space="preserve"> are interested in unpaid care work, empowerment and pricing initiatives. </w:t>
      </w:r>
      <w:r w:rsidR="009B3B0E" w:rsidRPr="009A7163">
        <w:t>TUS</w:t>
      </w:r>
      <w:r w:rsidR="00483CCB" w:rsidRPr="009A7163">
        <w:t xml:space="preserve"> </w:t>
      </w:r>
      <w:r w:rsidR="00AD1D67" w:rsidRPr="009A7163">
        <w:t>were used as a method</w:t>
      </w:r>
      <w:r w:rsidR="009B3B0E" w:rsidRPr="009A7163">
        <w:t>,</w:t>
      </w:r>
      <w:r w:rsidR="00AD1D67" w:rsidRPr="009A7163">
        <w:t xml:space="preserve"> as they offer an immediate insight to the gender</w:t>
      </w:r>
      <w:r w:rsidR="00961505" w:rsidRPr="009A7163">
        <w:t>ed</w:t>
      </w:r>
      <w:r w:rsidR="00AD1D67" w:rsidRPr="009A7163">
        <w:t xml:space="preserve"> division of labour</w:t>
      </w:r>
      <w:r w:rsidR="009B3B0E" w:rsidRPr="009A7163">
        <w:t>;</w:t>
      </w:r>
      <w:r w:rsidR="00AD1D67" w:rsidRPr="009A7163">
        <w:t xml:space="preserve"> however</w:t>
      </w:r>
      <w:r w:rsidR="009B3B0E" w:rsidRPr="009A7163">
        <w:t>,</w:t>
      </w:r>
      <w:r w:rsidR="00AD1D67" w:rsidRPr="009A7163">
        <w:t xml:space="preserve"> because </w:t>
      </w:r>
      <w:r w:rsidR="00483CCB" w:rsidRPr="009A7163">
        <w:t>TUS</w:t>
      </w:r>
      <w:r w:rsidR="00AD1D67" w:rsidRPr="009A7163">
        <w:t xml:space="preserve"> lack contextual information</w:t>
      </w:r>
      <w:r w:rsidR="009B3B0E" w:rsidRPr="009A7163">
        <w:t>,</w:t>
      </w:r>
      <w:r w:rsidR="00AD1D67" w:rsidRPr="009A7163">
        <w:t xml:space="preserve"> </w:t>
      </w:r>
      <w:r w:rsidR="00095AA5" w:rsidRPr="009A7163">
        <w:t>qualitative</w:t>
      </w:r>
      <w:r w:rsidR="00AD1D67" w:rsidRPr="009A7163">
        <w:t xml:space="preserve"> methods were </w:t>
      </w:r>
      <w:r w:rsidR="009B3B0E" w:rsidRPr="009A7163">
        <w:t>also used to supplement the quantitative survey data</w:t>
      </w:r>
      <w:r w:rsidR="00AD1D67" w:rsidRPr="009A7163">
        <w:t xml:space="preserve">. </w:t>
      </w:r>
      <w:r w:rsidRPr="009A7163">
        <w:t xml:space="preserve">The </w:t>
      </w:r>
      <w:r w:rsidR="00483CCB" w:rsidRPr="009A7163">
        <w:t xml:space="preserve">nuanced </w:t>
      </w:r>
      <w:r w:rsidRPr="009A7163">
        <w:t xml:space="preserve">results of this research are important, as the BSI pilot scheme was quickly copied by other cooperatives before any evaluation had taken place and the BSI case study has been cited by practitioners and academics as a positive example of private sector policy and practice on </w:t>
      </w:r>
      <w:r w:rsidR="006B0BC9" w:rsidRPr="009A7163">
        <w:t xml:space="preserve">unpaid care work (UCW) </w:t>
      </w:r>
      <w:r w:rsidR="009B3B0E" w:rsidRPr="009A7163">
        <w:t>(e.g., Maestre and Thorpe, 2016; Maestre, 2007; Chopra and Nazeen, 2016)</w:t>
      </w:r>
      <w:r w:rsidRPr="009A7163">
        <w:t xml:space="preserve">. This was in part because the inception of the initiative coincided with a wave of interest in women’s </w:t>
      </w:r>
      <w:r w:rsidR="006B0BC9" w:rsidRPr="009A7163">
        <w:t>UCW</w:t>
      </w:r>
      <w:r w:rsidR="009B3B0E" w:rsidRPr="009A7163">
        <w:t xml:space="preserve">, the topic of the </w:t>
      </w:r>
      <w:r w:rsidR="001A2B40" w:rsidRPr="009A7163">
        <w:t>next section.</w:t>
      </w:r>
      <w:r w:rsidR="001A2B40" w:rsidRPr="009A7163" w:rsidDel="001A2B40">
        <w:t xml:space="preserve"> </w:t>
      </w:r>
    </w:p>
    <w:p w14:paraId="56E42717" w14:textId="1C39C86C" w:rsidR="00AA5A40" w:rsidRPr="009A7163" w:rsidRDefault="006E4E01" w:rsidP="00E35FFE">
      <w:pPr>
        <w:pStyle w:val="Heading2"/>
        <w:rPr>
          <w:rFonts w:eastAsiaTheme="minorHAnsi" w:cs="Times New Roman"/>
          <w:lang w:val="en-GB" w:eastAsia="en-GB"/>
        </w:rPr>
      </w:pPr>
      <w:bookmarkStart w:id="11" w:name="_Toc526819247"/>
      <w:r w:rsidRPr="009A7163">
        <w:rPr>
          <w:rFonts w:cs="Times New Roman"/>
          <w:lang w:val="en-GB"/>
        </w:rPr>
        <w:t>1.</w:t>
      </w:r>
      <w:r w:rsidR="009B3B0E" w:rsidRPr="009A7163">
        <w:rPr>
          <w:rFonts w:cs="Times New Roman"/>
          <w:lang w:val="en-GB"/>
        </w:rPr>
        <w:t>5</w:t>
      </w:r>
      <w:r w:rsidRPr="009A7163">
        <w:rPr>
          <w:rFonts w:cs="Times New Roman"/>
          <w:lang w:val="en-GB"/>
        </w:rPr>
        <w:t xml:space="preserve">  </w:t>
      </w:r>
      <w:r w:rsidR="00AA5A40" w:rsidRPr="009A7163">
        <w:rPr>
          <w:rFonts w:cs="Times New Roman"/>
          <w:lang w:val="en-GB"/>
        </w:rPr>
        <w:t>Unpaid Work, Fair Trade and Women’s Economic Empowerment</w:t>
      </w:r>
      <w:bookmarkEnd w:id="11"/>
      <w:r w:rsidR="00AA5A40" w:rsidRPr="009A7163">
        <w:rPr>
          <w:rFonts w:cs="Times New Roman"/>
          <w:lang w:val="en-GB"/>
        </w:rPr>
        <w:t xml:space="preserve"> </w:t>
      </w:r>
    </w:p>
    <w:p w14:paraId="0D517048" w14:textId="09AEF9A3" w:rsidR="00650276" w:rsidRPr="009A7163" w:rsidRDefault="0097266D" w:rsidP="007A3A29">
      <w:pPr>
        <w:pStyle w:val="NormalWeb"/>
        <w:spacing w:before="0" w:beforeAutospacing="0" w:after="0" w:afterAutospacing="0" w:line="360" w:lineRule="auto"/>
        <w:ind w:firstLine="720"/>
        <w:jc w:val="both"/>
        <w:rPr>
          <w:lang w:val="en-US"/>
        </w:rPr>
      </w:pPr>
      <w:r w:rsidRPr="009A7163">
        <w:t>W</w:t>
      </w:r>
      <w:r w:rsidR="008E11A4" w:rsidRPr="009A7163">
        <w:rPr>
          <w:bCs/>
        </w:rPr>
        <w:t>o</w:t>
      </w:r>
      <w:r w:rsidR="008C3CA7" w:rsidRPr="009A7163">
        <w:rPr>
          <w:bCs/>
        </w:rPr>
        <w:t>men</w:t>
      </w:r>
      <w:r w:rsidR="009B3B0E" w:rsidRPr="009A7163">
        <w:rPr>
          <w:bCs/>
        </w:rPr>
        <w:t xml:space="preserve"> worldwide</w:t>
      </w:r>
      <w:r w:rsidR="008C3CA7" w:rsidRPr="009A7163">
        <w:rPr>
          <w:bCs/>
        </w:rPr>
        <w:t xml:space="preserve"> perform the majority of </w:t>
      </w:r>
      <w:r w:rsidR="006B0BC9" w:rsidRPr="009A7163">
        <w:rPr>
          <w:bCs/>
        </w:rPr>
        <w:t>UCW</w:t>
      </w:r>
      <w:r w:rsidR="008C3CA7" w:rsidRPr="009A7163">
        <w:rPr>
          <w:b/>
          <w:bCs/>
        </w:rPr>
        <w:t xml:space="preserve"> </w:t>
      </w:r>
      <w:r w:rsidR="008C3CA7" w:rsidRPr="009A7163">
        <w:t xml:space="preserve">and </w:t>
      </w:r>
      <w:r w:rsidR="002D07CB" w:rsidRPr="009A7163">
        <w:t xml:space="preserve">spend twice as much time on household work as men and four times as much time on childcare (Dufflo, 2012). </w:t>
      </w:r>
      <w:r w:rsidR="00FE68CA" w:rsidRPr="009A7163">
        <w:t>This</w:t>
      </w:r>
      <w:r w:rsidR="007F0112" w:rsidRPr="009A7163">
        <w:t xml:space="preserve"> trend tends to persist</w:t>
      </w:r>
      <w:r w:rsidR="004F0A1E" w:rsidRPr="009A7163">
        <w:t xml:space="preserve"> where women spend the same amount of time as men in labour markets</w:t>
      </w:r>
      <w:r w:rsidR="009C10F9" w:rsidRPr="009A7163">
        <w:t xml:space="preserve"> (UN Women, 2015)</w:t>
      </w:r>
      <w:r w:rsidR="00130AF6" w:rsidRPr="009A7163">
        <w:t>. The World Development Report</w:t>
      </w:r>
      <w:r w:rsidR="00005BCF" w:rsidRPr="009A7163">
        <w:t xml:space="preserve"> (2012</w:t>
      </w:r>
      <w:r w:rsidR="00626F7A" w:rsidRPr="009A7163">
        <w:t>)</w:t>
      </w:r>
      <w:r w:rsidR="00130AF6" w:rsidRPr="009A7163">
        <w:t xml:space="preserve"> found</w:t>
      </w:r>
      <w:r w:rsidR="00650276" w:rsidRPr="009A7163">
        <w:t>:</w:t>
      </w:r>
    </w:p>
    <w:p w14:paraId="485FDF30" w14:textId="1B4E89C4" w:rsidR="00650276" w:rsidRPr="009A7163" w:rsidRDefault="003D35F5" w:rsidP="00293176">
      <w:pPr>
        <w:pStyle w:val="NormalWeb"/>
        <w:spacing w:before="0" w:beforeAutospacing="0" w:after="180" w:afterAutospacing="0"/>
        <w:ind w:left="720"/>
        <w:jc w:val="both"/>
      </w:pPr>
      <w:r w:rsidRPr="009A7163">
        <w:t>Everywhere, women devote 1 to 3 hours more a day to housework than men; 2 to 10 times the amount of time a day to care (of children, elderly, and the sick), and 1 to 4 hours less a day to market activities. These are averages for all men and women, and the differences are accentuated with family formation</w:t>
      </w:r>
      <w:r w:rsidR="00650276" w:rsidRPr="009A7163">
        <w:t>.</w:t>
      </w:r>
      <w:r w:rsidR="009F0107" w:rsidRPr="009A7163">
        <w:t xml:space="preserve"> </w:t>
      </w:r>
      <w:r w:rsidR="006B0BC9" w:rsidRPr="009A7163">
        <w:t>(p. 80)</w:t>
      </w:r>
    </w:p>
    <w:p w14:paraId="5D983C9F" w14:textId="7FF8F8D9" w:rsidR="0072031F" w:rsidRPr="009A7163" w:rsidRDefault="00130AF6" w:rsidP="007A3A29">
      <w:pPr>
        <w:pStyle w:val="NormalWeb"/>
        <w:spacing w:before="0" w:beforeAutospacing="0" w:after="0" w:afterAutospacing="0" w:line="360" w:lineRule="auto"/>
        <w:ind w:firstLine="720"/>
        <w:jc w:val="both"/>
        <w:rPr>
          <w:lang w:val="en-US"/>
        </w:rPr>
      </w:pPr>
      <w:r w:rsidRPr="009A7163">
        <w:t>Other research had similar findings</w:t>
      </w:r>
      <w:r w:rsidR="00626F7A" w:rsidRPr="009A7163">
        <w:t xml:space="preserve">. In a study of time use data from Argentina, Nicaragua, India, the Republic of Korea, South Africa and Tanzania for a United Nations Research Institute for Social Development (UNRISD) project on the Political </w:t>
      </w:r>
      <w:r w:rsidR="00626F7A" w:rsidRPr="009A7163">
        <w:lastRenderedPageBreak/>
        <w:t>and Social Economy of Care,</w:t>
      </w:r>
      <w:r w:rsidR="002D07CB" w:rsidRPr="009A7163">
        <w:t xml:space="preserve"> </w:t>
      </w:r>
      <w:r w:rsidR="008074ED" w:rsidRPr="009A7163">
        <w:t xml:space="preserve">Budlender </w:t>
      </w:r>
      <w:r w:rsidR="00626F7A" w:rsidRPr="009A7163">
        <w:t xml:space="preserve">(2008) </w:t>
      </w:r>
      <w:r w:rsidR="0018113B" w:rsidRPr="009A7163">
        <w:t xml:space="preserve">also found that </w:t>
      </w:r>
      <w:r w:rsidR="00160D12" w:rsidRPr="009A7163">
        <w:t>‘</w:t>
      </w:r>
      <w:r w:rsidR="0018113B" w:rsidRPr="009A7163">
        <w:t>the mean time spent on unpaid care work by women is more than twice that for men</w:t>
      </w:r>
      <w:r w:rsidR="00160D12" w:rsidRPr="009A7163">
        <w:t>’ (p.</w:t>
      </w:r>
      <w:r w:rsidR="00626F7A" w:rsidRPr="009A7163">
        <w:t xml:space="preserve"> </w:t>
      </w:r>
      <w:r w:rsidR="00160D12" w:rsidRPr="009A7163">
        <w:t>v)</w:t>
      </w:r>
      <w:r w:rsidR="00626F7A" w:rsidRPr="009A7163">
        <w:t>.</w:t>
      </w:r>
      <w:r w:rsidR="0018113B" w:rsidRPr="009A7163">
        <w:t xml:space="preserve"> </w:t>
      </w:r>
      <w:r w:rsidR="001865B1" w:rsidRPr="009A7163">
        <w:t xml:space="preserve">Furthermore, </w:t>
      </w:r>
      <w:r w:rsidR="00626F7A" w:rsidRPr="009A7163">
        <w:t xml:space="preserve">Woodcroft and Donald (2014) report that </w:t>
      </w:r>
      <w:r w:rsidR="00CE4533" w:rsidRPr="009A7163">
        <w:t>‘</w:t>
      </w:r>
      <w:r w:rsidR="001865B1" w:rsidRPr="009A7163">
        <w:t>w</w:t>
      </w:r>
      <w:r w:rsidR="0072031F" w:rsidRPr="009A7163">
        <w:t>omen work longer hours than men,</w:t>
      </w:r>
      <w:r w:rsidR="00F9170A" w:rsidRPr="009A7163">
        <w:t xml:space="preserve"> </w:t>
      </w:r>
      <w:r w:rsidR="0072031F" w:rsidRPr="009A7163">
        <w:t xml:space="preserve"> but are only paid for 25-50</w:t>
      </w:r>
      <w:r w:rsidR="00FE68CA" w:rsidRPr="009A7163">
        <w:t>%</w:t>
      </w:r>
      <w:r w:rsidR="0072031F" w:rsidRPr="009A7163">
        <w:t xml:space="preserve"> of their working hours, where</w:t>
      </w:r>
      <w:r w:rsidR="00FE68CA" w:rsidRPr="009A7163">
        <w:t>as</w:t>
      </w:r>
      <w:r w:rsidR="0072031F" w:rsidRPr="009A7163">
        <w:t xml:space="preserve"> men are paid for 60-90</w:t>
      </w:r>
      <w:r w:rsidR="00FE68CA" w:rsidRPr="009A7163">
        <w:t>%</w:t>
      </w:r>
      <w:r w:rsidR="0072031F" w:rsidRPr="009A7163">
        <w:t xml:space="preserve"> of their hours worked</w:t>
      </w:r>
      <w:r w:rsidR="00CE4533" w:rsidRPr="009A7163">
        <w:t xml:space="preserve">’ </w:t>
      </w:r>
      <w:r w:rsidR="008074ED" w:rsidRPr="009A7163">
        <w:t>(</w:t>
      </w:r>
      <w:r w:rsidR="001865B1" w:rsidRPr="009A7163">
        <w:t>p.</w:t>
      </w:r>
      <w:r w:rsidR="00AA5A40" w:rsidRPr="009A7163">
        <w:t xml:space="preserve"> </w:t>
      </w:r>
      <w:r w:rsidR="001865B1" w:rsidRPr="009A7163">
        <w:t>5)</w:t>
      </w:r>
      <w:r w:rsidR="00FE68CA" w:rsidRPr="009A7163">
        <w:t>.</w:t>
      </w:r>
      <w:r w:rsidR="00F9170A" w:rsidRPr="009A7163">
        <w:t xml:space="preserve"> </w:t>
      </w:r>
      <w:r w:rsidR="00F9170A" w:rsidRPr="009A7163">
        <w:rPr>
          <w:lang w:val="en-US"/>
        </w:rPr>
        <w:t xml:space="preserve">A recent ILO report states that: </w:t>
      </w:r>
      <w:r w:rsidR="009B3B0E" w:rsidRPr="009A7163">
        <w:rPr>
          <w:lang w:val="en-US"/>
        </w:rPr>
        <w:t>‘[E]</w:t>
      </w:r>
      <w:r w:rsidR="00F9170A" w:rsidRPr="009A7163">
        <w:rPr>
          <w:lang w:val="en-US"/>
        </w:rPr>
        <w:t>stimates based on time-use survey data in 64 countries (representing 66.9 per cent of the world’s working-age population) show that 16.4 billion hours are spent in unpaid care work every day</w:t>
      </w:r>
      <w:r w:rsidR="006B0BC9" w:rsidRPr="009A7163">
        <w:rPr>
          <w:lang w:val="en-US"/>
        </w:rPr>
        <w:t>…</w:t>
      </w:r>
      <w:r w:rsidR="00F9170A" w:rsidRPr="009A7163">
        <w:rPr>
          <w:lang w:val="en-US"/>
        </w:rPr>
        <w:t>an equivalent to 2.0 billion people working 8 hours per day with no remuneration</w:t>
      </w:r>
      <w:r w:rsidR="006B0BC9" w:rsidRPr="009A7163">
        <w:rPr>
          <w:lang w:val="en-US"/>
        </w:rPr>
        <w:t>…</w:t>
      </w:r>
      <w:r w:rsidR="00F9170A" w:rsidRPr="009A7163">
        <w:rPr>
          <w:lang w:val="en-US"/>
        </w:rPr>
        <w:t xml:space="preserve"> (Addati et al</w:t>
      </w:r>
      <w:r w:rsidR="009B3B0E" w:rsidRPr="009A7163">
        <w:rPr>
          <w:lang w:val="en-US"/>
        </w:rPr>
        <w:t>.</w:t>
      </w:r>
      <w:r w:rsidR="00F9170A" w:rsidRPr="009A7163">
        <w:rPr>
          <w:lang w:val="en-US"/>
        </w:rPr>
        <w:t>, 2018, p.</w:t>
      </w:r>
      <w:r w:rsidR="009B3B0E" w:rsidRPr="009A7163">
        <w:rPr>
          <w:lang w:val="en-US"/>
        </w:rPr>
        <w:t xml:space="preserve"> </w:t>
      </w:r>
      <w:r w:rsidR="00F9170A" w:rsidRPr="009A7163">
        <w:rPr>
          <w:lang w:val="en-US"/>
        </w:rPr>
        <w:t>xxix)</w:t>
      </w:r>
      <w:r w:rsidR="009B3B0E" w:rsidRPr="009A7163">
        <w:rPr>
          <w:lang w:val="en-US"/>
        </w:rPr>
        <w:t>.</w:t>
      </w:r>
    </w:p>
    <w:p w14:paraId="1D3E9EF3" w14:textId="68D531D1" w:rsidR="00690179" w:rsidRPr="009A7163" w:rsidRDefault="00645727" w:rsidP="0018113B">
      <w:pPr>
        <w:pStyle w:val="NormalWeb"/>
        <w:spacing w:before="0" w:beforeAutospacing="0" w:after="0" w:afterAutospacing="0" w:line="360" w:lineRule="auto"/>
        <w:ind w:firstLine="720"/>
        <w:jc w:val="both"/>
      </w:pPr>
      <w:r w:rsidRPr="009A7163">
        <w:t>Women’s unpaid work and in particular women’s unpaid car</w:t>
      </w:r>
      <w:r w:rsidR="00690179" w:rsidRPr="009A7163">
        <w:t>e</w:t>
      </w:r>
      <w:r w:rsidR="0059347E" w:rsidRPr="009A7163">
        <w:t xml:space="preserve"> wor</w:t>
      </w:r>
      <w:r w:rsidR="00C94413" w:rsidRPr="009A7163">
        <w:t xml:space="preserve">k is central to human life: </w:t>
      </w:r>
      <w:r w:rsidR="00805BCC" w:rsidRPr="009A7163">
        <w:t>‘</w:t>
      </w:r>
      <w:r w:rsidR="004963CB" w:rsidRPr="009A7163">
        <w:t xml:space="preserve">It is both </w:t>
      </w:r>
      <w:r w:rsidR="00942E9A" w:rsidRPr="009A7163">
        <w:t>an important aspect of economic activity and an indispensable factor contributing to the well-being of individuals, their families and societies</w:t>
      </w:r>
      <w:r w:rsidR="00805BCC" w:rsidRPr="009A7163">
        <w:t>’</w:t>
      </w:r>
      <w:r w:rsidR="00942E9A" w:rsidRPr="009A7163">
        <w:t xml:space="preserve"> (Stiglitz et al., 2007</w:t>
      </w:r>
      <w:r w:rsidR="006B0BC9" w:rsidRPr="009A7163">
        <w:t>,</w:t>
      </w:r>
      <w:r w:rsidR="000441B1" w:rsidRPr="009A7163">
        <w:t xml:space="preserve"> cited in Ferrant el al</w:t>
      </w:r>
      <w:r w:rsidR="00626F7A" w:rsidRPr="009A7163">
        <w:t>.</w:t>
      </w:r>
      <w:r w:rsidR="000441B1" w:rsidRPr="009A7163">
        <w:t>, 2014, p.</w:t>
      </w:r>
      <w:r w:rsidR="00626F7A" w:rsidRPr="009A7163">
        <w:t xml:space="preserve"> </w:t>
      </w:r>
      <w:r w:rsidR="000441B1" w:rsidRPr="009A7163">
        <w:t>1</w:t>
      </w:r>
      <w:r w:rsidR="00942E9A" w:rsidRPr="009A7163">
        <w:t>)</w:t>
      </w:r>
      <w:r w:rsidR="00FE68CA" w:rsidRPr="009A7163">
        <w:t>.</w:t>
      </w:r>
      <w:r w:rsidR="00942E9A" w:rsidRPr="009A7163">
        <w:t xml:space="preserve"> </w:t>
      </w:r>
      <w:r w:rsidRPr="009A7163">
        <w:t>Unpaid work is broadly understood as any work that is unpaid. U</w:t>
      </w:r>
      <w:r w:rsidRPr="009A7163">
        <w:rPr>
          <w:shd w:val="clear" w:color="auto" w:fill="FFFFFF"/>
        </w:rPr>
        <w:t xml:space="preserve">npaid work can also mean </w:t>
      </w:r>
      <w:r w:rsidR="006B0BC9" w:rsidRPr="009A7163">
        <w:rPr>
          <w:shd w:val="clear" w:color="auto" w:fill="FFFFFF"/>
        </w:rPr>
        <w:t>UCW</w:t>
      </w:r>
      <w:r w:rsidR="00EA1F95" w:rsidRPr="009A7163">
        <w:rPr>
          <w:shd w:val="clear" w:color="auto" w:fill="FFFFFF"/>
        </w:rPr>
        <w:t xml:space="preserve"> and</w:t>
      </w:r>
      <w:r w:rsidRPr="009A7163">
        <w:rPr>
          <w:shd w:val="clear" w:color="auto" w:fill="FFFFFF"/>
        </w:rPr>
        <w:t xml:space="preserve"> household productio</w:t>
      </w:r>
      <w:r w:rsidR="009B3B0E" w:rsidRPr="009A7163">
        <w:rPr>
          <w:shd w:val="clear" w:color="auto" w:fill="FFFFFF"/>
        </w:rPr>
        <w:t>n</w:t>
      </w:r>
      <w:r w:rsidRPr="009A7163">
        <w:rPr>
          <w:shd w:val="clear" w:color="auto" w:fill="FFFFFF"/>
        </w:rPr>
        <w:t xml:space="preserve"> and reproduction</w:t>
      </w:r>
      <w:r w:rsidR="00FE68CA" w:rsidRPr="009A7163">
        <w:rPr>
          <w:shd w:val="clear" w:color="auto" w:fill="FFFFFF"/>
        </w:rPr>
        <w:t>, and it is often used interchangeably with these aforementioned terms</w:t>
      </w:r>
      <w:r w:rsidRPr="009A7163">
        <w:rPr>
          <w:rFonts w:eastAsia="Times New Roman"/>
          <w:lang w:eastAsia="en-US"/>
        </w:rPr>
        <w:t>.</w:t>
      </w:r>
      <w:r w:rsidRPr="009A7163">
        <w:t xml:space="preserve"> Care is comprised of all those activities necessary to recreate, day after day, the physical and emotional well-being of people. To care is to concern oneself with the bodies of others as well as their emotions.</w:t>
      </w:r>
      <w:r w:rsidR="00690179" w:rsidRPr="009A7163">
        <w:t xml:space="preserve"> </w:t>
      </w:r>
      <w:r w:rsidR="00E612E9" w:rsidRPr="009A7163">
        <w:t>As Chopra et al</w:t>
      </w:r>
      <w:r w:rsidR="00626F7A" w:rsidRPr="009A7163">
        <w:t>.</w:t>
      </w:r>
      <w:r w:rsidR="00E612E9" w:rsidRPr="009A7163">
        <w:t xml:space="preserve"> (2014) </w:t>
      </w:r>
      <w:r w:rsidR="0078309F" w:rsidRPr="009A7163">
        <w:t>argue</w:t>
      </w:r>
      <w:r w:rsidR="00EA1F95" w:rsidRPr="009A7163">
        <w:t>,</w:t>
      </w:r>
      <w:r w:rsidR="0078309F" w:rsidRPr="009A7163">
        <w:t xml:space="preserve"> ‘</w:t>
      </w:r>
      <w:r w:rsidR="00690179" w:rsidRPr="009A7163">
        <w:rPr>
          <w:rFonts w:eastAsia="Times New Roman"/>
          <w:lang w:eastAsia="en-US"/>
        </w:rPr>
        <w:t>Care is a social good; it not only sustains and reproduces society, but underpins all developmental progress</w:t>
      </w:r>
      <w:r w:rsidR="0078309F" w:rsidRPr="009A7163">
        <w:t>’ (p.</w:t>
      </w:r>
      <w:r w:rsidR="00626F7A" w:rsidRPr="009A7163">
        <w:t xml:space="preserve"> </w:t>
      </w:r>
      <w:r w:rsidR="0078309F" w:rsidRPr="009A7163">
        <w:t>409)</w:t>
      </w:r>
      <w:r w:rsidR="00626F7A" w:rsidRPr="009A7163">
        <w:t>.</w:t>
      </w:r>
    </w:p>
    <w:p w14:paraId="06648B8D" w14:textId="0522AFD2" w:rsidR="0059347E" w:rsidRPr="009A7163" w:rsidRDefault="004963CB" w:rsidP="00B17488">
      <w:pPr>
        <w:spacing w:line="360" w:lineRule="auto"/>
        <w:ind w:firstLine="720"/>
        <w:jc w:val="both"/>
      </w:pPr>
      <w:r w:rsidRPr="009A7163">
        <w:t>Women</w:t>
      </w:r>
      <w:r w:rsidR="00F56D1F" w:rsidRPr="009A7163">
        <w:t>’s</w:t>
      </w:r>
      <w:r w:rsidRPr="009A7163">
        <w:t xml:space="preserve"> </w:t>
      </w:r>
      <w:r w:rsidR="00E64F3D" w:rsidRPr="009A7163">
        <w:t>unpaid care and domestic work</w:t>
      </w:r>
      <w:r w:rsidR="00F56D1F" w:rsidRPr="009A7163">
        <w:t xml:space="preserve"> </w:t>
      </w:r>
      <w:r w:rsidR="00690179" w:rsidRPr="009A7163">
        <w:t>forms a critical foundation for the functioning of markets and the economy</w:t>
      </w:r>
      <w:r w:rsidR="00F529BB" w:rsidRPr="009A7163">
        <w:t xml:space="preserve"> (</w:t>
      </w:r>
      <w:r w:rsidR="00626F7A" w:rsidRPr="009A7163">
        <w:t>Chopra et al.</w:t>
      </w:r>
      <w:r w:rsidR="00F529BB" w:rsidRPr="009A7163">
        <w:t>,</w:t>
      </w:r>
      <w:r w:rsidR="00626F7A" w:rsidRPr="009A7163">
        <w:t xml:space="preserve"> 2014,</w:t>
      </w:r>
      <w:r w:rsidR="00F529BB" w:rsidRPr="009A7163">
        <w:t xml:space="preserve"> p.</w:t>
      </w:r>
      <w:r w:rsidR="00626F7A" w:rsidRPr="009A7163">
        <w:t xml:space="preserve"> </w:t>
      </w:r>
      <w:r w:rsidR="00F529BB" w:rsidRPr="009A7163">
        <w:t>419)</w:t>
      </w:r>
      <w:r w:rsidR="00F56D1F" w:rsidRPr="009A7163">
        <w:t>,</w:t>
      </w:r>
      <w:r w:rsidR="00690179" w:rsidRPr="009A7163">
        <w:t xml:space="preserve"> and </w:t>
      </w:r>
      <w:r w:rsidR="00F56D1F" w:rsidRPr="009A7163">
        <w:t xml:space="preserve">it </w:t>
      </w:r>
      <w:r w:rsidR="00690179" w:rsidRPr="009A7163">
        <w:t>remains the largest single area of economic activity not included in national accounts and not seen as part of the gross domestic product (GDP) of any country.</w:t>
      </w:r>
      <w:r w:rsidRPr="009A7163">
        <w:t xml:space="preserve"> </w:t>
      </w:r>
      <w:r w:rsidR="00626F7A" w:rsidRPr="009A7163">
        <w:t>A</w:t>
      </w:r>
      <w:r w:rsidR="0028651D" w:rsidRPr="009A7163">
        <w:t xml:space="preserve"> United Nations report stated that ‘t</w:t>
      </w:r>
      <w:r w:rsidR="00690179" w:rsidRPr="009A7163">
        <w:t>he total value of unpaid care and domestic work is estimated to be between 10</w:t>
      </w:r>
      <w:r w:rsidR="00F56D1F" w:rsidRPr="009A7163">
        <w:t>-39%</w:t>
      </w:r>
      <w:r w:rsidR="00690179" w:rsidRPr="009A7163">
        <w:t xml:space="preserve"> of GDP and can surpass that of manufacturing, commerce, transportation</w:t>
      </w:r>
      <w:r w:rsidR="00F56D1F" w:rsidRPr="009A7163">
        <w:t>,</w:t>
      </w:r>
      <w:r w:rsidR="00690179" w:rsidRPr="009A7163">
        <w:t xml:space="preserve"> and other key sectors</w:t>
      </w:r>
      <w:r w:rsidR="00626F7A" w:rsidRPr="009A7163">
        <w:t>.</w:t>
      </w:r>
      <w:r w:rsidR="00AA129F" w:rsidRPr="009A7163">
        <w:t xml:space="preserve"> </w:t>
      </w:r>
      <w:r w:rsidR="0000738A" w:rsidRPr="009A7163">
        <w:t xml:space="preserve">Unpaid care and domestic work supports the economy and often makes up for lack of public expenditure on social services </w:t>
      </w:r>
      <w:r w:rsidR="00AA4711" w:rsidRPr="009A7163">
        <w:t>and infrastructure’ (United Nations</w:t>
      </w:r>
      <w:r w:rsidR="00152E60" w:rsidRPr="009A7163">
        <w:t xml:space="preserve"> Economic and Social Council</w:t>
      </w:r>
      <w:r w:rsidR="00AA4711" w:rsidRPr="009A7163">
        <w:t xml:space="preserve">, 2016, p. 9). </w:t>
      </w:r>
      <w:r w:rsidR="00EA1F95" w:rsidRPr="009A7163">
        <w:t>UCW</w:t>
      </w:r>
      <w:r w:rsidR="0000738A" w:rsidRPr="009A7163">
        <w:t xml:space="preserve"> represents a transfer of resources from</w:t>
      </w:r>
      <w:r w:rsidR="00E64F3D" w:rsidRPr="009A7163">
        <w:t xml:space="preserve"> women to others </w:t>
      </w:r>
      <w:r w:rsidR="00C5793F" w:rsidRPr="009A7163">
        <w:t>in the economy and</w:t>
      </w:r>
      <w:r w:rsidR="00B747D2" w:rsidRPr="009A7163">
        <w:t>,</w:t>
      </w:r>
      <w:r w:rsidR="00C5793F" w:rsidRPr="009A7163">
        <w:t xml:space="preserve"> </w:t>
      </w:r>
      <w:r w:rsidR="00580EE9" w:rsidRPr="009A7163">
        <w:t>in essence</w:t>
      </w:r>
      <w:r w:rsidR="00B747D2" w:rsidRPr="009A7163">
        <w:t>,</w:t>
      </w:r>
      <w:r w:rsidR="00D76108" w:rsidRPr="009A7163">
        <w:t xml:space="preserve"> </w:t>
      </w:r>
      <w:r w:rsidR="00643286" w:rsidRPr="009A7163">
        <w:t>subsid</w:t>
      </w:r>
      <w:r w:rsidR="00B747D2" w:rsidRPr="009A7163">
        <w:t>is</w:t>
      </w:r>
      <w:r w:rsidR="00643286" w:rsidRPr="009A7163">
        <w:t xml:space="preserve">es the market economy and </w:t>
      </w:r>
      <w:r w:rsidR="00E64F3D" w:rsidRPr="009A7163">
        <w:t>contributes directly to a count</w:t>
      </w:r>
      <w:r w:rsidR="00B747D2" w:rsidRPr="009A7163">
        <w:t>r</w:t>
      </w:r>
      <w:r w:rsidR="00E64F3D" w:rsidRPr="009A7163">
        <w:t>y’s economic and social development.</w:t>
      </w:r>
      <w:r w:rsidR="00130AF6" w:rsidRPr="009A7163">
        <w:t xml:space="preserve"> </w:t>
      </w:r>
    </w:p>
    <w:p w14:paraId="3D8CA32D" w14:textId="46FAC491" w:rsidR="00C021DB" w:rsidRPr="009A7163" w:rsidRDefault="00AA4711" w:rsidP="00B17488">
      <w:pPr>
        <w:spacing w:line="360" w:lineRule="auto"/>
        <w:ind w:firstLine="720"/>
        <w:jc w:val="both"/>
      </w:pPr>
      <w:r w:rsidRPr="009A7163">
        <w:t>Ferrant el al</w:t>
      </w:r>
      <w:r w:rsidR="00B747D2" w:rsidRPr="009A7163">
        <w:t>.</w:t>
      </w:r>
      <w:r w:rsidRPr="009A7163">
        <w:t xml:space="preserve"> </w:t>
      </w:r>
      <w:r w:rsidR="00626F7A" w:rsidRPr="009A7163">
        <w:t xml:space="preserve">(2014) </w:t>
      </w:r>
      <w:r w:rsidRPr="009A7163">
        <w:t>argue that ‘d</w:t>
      </w:r>
      <w:r w:rsidR="00396858" w:rsidRPr="009A7163">
        <w:t xml:space="preserve">espite </w:t>
      </w:r>
      <w:r w:rsidR="00C477E0" w:rsidRPr="009A7163">
        <w:t>this</w:t>
      </w:r>
      <w:r w:rsidR="00396858" w:rsidRPr="009A7163">
        <w:t xml:space="preserve"> importance for we</w:t>
      </w:r>
      <w:r w:rsidR="00C477E0" w:rsidRPr="009A7163">
        <w:t>ll-being, unpaid care work is</w:t>
      </w:r>
      <w:r w:rsidR="00396858" w:rsidRPr="009A7163">
        <w:t xml:space="preserve"> commonly left out of policy agendas</w:t>
      </w:r>
      <w:r w:rsidR="00580EE9" w:rsidRPr="009A7163">
        <w:t xml:space="preserve"> and </w:t>
      </w:r>
      <w:r w:rsidR="00104366" w:rsidRPr="009A7163">
        <w:t xml:space="preserve">official </w:t>
      </w:r>
      <w:r w:rsidR="00580EE9" w:rsidRPr="009A7163">
        <w:t xml:space="preserve">national accounting </w:t>
      </w:r>
      <w:r w:rsidR="00580EE9" w:rsidRPr="009A7163">
        <w:lastRenderedPageBreak/>
        <w:t>systems</w:t>
      </w:r>
      <w:r w:rsidR="00396858" w:rsidRPr="009A7163">
        <w:t xml:space="preserve"> due to a common misperception that, unlike standard market work measures, it is too difficult to measure and less relevant for policies</w:t>
      </w:r>
      <w:r w:rsidRPr="009A7163">
        <w:t>’</w:t>
      </w:r>
      <w:r w:rsidR="008F4850" w:rsidRPr="009A7163">
        <w:t xml:space="preserve"> (</w:t>
      </w:r>
      <w:r w:rsidR="00AA5A40" w:rsidRPr="009A7163">
        <w:t xml:space="preserve">p. </w:t>
      </w:r>
      <w:r w:rsidR="008F4850" w:rsidRPr="009A7163">
        <w:t>1</w:t>
      </w:r>
      <w:r w:rsidR="00580EE9" w:rsidRPr="009A7163">
        <w:t>)</w:t>
      </w:r>
      <w:r w:rsidR="00295616" w:rsidRPr="009A7163">
        <w:t xml:space="preserve">. </w:t>
      </w:r>
      <w:r w:rsidR="00F56D1F" w:rsidRPr="009A7163">
        <w:rPr>
          <w:shd w:val="clear" w:color="auto" w:fill="FFFFFF"/>
        </w:rPr>
        <w:t xml:space="preserve">The definition of work developed by the </w:t>
      </w:r>
      <w:r w:rsidR="007260E8" w:rsidRPr="009A7163">
        <w:rPr>
          <w:shd w:val="clear" w:color="auto" w:fill="FFFFFF"/>
        </w:rPr>
        <w:t>United Nations System of National Accounts of 1993 (</w:t>
      </w:r>
      <w:r w:rsidR="006E20AF" w:rsidRPr="009A7163">
        <w:rPr>
          <w:shd w:val="clear" w:color="auto" w:fill="FFFFFF"/>
        </w:rPr>
        <w:t>SNA</w:t>
      </w:r>
      <w:r w:rsidR="007260E8" w:rsidRPr="009A7163">
        <w:rPr>
          <w:shd w:val="clear" w:color="auto" w:fill="FFFFFF"/>
        </w:rPr>
        <w:t>)</w:t>
      </w:r>
      <w:r w:rsidR="00F56D1F" w:rsidRPr="009A7163">
        <w:rPr>
          <w:shd w:val="clear" w:color="auto" w:fill="FFFFFF"/>
        </w:rPr>
        <w:t xml:space="preserve"> </w:t>
      </w:r>
      <w:r w:rsidR="007260E8" w:rsidRPr="009A7163">
        <w:rPr>
          <w:shd w:val="clear" w:color="auto" w:fill="FFFFFF"/>
        </w:rPr>
        <w:t xml:space="preserve">excluded unpaid care due to being too complicated to </w:t>
      </w:r>
      <w:r w:rsidR="00F56D1F" w:rsidRPr="009A7163">
        <w:rPr>
          <w:shd w:val="clear" w:color="auto" w:fill="FFFFFF"/>
        </w:rPr>
        <w:t>define</w:t>
      </w:r>
      <w:r w:rsidR="00CA6AED" w:rsidRPr="009A7163">
        <w:rPr>
          <w:shd w:val="clear" w:color="auto" w:fill="FFFFFF"/>
        </w:rPr>
        <w:t>, an action that</w:t>
      </w:r>
      <w:r w:rsidR="00396858" w:rsidRPr="009A7163">
        <w:t xml:space="preserve"> has been </w:t>
      </w:r>
      <w:r w:rsidR="004F1F71" w:rsidRPr="009A7163">
        <w:t>critic</w:t>
      </w:r>
      <w:r w:rsidR="00793320" w:rsidRPr="009A7163">
        <w:t>ise</w:t>
      </w:r>
      <w:r w:rsidR="004F1F71" w:rsidRPr="009A7163">
        <w:t>d</w:t>
      </w:r>
      <w:r w:rsidR="00396858" w:rsidRPr="009A7163">
        <w:t xml:space="preserve"> by feminist </w:t>
      </w:r>
      <w:r w:rsidR="004F1F71" w:rsidRPr="009A7163">
        <w:t>economics</w:t>
      </w:r>
      <w:r w:rsidR="00396858" w:rsidRPr="009A7163">
        <w:t xml:space="preserve"> for not being logical or valid (Hirway, 2015, </w:t>
      </w:r>
      <w:r w:rsidR="00AA5A40" w:rsidRPr="009A7163">
        <w:t xml:space="preserve">p. </w:t>
      </w:r>
      <w:r w:rsidR="00396858" w:rsidRPr="009A7163">
        <w:t>1).</w:t>
      </w:r>
      <w:r w:rsidR="00396858" w:rsidRPr="009A7163">
        <w:rPr>
          <w:shd w:val="clear" w:color="auto" w:fill="FFFFFF"/>
        </w:rPr>
        <w:t xml:space="preserve"> </w:t>
      </w:r>
      <w:r w:rsidR="00C021DB" w:rsidRPr="009A7163">
        <w:t>Feminists have long argued that (mainly) women’s unpaid work should be part of what official economic statistics measure</w:t>
      </w:r>
      <w:r w:rsidR="00C021DB" w:rsidRPr="009A7163">
        <w:rPr>
          <w:shd w:val="clear" w:color="auto" w:fill="FFFFFF"/>
        </w:rPr>
        <w:t xml:space="preserve">. </w:t>
      </w:r>
      <w:r w:rsidR="00DE5BC1" w:rsidRPr="009A7163">
        <w:rPr>
          <w:shd w:val="clear" w:color="auto" w:fill="FFFFFF"/>
        </w:rPr>
        <w:t>Daigle et al</w:t>
      </w:r>
      <w:r w:rsidR="00B747D2" w:rsidRPr="009A7163">
        <w:rPr>
          <w:shd w:val="clear" w:color="auto" w:fill="FFFFFF"/>
        </w:rPr>
        <w:t>.</w:t>
      </w:r>
      <w:r w:rsidR="00DE5BC1" w:rsidRPr="009A7163">
        <w:rPr>
          <w:shd w:val="clear" w:color="auto" w:fill="FFFFFF"/>
        </w:rPr>
        <w:t xml:space="preserve"> (2017)</w:t>
      </w:r>
      <w:r w:rsidR="0071591D" w:rsidRPr="009A7163">
        <w:rPr>
          <w:shd w:val="clear" w:color="auto" w:fill="FFFFFF"/>
        </w:rPr>
        <w:t xml:space="preserve"> state that ‘</w:t>
      </w:r>
      <w:r w:rsidR="00DE5BC1" w:rsidRPr="009A7163">
        <w:t>f</w:t>
      </w:r>
      <w:r w:rsidR="00396858" w:rsidRPr="009A7163">
        <w:t xml:space="preserve">eminist economists see this work as a crucial part of the </w:t>
      </w:r>
      <w:r w:rsidR="00626F7A" w:rsidRPr="009A7163">
        <w:t>“</w:t>
      </w:r>
      <w:r w:rsidR="00396858" w:rsidRPr="009A7163">
        <w:t>care economy</w:t>
      </w:r>
      <w:r w:rsidR="00626F7A" w:rsidRPr="009A7163">
        <w:t>”</w:t>
      </w:r>
      <w:r w:rsidR="00396858" w:rsidRPr="009A7163">
        <w:t xml:space="preserve"> </w:t>
      </w:r>
      <w:r w:rsidR="00F56D1F" w:rsidRPr="009A7163">
        <w:t>that</w:t>
      </w:r>
      <w:r w:rsidR="00396858" w:rsidRPr="009A7163">
        <w:t xml:space="preserve"> sustains both the labour force and others in society and enhances the well</w:t>
      </w:r>
      <w:r w:rsidR="00F56D1F" w:rsidRPr="009A7163">
        <w:t>-</w:t>
      </w:r>
      <w:r w:rsidR="00396858" w:rsidRPr="009A7163">
        <w:t>being of all</w:t>
      </w:r>
      <w:r w:rsidR="00F56D1F" w:rsidRPr="009A7163">
        <w:t>. A</w:t>
      </w:r>
      <w:r w:rsidR="00396858" w:rsidRPr="009A7163">
        <w:t>s such</w:t>
      </w:r>
      <w:r w:rsidR="00FD75EA" w:rsidRPr="009A7163">
        <w:t>,</w:t>
      </w:r>
      <w:r w:rsidR="00396858" w:rsidRPr="009A7163">
        <w:t xml:space="preserve"> it should be valued on par with the </w:t>
      </w:r>
      <w:r w:rsidR="00DE5BC1" w:rsidRPr="009A7163">
        <w:t>“</w:t>
      </w:r>
      <w:r w:rsidR="00396858" w:rsidRPr="009A7163">
        <w:t>productive economy</w:t>
      </w:r>
      <w:r w:rsidR="00DE5BC1" w:rsidRPr="009A7163">
        <w:t>”</w:t>
      </w:r>
      <w:r w:rsidR="00626F7A" w:rsidRPr="009A7163">
        <w:t xml:space="preserve">’ </w:t>
      </w:r>
      <w:r w:rsidR="00DE5BC1" w:rsidRPr="009A7163">
        <w:t>(p.</w:t>
      </w:r>
      <w:r w:rsidR="00626F7A" w:rsidRPr="009A7163">
        <w:t xml:space="preserve"> </w:t>
      </w:r>
      <w:r w:rsidR="00DE5BC1" w:rsidRPr="009A7163">
        <w:t>1)</w:t>
      </w:r>
      <w:r w:rsidR="00396858" w:rsidRPr="009A7163">
        <w:t>. Esquivel (2014) state</w:t>
      </w:r>
      <w:r w:rsidR="00EA1F95" w:rsidRPr="009A7163">
        <w:t>s,</w:t>
      </w:r>
      <w:r w:rsidR="00396858" w:rsidRPr="009A7163">
        <w:t xml:space="preserve"> ‘[The] </w:t>
      </w:r>
      <w:r w:rsidR="00626F7A" w:rsidRPr="009A7163">
        <w:t>“</w:t>
      </w:r>
      <w:r w:rsidR="00396858" w:rsidRPr="009A7163">
        <w:t>care economy</w:t>
      </w:r>
      <w:r w:rsidR="00626F7A" w:rsidRPr="009A7163">
        <w:t>”</w:t>
      </w:r>
      <w:r w:rsidR="00396858" w:rsidRPr="009A7163">
        <w:t xml:space="preserve"> captures the idea that unpaid care work produces </w:t>
      </w:r>
      <w:r w:rsidR="00626F7A" w:rsidRPr="009A7163">
        <w:t>“</w:t>
      </w:r>
      <w:r w:rsidR="00396858" w:rsidRPr="009A7163">
        <w:t>value</w:t>
      </w:r>
      <w:r w:rsidR="00626F7A" w:rsidRPr="009A7163">
        <w:t>”</w:t>
      </w:r>
      <w:r w:rsidR="00396858" w:rsidRPr="009A7163">
        <w:t xml:space="preserve"> (and can therefore be considered to be productive or economic), but </w:t>
      </w:r>
      <w:r w:rsidR="00F56D1F" w:rsidRPr="009A7163">
        <w:t>it’s</w:t>
      </w:r>
      <w:r w:rsidR="00396858" w:rsidRPr="009A7163">
        <w:t xml:space="preserve"> invisible to standard valuations of the size of the economy</w:t>
      </w:r>
      <w:r w:rsidR="007260E8" w:rsidRPr="009A7163">
        <w:t>’</w:t>
      </w:r>
      <w:r w:rsidR="006E20AF" w:rsidRPr="009A7163">
        <w:t xml:space="preserve"> (p. 429)</w:t>
      </w:r>
      <w:r w:rsidR="00396858" w:rsidRPr="009A7163">
        <w:t xml:space="preserve">. The argument is that production depends on reproduction – that is economic development depends on care. Care is the invisible base of development. </w:t>
      </w:r>
      <w:r w:rsidR="00106873" w:rsidRPr="009A7163">
        <w:t>Chopra et al</w:t>
      </w:r>
      <w:r w:rsidR="006E20AF" w:rsidRPr="009A7163">
        <w:t>.</w:t>
      </w:r>
      <w:r w:rsidR="00106873" w:rsidRPr="009A7163">
        <w:t xml:space="preserve"> (2014)</w:t>
      </w:r>
      <w:r w:rsidR="007E25F0" w:rsidRPr="009A7163">
        <w:t xml:space="preserve"> argue that</w:t>
      </w:r>
      <w:r w:rsidR="0049439C" w:rsidRPr="009A7163">
        <w:t xml:space="preserve"> if this current system is not reviewed,</w:t>
      </w:r>
      <w:r w:rsidR="007E25F0" w:rsidRPr="009A7163">
        <w:t xml:space="preserve"> ‘t</w:t>
      </w:r>
      <w:r w:rsidR="00396858" w:rsidRPr="009A7163">
        <w:t xml:space="preserve">he existing </w:t>
      </w:r>
      <w:r w:rsidR="0049439C" w:rsidRPr="009A7163">
        <w:t>“</w:t>
      </w:r>
      <w:r w:rsidR="00396858" w:rsidRPr="009A7163">
        <w:t>careless</w:t>
      </w:r>
      <w:r w:rsidR="0049439C" w:rsidRPr="009A7163">
        <w:t>”</w:t>
      </w:r>
      <w:r w:rsidR="00396858" w:rsidRPr="009A7163">
        <w:t xml:space="preserve"> economy is unt</w:t>
      </w:r>
      <w:r w:rsidR="007260E8" w:rsidRPr="009A7163">
        <w:t>enable and unsustainable</w:t>
      </w:r>
      <w:r w:rsidR="007E25F0" w:rsidRPr="009A7163">
        <w:t>’</w:t>
      </w:r>
      <w:r w:rsidR="00106873" w:rsidRPr="009A7163">
        <w:t xml:space="preserve"> (</w:t>
      </w:r>
      <w:r w:rsidR="007E25F0" w:rsidRPr="009A7163">
        <w:t>p.</w:t>
      </w:r>
      <w:r w:rsidR="0049439C" w:rsidRPr="009A7163">
        <w:t xml:space="preserve"> </w:t>
      </w:r>
      <w:r w:rsidR="007E25F0" w:rsidRPr="009A7163">
        <w:t>419)</w:t>
      </w:r>
      <w:r w:rsidR="007260E8" w:rsidRPr="009A7163">
        <w:t>.</w:t>
      </w:r>
    </w:p>
    <w:p w14:paraId="297B9F92" w14:textId="7C26432D" w:rsidR="0049439C" w:rsidRPr="009A7163" w:rsidRDefault="00674914" w:rsidP="00533057">
      <w:pPr>
        <w:spacing w:line="360" w:lineRule="auto"/>
        <w:ind w:firstLine="720"/>
        <w:jc w:val="both"/>
      </w:pPr>
      <w:r w:rsidRPr="009A7163">
        <w:t xml:space="preserve">At the heart of feminist economics and analysis is the argument that the issue of </w:t>
      </w:r>
      <w:r w:rsidR="00EA1F95" w:rsidRPr="009A7163">
        <w:t>UCW</w:t>
      </w:r>
      <w:r w:rsidRPr="009A7163">
        <w:t xml:space="preserve"> is </w:t>
      </w:r>
      <w:r w:rsidR="005341E9" w:rsidRPr="009A7163">
        <w:t>a structural issue</w:t>
      </w:r>
      <w:r w:rsidRPr="009A7163">
        <w:t xml:space="preserve"> </w:t>
      </w:r>
      <w:r w:rsidR="00FD75EA" w:rsidRPr="009A7163">
        <w:t>that</w:t>
      </w:r>
      <w:r w:rsidRPr="009A7163">
        <w:t xml:space="preserve"> determines how </w:t>
      </w:r>
      <w:r w:rsidR="00295616" w:rsidRPr="009A7163">
        <w:t xml:space="preserve">economies and societies are </w:t>
      </w:r>
      <w:r w:rsidR="002E2A5C" w:rsidRPr="009A7163">
        <w:t>organ</w:t>
      </w:r>
      <w:r w:rsidR="00793320" w:rsidRPr="009A7163">
        <w:t>ise</w:t>
      </w:r>
      <w:r w:rsidR="002E2A5C" w:rsidRPr="009A7163">
        <w:t>d</w:t>
      </w:r>
      <w:r w:rsidRPr="009A7163">
        <w:t>.</w:t>
      </w:r>
      <w:r w:rsidR="00382597" w:rsidRPr="009A7163">
        <w:t xml:space="preserve"> </w:t>
      </w:r>
      <w:r w:rsidR="00264D31" w:rsidRPr="009A7163">
        <w:t xml:space="preserve">Hirway </w:t>
      </w:r>
      <w:r w:rsidR="0049439C" w:rsidRPr="009A7163">
        <w:t xml:space="preserve">(2015) </w:t>
      </w:r>
      <w:r w:rsidR="00264D31" w:rsidRPr="009A7163">
        <w:t>argue</w:t>
      </w:r>
      <w:r w:rsidR="00EA1F95" w:rsidRPr="009A7163">
        <w:t>s</w:t>
      </w:r>
      <w:r w:rsidR="00264D31" w:rsidRPr="009A7163">
        <w:t xml:space="preserve">: </w:t>
      </w:r>
    </w:p>
    <w:p w14:paraId="09CF4649" w14:textId="62EC0FDB" w:rsidR="0049439C" w:rsidRPr="009A7163" w:rsidRDefault="00EE1022" w:rsidP="00EE3B23">
      <w:pPr>
        <w:spacing w:after="180"/>
        <w:ind w:left="720"/>
        <w:jc w:val="both"/>
      </w:pPr>
      <w:r w:rsidRPr="009A7163">
        <w:t xml:space="preserve">The predominance of women in this work is not a result of their free choice or their relative efficiency or inefficiency. </w:t>
      </w:r>
      <w:r w:rsidR="00382597" w:rsidRPr="009A7163">
        <w:t>The division of work between men and women is largely a social construct</w:t>
      </w:r>
      <w:r w:rsidR="00FD75EA" w:rsidRPr="009A7163">
        <w:t xml:space="preserve"> </w:t>
      </w:r>
      <w:r w:rsidR="009B3B0E" w:rsidRPr="009A7163">
        <w:t>–</w:t>
      </w:r>
      <w:r w:rsidR="00264D31" w:rsidRPr="009A7163">
        <w:t xml:space="preserve"> </w:t>
      </w:r>
      <w:r w:rsidR="00382597" w:rsidRPr="009A7163">
        <w:t>determined by patriarchal traditions and values</w:t>
      </w:r>
      <w:r w:rsidR="00264D31" w:rsidRPr="009A7163">
        <w:t xml:space="preserve">. In fact, this highly unequal distribution of unpaid and paid work is at the root of power relations between men and women and all-pervasive gender inequalities. </w:t>
      </w:r>
      <w:r w:rsidR="00EA1F95" w:rsidRPr="009A7163">
        <w:t>(p. 6)</w:t>
      </w:r>
    </w:p>
    <w:p w14:paraId="08835D71" w14:textId="15291DCD" w:rsidR="00382597" w:rsidRPr="009A7163" w:rsidRDefault="00264D31" w:rsidP="006F2FAF">
      <w:pPr>
        <w:spacing w:line="360" w:lineRule="auto"/>
        <w:jc w:val="both"/>
        <w:rPr>
          <w:highlight w:val="yellow"/>
        </w:rPr>
      </w:pPr>
      <w:r w:rsidRPr="009A7163">
        <w:t>T</w:t>
      </w:r>
      <w:r w:rsidR="00382597" w:rsidRPr="009A7163">
        <w:t xml:space="preserve">he way we measure economies is inherently sexist. </w:t>
      </w:r>
      <w:r w:rsidR="00674914" w:rsidRPr="009A7163">
        <w:t xml:space="preserve">The </w:t>
      </w:r>
      <w:r w:rsidR="005341E9" w:rsidRPr="009A7163">
        <w:t>economy</w:t>
      </w:r>
      <w:r w:rsidR="00674914" w:rsidRPr="009A7163">
        <w:t xml:space="preserve"> must be understood as a gendered construct</w:t>
      </w:r>
      <w:r w:rsidR="005341E9" w:rsidRPr="009A7163">
        <w:t xml:space="preserve"> </w:t>
      </w:r>
      <w:r w:rsidR="00FD75EA" w:rsidRPr="009A7163">
        <w:t>that</w:t>
      </w:r>
      <w:r w:rsidR="00295616" w:rsidRPr="009A7163">
        <w:t xml:space="preserve"> </w:t>
      </w:r>
      <w:r w:rsidR="002E2A5C" w:rsidRPr="009A7163">
        <w:t>discerns</w:t>
      </w:r>
      <w:r w:rsidR="00295616" w:rsidRPr="009A7163">
        <w:t xml:space="preserve"> what is productive</w:t>
      </w:r>
      <w:r w:rsidR="0049439C" w:rsidRPr="009A7163">
        <w:t>,</w:t>
      </w:r>
      <w:r w:rsidR="00295616" w:rsidRPr="009A7163">
        <w:t xml:space="preserve"> and therefo</w:t>
      </w:r>
      <w:r w:rsidR="005341E9" w:rsidRPr="009A7163">
        <w:t>re counts in economic terms</w:t>
      </w:r>
      <w:r w:rsidR="0049439C" w:rsidRPr="009A7163">
        <w:t>,</w:t>
      </w:r>
      <w:r w:rsidR="005341E9" w:rsidRPr="009A7163">
        <w:t xml:space="preserve"> </w:t>
      </w:r>
      <w:r w:rsidR="00382597" w:rsidRPr="009A7163">
        <w:t xml:space="preserve">and </w:t>
      </w:r>
      <w:r w:rsidR="00295616" w:rsidRPr="009A7163">
        <w:t>which work goes unrecogn</w:t>
      </w:r>
      <w:r w:rsidR="00793320" w:rsidRPr="009A7163">
        <w:t>ise</w:t>
      </w:r>
      <w:r w:rsidR="00295616" w:rsidRPr="009A7163">
        <w:t>d and undervalued.</w:t>
      </w:r>
      <w:r w:rsidR="00382597" w:rsidRPr="009A7163">
        <w:t xml:space="preserve"> This division </w:t>
      </w:r>
      <w:r w:rsidRPr="009A7163">
        <w:t>‘</w:t>
      </w:r>
      <w:r w:rsidR="00382597" w:rsidRPr="009A7163">
        <w:t>forces policymakers to adopt a partial a</w:t>
      </w:r>
      <w:r w:rsidR="00EE1022" w:rsidRPr="009A7163">
        <w:t>nd biased view of the economy</w:t>
      </w:r>
      <w:r w:rsidRPr="009A7163">
        <w:t>’</w:t>
      </w:r>
      <w:r w:rsidR="00EE1022" w:rsidRPr="009A7163">
        <w:t xml:space="preserve"> </w:t>
      </w:r>
      <w:r w:rsidR="00382597" w:rsidRPr="009A7163">
        <w:t xml:space="preserve">(Hirway, 2015, </w:t>
      </w:r>
      <w:r w:rsidR="00AA5A40" w:rsidRPr="009A7163">
        <w:t xml:space="preserve">p. </w:t>
      </w:r>
      <w:r w:rsidR="00382597" w:rsidRPr="009A7163">
        <w:t>7)</w:t>
      </w:r>
      <w:r w:rsidR="00EE1022" w:rsidRPr="009A7163">
        <w:t>.</w:t>
      </w:r>
      <w:r w:rsidR="002E2A5C" w:rsidRPr="009A7163">
        <w:t xml:space="preserve"> </w:t>
      </w:r>
      <w:r w:rsidR="00295616" w:rsidRPr="009A7163">
        <w:t xml:space="preserve">Feminist economists have shown that by ignoring unpaid work and seeing </w:t>
      </w:r>
      <w:r w:rsidR="00FD75EA" w:rsidRPr="009A7163">
        <w:t>it</w:t>
      </w:r>
      <w:r w:rsidR="00295616" w:rsidRPr="009A7163">
        <w:t xml:space="preserve"> as </w:t>
      </w:r>
      <w:r w:rsidR="002E2A5C" w:rsidRPr="009A7163">
        <w:t>separate</w:t>
      </w:r>
      <w:r w:rsidR="00295616" w:rsidRPr="009A7163">
        <w:t xml:space="preserve"> from conventional </w:t>
      </w:r>
      <w:r w:rsidR="002E2A5C" w:rsidRPr="009A7163">
        <w:t>productive</w:t>
      </w:r>
      <w:r w:rsidR="00295616" w:rsidRPr="009A7163">
        <w:t xml:space="preserve"> </w:t>
      </w:r>
      <w:r w:rsidR="002E2A5C" w:rsidRPr="009A7163">
        <w:t>activities</w:t>
      </w:r>
      <w:r w:rsidR="00295616" w:rsidRPr="009A7163">
        <w:t xml:space="preserve"> leads to a </w:t>
      </w:r>
      <w:r w:rsidR="002E2A5C" w:rsidRPr="009A7163">
        <w:t>series</w:t>
      </w:r>
      <w:r w:rsidR="00295616" w:rsidRPr="009A7163">
        <w:t xml:space="preserve"> of fallacies in economic policy making </w:t>
      </w:r>
      <w:r w:rsidR="002E2A5C" w:rsidRPr="009A7163">
        <w:t>whereby</w:t>
      </w:r>
      <w:r w:rsidR="00295616" w:rsidRPr="009A7163">
        <w:t xml:space="preserve"> objectives of deficit reduction and grow</w:t>
      </w:r>
      <w:r w:rsidR="00764CB3" w:rsidRPr="009A7163">
        <w:t>th</w:t>
      </w:r>
      <w:r w:rsidR="00295616" w:rsidRPr="009A7163">
        <w:t xml:space="preserve"> are </w:t>
      </w:r>
      <w:r w:rsidR="00C021DB" w:rsidRPr="009A7163">
        <w:t>privileged</w:t>
      </w:r>
      <w:r w:rsidR="00295616" w:rsidRPr="009A7163">
        <w:t xml:space="preserve"> over broader goals of social </w:t>
      </w:r>
      <w:r w:rsidR="002E2A5C" w:rsidRPr="009A7163">
        <w:t>well-being</w:t>
      </w:r>
      <w:r w:rsidR="00295616" w:rsidRPr="009A7163">
        <w:t xml:space="preserve"> (Capraro and Rho</w:t>
      </w:r>
      <w:r w:rsidR="00C021DB" w:rsidRPr="009A7163">
        <w:t>d</w:t>
      </w:r>
      <w:r w:rsidR="00295616" w:rsidRPr="009A7163">
        <w:t xml:space="preserve">es, 2017, </w:t>
      </w:r>
      <w:r w:rsidR="00AA5A40" w:rsidRPr="009A7163">
        <w:t xml:space="preserve">p. </w:t>
      </w:r>
      <w:r w:rsidR="00295616" w:rsidRPr="009A7163">
        <w:t>4)</w:t>
      </w:r>
      <w:r w:rsidR="00382597" w:rsidRPr="009A7163">
        <w:t xml:space="preserve">. Antonopoulous </w:t>
      </w:r>
      <w:r w:rsidR="00FD75EA" w:rsidRPr="009A7163">
        <w:t xml:space="preserve">(2009) </w:t>
      </w:r>
      <w:r w:rsidR="00EA1F95" w:rsidRPr="009A7163">
        <w:t>goes</w:t>
      </w:r>
      <w:r w:rsidR="00382597" w:rsidRPr="009A7163">
        <w:t xml:space="preserve"> further saying it</w:t>
      </w:r>
      <w:r w:rsidR="003547AC" w:rsidRPr="009A7163">
        <w:t xml:space="preserve"> can lead to </w:t>
      </w:r>
      <w:r w:rsidR="00533057" w:rsidRPr="009A7163">
        <w:t>‘</w:t>
      </w:r>
      <w:r w:rsidR="003547AC" w:rsidRPr="009A7163">
        <w:t xml:space="preserve">social exclusion, time poverty, and depletion of human capabilities. Internalized as one’s “destiny,” the inviolable </w:t>
      </w:r>
      <w:r w:rsidR="003547AC" w:rsidRPr="009A7163">
        <w:lastRenderedPageBreak/>
        <w:t>obligations of unpaid work deprive some of their “rights” and citizenship by de facto segregation</w:t>
      </w:r>
      <w:r w:rsidR="00533057" w:rsidRPr="009A7163">
        <w:t>’ (p.</w:t>
      </w:r>
      <w:r w:rsidR="00793320" w:rsidRPr="009A7163">
        <w:t xml:space="preserve"> </w:t>
      </w:r>
      <w:r w:rsidR="00533057" w:rsidRPr="009A7163">
        <w:t xml:space="preserve">9). This form of social and economic exclusion from the mainstream economy is </w:t>
      </w:r>
      <w:r w:rsidR="0049439C" w:rsidRPr="009A7163">
        <w:t>what</w:t>
      </w:r>
      <w:r w:rsidR="00533057" w:rsidRPr="009A7163">
        <w:t xml:space="preserve"> </w:t>
      </w:r>
      <w:r w:rsidR="00382597" w:rsidRPr="009A7163">
        <w:t xml:space="preserve">Goldschmidt-Clermont </w:t>
      </w:r>
      <w:r w:rsidR="00FD75EA" w:rsidRPr="009A7163">
        <w:t xml:space="preserve">(1987, 1989) </w:t>
      </w:r>
      <w:r w:rsidR="00382597" w:rsidRPr="009A7163">
        <w:t>call</w:t>
      </w:r>
      <w:r w:rsidR="0049439C" w:rsidRPr="009A7163">
        <w:t>ed</w:t>
      </w:r>
      <w:r w:rsidR="00382597" w:rsidRPr="009A7163">
        <w:t xml:space="preserve"> a </w:t>
      </w:r>
      <w:r w:rsidR="00AA5A40" w:rsidRPr="009A7163">
        <w:t>‘</w:t>
      </w:r>
      <w:r w:rsidR="00382597" w:rsidRPr="009A7163">
        <w:t>patriarchal line,</w:t>
      </w:r>
      <w:r w:rsidR="00AA5A40" w:rsidRPr="009A7163">
        <w:t>’</w:t>
      </w:r>
      <w:r w:rsidR="00382597" w:rsidRPr="009A7163">
        <w:t xml:space="preserve"> not justifiable on any grounds. </w:t>
      </w:r>
    </w:p>
    <w:p w14:paraId="3F95BFF2" w14:textId="656901C2" w:rsidR="00C021DB" w:rsidRPr="009A7163" w:rsidRDefault="009B1CDE" w:rsidP="00B17488">
      <w:pPr>
        <w:spacing w:line="360" w:lineRule="auto"/>
        <w:ind w:firstLine="720"/>
        <w:jc w:val="both"/>
      </w:pPr>
      <w:r w:rsidRPr="009A7163">
        <w:t>Some f</w:t>
      </w:r>
      <w:r w:rsidR="00295616" w:rsidRPr="009A7163">
        <w:t>eminist economist</w:t>
      </w:r>
      <w:r w:rsidR="00764CB3" w:rsidRPr="009A7163">
        <w:t>s</w:t>
      </w:r>
      <w:r w:rsidR="00295616" w:rsidRPr="009A7163">
        <w:t xml:space="preserve"> </w:t>
      </w:r>
      <w:r w:rsidRPr="009A7163">
        <w:t>propose</w:t>
      </w:r>
      <w:r w:rsidR="002C3361" w:rsidRPr="009A7163">
        <w:t>,</w:t>
      </w:r>
      <w:r w:rsidR="00674914" w:rsidRPr="009A7163">
        <w:t xml:space="preserve"> a</w:t>
      </w:r>
      <w:r w:rsidR="00295616" w:rsidRPr="009A7163">
        <w:t xml:space="preserve"> </w:t>
      </w:r>
      <w:r w:rsidR="009A2293" w:rsidRPr="009A7163">
        <w:t>‘</w:t>
      </w:r>
      <w:r w:rsidR="00295616" w:rsidRPr="009A7163">
        <w:t>people</w:t>
      </w:r>
      <w:r w:rsidR="00FD75EA" w:rsidRPr="009A7163">
        <w:t>-</w:t>
      </w:r>
      <w:r w:rsidR="00165E1A" w:rsidRPr="009A7163">
        <w:t>cent</w:t>
      </w:r>
      <w:r w:rsidR="002E2A5C" w:rsidRPr="009A7163">
        <w:t>red</w:t>
      </w:r>
      <w:r w:rsidR="00295616" w:rsidRPr="009A7163">
        <w:t xml:space="preserve"> economy</w:t>
      </w:r>
      <w:r w:rsidR="009A2293" w:rsidRPr="009A7163">
        <w:t>’</w:t>
      </w:r>
      <w:r w:rsidR="00165E1A" w:rsidRPr="009A7163">
        <w:t xml:space="preserve"> (</w:t>
      </w:r>
      <w:r w:rsidR="00FD75EA" w:rsidRPr="009A7163">
        <w:t>s</w:t>
      </w:r>
      <w:r w:rsidR="00165E1A" w:rsidRPr="009A7163">
        <w:t xml:space="preserve">ee Fontana </w:t>
      </w:r>
      <w:r w:rsidR="00FD75EA" w:rsidRPr="009A7163">
        <w:t>and</w:t>
      </w:r>
      <w:r w:rsidR="00F37583" w:rsidRPr="009A7163">
        <w:t xml:space="preserve"> Eyben</w:t>
      </w:r>
      <w:r w:rsidR="00165E1A" w:rsidRPr="009A7163">
        <w:t>, 2009</w:t>
      </w:r>
      <w:r w:rsidR="00F37583" w:rsidRPr="009A7163">
        <w:t>)</w:t>
      </w:r>
      <w:r w:rsidR="00674914" w:rsidRPr="009A7163">
        <w:t xml:space="preserve"> </w:t>
      </w:r>
      <w:r w:rsidR="00B4460A" w:rsidRPr="009A7163">
        <w:t>whereby</w:t>
      </w:r>
      <w:r w:rsidR="00674914" w:rsidRPr="009A7163">
        <w:t xml:space="preserve"> the</w:t>
      </w:r>
      <w:r w:rsidR="00295616" w:rsidRPr="009A7163">
        <w:t xml:space="preserve"> ‘provisioning of human needs and </w:t>
      </w:r>
      <w:r w:rsidR="00582B5D" w:rsidRPr="009A7163">
        <w:t>well-being</w:t>
      </w:r>
      <w:r w:rsidR="00F37583" w:rsidRPr="009A7163">
        <w:t>’</w:t>
      </w:r>
      <w:r w:rsidR="00B4460A" w:rsidRPr="009A7163">
        <w:t xml:space="preserve"> is the focus rather than </w:t>
      </w:r>
      <w:r w:rsidR="003F25C5" w:rsidRPr="009A7163">
        <w:t>‘</w:t>
      </w:r>
      <w:r w:rsidR="00295616" w:rsidRPr="009A7163">
        <w:t>the market economy and growth</w:t>
      </w:r>
      <w:r w:rsidR="003F25C5" w:rsidRPr="009A7163">
        <w:t xml:space="preserve"> with growth and accumulation as its primary goals’</w:t>
      </w:r>
      <w:r w:rsidR="00FF0D9A" w:rsidRPr="009A7163">
        <w:t xml:space="preserve"> (Cook, 2014</w:t>
      </w:r>
      <w:r w:rsidR="009C01E8" w:rsidRPr="009A7163">
        <w:t xml:space="preserve">, p. </w:t>
      </w:r>
      <w:r w:rsidR="00E35FFE" w:rsidRPr="009A7163">
        <w:t>7)</w:t>
      </w:r>
      <w:r w:rsidRPr="009A7163">
        <w:t xml:space="preserve">. It calls for </w:t>
      </w:r>
      <w:r w:rsidR="009A2293" w:rsidRPr="009A7163">
        <w:t>‘</w:t>
      </w:r>
      <w:r w:rsidRPr="009A7163">
        <w:t>r</w:t>
      </w:r>
      <w:r w:rsidR="009A2293" w:rsidRPr="009A7163">
        <w:t>eimagining the economy as a mechanism to serve the needs of people, rather than people needing to serve the needs of the economy</w:t>
      </w:r>
      <w:r w:rsidR="00FD75EA" w:rsidRPr="009A7163">
        <w:t>’</w:t>
      </w:r>
      <w:r w:rsidR="009A2293" w:rsidRPr="009A7163">
        <w:t xml:space="preserve"> (</w:t>
      </w:r>
      <w:r w:rsidR="00DE5B6B" w:rsidRPr="009A7163">
        <w:t xml:space="preserve">Capraro and Rhodes, </w:t>
      </w:r>
      <w:r w:rsidR="009A2293" w:rsidRPr="009A7163">
        <w:t xml:space="preserve">2017, </w:t>
      </w:r>
      <w:r w:rsidR="00AA5A40" w:rsidRPr="009A7163">
        <w:t xml:space="preserve">p. </w:t>
      </w:r>
      <w:r w:rsidR="009A2293" w:rsidRPr="009A7163">
        <w:t>9).</w:t>
      </w:r>
      <w:r w:rsidR="00165E1A" w:rsidRPr="009A7163">
        <w:t xml:space="preserve"> </w:t>
      </w:r>
      <w:r w:rsidRPr="009A7163">
        <w:t>Feminist economi</w:t>
      </w:r>
      <w:r w:rsidR="00FD75EA" w:rsidRPr="009A7163">
        <w:t>sts</w:t>
      </w:r>
      <w:r w:rsidRPr="009A7163">
        <w:t xml:space="preserve"> argue for </w:t>
      </w:r>
      <w:r w:rsidR="0049439C" w:rsidRPr="009A7163">
        <w:t xml:space="preserve">broader </w:t>
      </w:r>
      <w:r w:rsidRPr="009A7163">
        <w:t xml:space="preserve">structural change. </w:t>
      </w:r>
      <w:r w:rsidR="00165E1A" w:rsidRPr="009A7163">
        <w:t xml:space="preserve">As Marilyn Waring </w:t>
      </w:r>
      <w:r w:rsidR="00F37583" w:rsidRPr="009A7163">
        <w:t>argue</w:t>
      </w:r>
      <w:r w:rsidR="000B72AC" w:rsidRPr="009A7163">
        <w:t>s</w:t>
      </w:r>
      <w:r w:rsidR="00764CB3" w:rsidRPr="009A7163">
        <w:t>,</w:t>
      </w:r>
      <w:r w:rsidR="00CA6AED" w:rsidRPr="009A7163">
        <w:t xml:space="preserve"> </w:t>
      </w:r>
      <w:r w:rsidR="00F37583" w:rsidRPr="009A7163">
        <w:t xml:space="preserve">counting unpaid care and domestic work has the potential to disrupt the system based on market fundamentalism and to open the door to new ways of </w:t>
      </w:r>
      <w:r w:rsidR="009325F8" w:rsidRPr="009A7163">
        <w:t>organ</w:t>
      </w:r>
      <w:r w:rsidR="0028076A" w:rsidRPr="009A7163">
        <w:t>isi</w:t>
      </w:r>
      <w:r w:rsidR="009325F8" w:rsidRPr="009A7163">
        <w:t>ng</w:t>
      </w:r>
      <w:r w:rsidR="00F37583" w:rsidRPr="009A7163">
        <w:t xml:space="preserve"> the economy and ultimately life </w:t>
      </w:r>
      <w:r w:rsidR="009F0107" w:rsidRPr="009A7163">
        <w:t>(Ca</w:t>
      </w:r>
      <w:r w:rsidR="00C021DB" w:rsidRPr="009A7163">
        <w:t xml:space="preserve">praro and Rhodes, 2017, </w:t>
      </w:r>
      <w:r w:rsidR="00AA5A40" w:rsidRPr="009A7163">
        <w:t xml:space="preserve">p. </w:t>
      </w:r>
      <w:r w:rsidR="00DE5B6B" w:rsidRPr="009A7163">
        <w:t>4</w:t>
      </w:r>
      <w:r w:rsidR="00C021DB" w:rsidRPr="009A7163">
        <w:t>)</w:t>
      </w:r>
    </w:p>
    <w:p w14:paraId="3C439E62" w14:textId="7733BE76" w:rsidR="00904697" w:rsidRPr="009A7163" w:rsidRDefault="00C021DB" w:rsidP="00B17488">
      <w:pPr>
        <w:spacing w:line="360" w:lineRule="auto"/>
        <w:ind w:firstLine="720"/>
        <w:jc w:val="both"/>
      </w:pPr>
      <w:r w:rsidRPr="009A7163">
        <w:t xml:space="preserve">Until recently care was </w:t>
      </w:r>
      <w:r w:rsidR="002C6789" w:rsidRPr="009A7163">
        <w:t>invisible</w:t>
      </w:r>
      <w:r w:rsidRPr="009A7163">
        <w:t xml:space="preserve"> from development</w:t>
      </w:r>
      <w:r w:rsidR="005B7E60" w:rsidRPr="009A7163">
        <w:t xml:space="preserve"> and policy</w:t>
      </w:r>
      <w:r w:rsidRPr="009A7163">
        <w:t xml:space="preserve"> </w:t>
      </w:r>
      <w:r w:rsidR="002C6789" w:rsidRPr="009A7163">
        <w:t>agendas.</w:t>
      </w:r>
      <w:r w:rsidR="004B3124" w:rsidRPr="009A7163">
        <w:t xml:space="preserve"> </w:t>
      </w:r>
      <w:r w:rsidR="000B72AC" w:rsidRPr="009A7163">
        <w:t>UCW</w:t>
      </w:r>
      <w:r w:rsidR="005B7E60" w:rsidRPr="009A7163">
        <w:t xml:space="preserve"> was </w:t>
      </w:r>
      <w:r w:rsidR="009325F8" w:rsidRPr="009A7163">
        <w:t>‘</w:t>
      </w:r>
      <w:r w:rsidR="005B7E60" w:rsidRPr="009A7163">
        <w:t>taken for granted or relied upon as a cost-free and unlimited means of filling gaps in public services’</w:t>
      </w:r>
      <w:r w:rsidR="00873B6A" w:rsidRPr="009A7163">
        <w:t xml:space="preserve"> (Woodcraft et al</w:t>
      </w:r>
      <w:r w:rsidR="00FD75EA" w:rsidRPr="009A7163">
        <w:t>.</w:t>
      </w:r>
      <w:r w:rsidR="00873B6A" w:rsidRPr="009A7163">
        <w:t xml:space="preserve">, 2015, </w:t>
      </w:r>
      <w:r w:rsidR="00AA5A40" w:rsidRPr="009A7163">
        <w:t xml:space="preserve">p. </w:t>
      </w:r>
      <w:r w:rsidR="004B3124" w:rsidRPr="009A7163">
        <w:t>70</w:t>
      </w:r>
      <w:r w:rsidR="002C1A0F" w:rsidRPr="009A7163">
        <w:t>)</w:t>
      </w:r>
      <w:r w:rsidR="005B7E60" w:rsidRPr="009A7163">
        <w:t xml:space="preserve">. </w:t>
      </w:r>
      <w:r w:rsidR="00CB492D" w:rsidRPr="009A7163">
        <w:t>However,</w:t>
      </w:r>
      <w:r w:rsidR="00ED3105" w:rsidRPr="009A7163">
        <w:t xml:space="preserve"> in the last five</w:t>
      </w:r>
      <w:r w:rsidR="00CB492D" w:rsidRPr="009A7163">
        <w:t xml:space="preserve"> years there h</w:t>
      </w:r>
      <w:r w:rsidR="005B7E60" w:rsidRPr="009A7163">
        <w:t xml:space="preserve">as been an </w:t>
      </w:r>
      <w:r w:rsidR="00533057" w:rsidRPr="009A7163">
        <w:t>evolving</w:t>
      </w:r>
      <w:r w:rsidR="005B7E60" w:rsidRPr="009A7163">
        <w:t xml:space="preserve"> consensus on the importance of unpaid care</w:t>
      </w:r>
      <w:r w:rsidR="00F246A9" w:rsidRPr="009A7163">
        <w:t xml:space="preserve"> and the issue of unpaid care work has made it onto the international political agenda</w:t>
      </w:r>
      <w:r w:rsidR="00FD75EA" w:rsidRPr="009A7163">
        <w:t>.</w:t>
      </w:r>
      <w:r w:rsidR="00ED3105" w:rsidRPr="009A7163">
        <w:rPr>
          <w:rStyle w:val="FootnoteReference"/>
        </w:rPr>
        <w:footnoteReference w:id="18"/>
      </w:r>
      <w:r w:rsidR="005B7E60" w:rsidRPr="009A7163">
        <w:t xml:space="preserve"> </w:t>
      </w:r>
      <w:r w:rsidR="005678D6" w:rsidRPr="009A7163">
        <w:t xml:space="preserve">Before the Sustainable Development </w:t>
      </w:r>
      <w:r w:rsidR="00764CB3" w:rsidRPr="009A7163">
        <w:t>G</w:t>
      </w:r>
      <w:r w:rsidR="005678D6" w:rsidRPr="009A7163">
        <w:t>oals</w:t>
      </w:r>
      <w:r w:rsidR="00904697" w:rsidRPr="009A7163">
        <w:t xml:space="preserve"> (SDGs)</w:t>
      </w:r>
      <w:r w:rsidR="005678D6" w:rsidRPr="009A7163">
        <w:t xml:space="preserve"> in </w:t>
      </w:r>
      <w:r w:rsidR="002C3361" w:rsidRPr="009A7163">
        <w:t>2015</w:t>
      </w:r>
      <w:r w:rsidR="00BC6D02" w:rsidRPr="009A7163">
        <w:t xml:space="preserve">, </w:t>
      </w:r>
      <w:r w:rsidR="00FD75EA" w:rsidRPr="009A7163">
        <w:t>which include</w:t>
      </w:r>
      <w:r w:rsidR="00BC6D02" w:rsidRPr="009A7163">
        <w:t xml:space="preserve"> a target</w:t>
      </w:r>
      <w:r w:rsidR="00F56328" w:rsidRPr="009A7163">
        <w:t xml:space="preserve"> </w:t>
      </w:r>
      <w:r w:rsidR="002C3361" w:rsidRPr="009A7163">
        <w:t>for unpaid care work</w:t>
      </w:r>
      <w:r w:rsidR="00FD75EA" w:rsidRPr="009A7163">
        <w:t>,</w:t>
      </w:r>
      <w:r w:rsidR="002C3361" w:rsidRPr="009A7163">
        <w:rPr>
          <w:rStyle w:val="FootnoteReference"/>
        </w:rPr>
        <w:footnoteReference w:id="19"/>
      </w:r>
      <w:r w:rsidR="002C3361" w:rsidRPr="009A7163">
        <w:t xml:space="preserve"> the discussion of unpaid work and care work was mainly confined to the women’s </w:t>
      </w:r>
      <w:r w:rsidR="00F246A9" w:rsidRPr="009A7163">
        <w:t>movements</w:t>
      </w:r>
      <w:r w:rsidR="002C3361" w:rsidRPr="009A7163">
        <w:t xml:space="preserve">, feminist groups and discussions by feminist economists. </w:t>
      </w:r>
      <w:r w:rsidR="009C01E8" w:rsidRPr="009A7163">
        <w:t xml:space="preserve">In an early article, </w:t>
      </w:r>
      <w:r w:rsidR="00904697" w:rsidRPr="009A7163">
        <w:t xml:space="preserve">Eyben </w:t>
      </w:r>
      <w:r w:rsidR="00FD75EA" w:rsidRPr="009A7163">
        <w:t xml:space="preserve">(2012) </w:t>
      </w:r>
      <w:r w:rsidR="00904697" w:rsidRPr="009A7163">
        <w:t>argue</w:t>
      </w:r>
      <w:r w:rsidR="000B72AC" w:rsidRPr="009A7163">
        <w:t>s</w:t>
      </w:r>
      <w:r w:rsidR="00904697" w:rsidRPr="009A7163">
        <w:t xml:space="preserve"> that feminist advocates needed to </w:t>
      </w:r>
      <w:r w:rsidR="00AA5A40" w:rsidRPr="009A7163">
        <w:t>‘</w:t>
      </w:r>
      <w:r w:rsidR="00904697" w:rsidRPr="009A7163">
        <w:t>crack</w:t>
      </w:r>
      <w:r w:rsidR="00AA5A40" w:rsidRPr="009A7163">
        <w:t>’</w:t>
      </w:r>
      <w:r w:rsidR="00904697" w:rsidRPr="009A7163">
        <w:t xml:space="preserve"> the hegemony and disrupt the current (and unquestioned) order by raising women’s unpaid care and domestic work as a concept with the potential to foment new ways of thinking about how our economies and, ultimately, the world are organised. She also </w:t>
      </w:r>
      <w:r w:rsidR="00FD75EA" w:rsidRPr="009A7163">
        <w:t>discusse</w:t>
      </w:r>
      <w:r w:rsidR="000B72AC" w:rsidRPr="009A7163">
        <w:t>s</w:t>
      </w:r>
      <w:r w:rsidR="00904697" w:rsidRPr="009A7163">
        <w:t xml:space="preserve"> </w:t>
      </w:r>
      <w:r w:rsidR="00904697" w:rsidRPr="009A7163">
        <w:lastRenderedPageBreak/>
        <w:t xml:space="preserve">system bias and </w:t>
      </w:r>
      <w:r w:rsidR="008774CC" w:rsidRPr="009A7163">
        <w:t>strategic ignorance</w:t>
      </w:r>
      <w:r w:rsidR="00904697" w:rsidRPr="009A7163">
        <w:t xml:space="preserve"> and the importance of naming, framing and</w:t>
      </w:r>
      <w:r w:rsidR="00D51F4A" w:rsidRPr="009A7163">
        <w:t xml:space="preserve"> claiming</w:t>
      </w:r>
      <w:r w:rsidR="00904697" w:rsidRPr="009A7163">
        <w:t xml:space="preserve"> </w:t>
      </w:r>
      <w:r w:rsidR="000B72AC" w:rsidRPr="009A7163">
        <w:t>UCW</w:t>
      </w:r>
      <w:r w:rsidR="00D51F4A" w:rsidRPr="009A7163">
        <w:t xml:space="preserve"> (Eyben, 2012).</w:t>
      </w:r>
    </w:p>
    <w:p w14:paraId="28E696C5" w14:textId="55E167A1" w:rsidR="00706A5B" w:rsidRPr="009A7163" w:rsidRDefault="00904697" w:rsidP="00B17488">
      <w:pPr>
        <w:spacing w:line="360" w:lineRule="auto"/>
        <w:ind w:firstLine="720"/>
        <w:jc w:val="both"/>
      </w:pPr>
      <w:r w:rsidRPr="009A7163">
        <w:t>Since the SDGs, un</w:t>
      </w:r>
      <w:r w:rsidR="004B3124" w:rsidRPr="009A7163">
        <w:t xml:space="preserve">paid work has been mainstreamed into global debate and discourse with </w:t>
      </w:r>
      <w:r w:rsidR="00FD75EA" w:rsidRPr="009A7163">
        <w:t>t</w:t>
      </w:r>
      <w:r w:rsidR="004B3124" w:rsidRPr="009A7163">
        <w:t>he World Bank, the</w:t>
      </w:r>
      <w:r w:rsidR="002C3361" w:rsidRPr="009A7163">
        <w:t xml:space="preserve"> International Monetary Fund (IMF) and the global consulting</w:t>
      </w:r>
      <w:r w:rsidR="004B3124" w:rsidRPr="009A7163">
        <w:t xml:space="preserve"> firm McKinsey</w:t>
      </w:r>
      <w:r w:rsidR="000B72AC" w:rsidRPr="009A7163">
        <w:t>,</w:t>
      </w:r>
      <w:r w:rsidR="00FD75EA" w:rsidRPr="009A7163">
        <w:rPr>
          <w:rStyle w:val="FootnoteReference"/>
        </w:rPr>
        <w:footnoteReference w:id="20"/>
      </w:r>
      <w:r w:rsidR="004B3124" w:rsidRPr="009A7163">
        <w:t xml:space="preserve"> championing the need to address</w:t>
      </w:r>
      <w:r w:rsidR="002C3361" w:rsidRPr="009A7163">
        <w:t xml:space="preserve"> women’s unequal responsibility for </w:t>
      </w:r>
      <w:r w:rsidR="000B72AC" w:rsidRPr="009A7163">
        <w:t>UCW</w:t>
      </w:r>
      <w:r w:rsidR="00706A5B" w:rsidRPr="009A7163">
        <w:t>.</w:t>
      </w:r>
      <w:r w:rsidR="004B3124" w:rsidRPr="009A7163">
        <w:t xml:space="preserve"> Capraro and Rhodes </w:t>
      </w:r>
      <w:r w:rsidR="00706A5B" w:rsidRPr="009A7163">
        <w:t xml:space="preserve">(2017) </w:t>
      </w:r>
      <w:r w:rsidR="004B3124" w:rsidRPr="009A7163">
        <w:t>argue</w:t>
      </w:r>
      <w:r w:rsidR="00706A5B" w:rsidRPr="009A7163">
        <w:t>,</w:t>
      </w:r>
      <w:r w:rsidR="00F56328" w:rsidRPr="009A7163">
        <w:t xml:space="preserve"> however</w:t>
      </w:r>
      <w:r w:rsidR="00706A5B" w:rsidRPr="009A7163">
        <w:t>,</w:t>
      </w:r>
      <w:r w:rsidR="004B3124" w:rsidRPr="009A7163">
        <w:t xml:space="preserve"> that ‘</w:t>
      </w:r>
      <w:r w:rsidR="0068216E" w:rsidRPr="009A7163">
        <w:t>while unpaid care and domestic work has made it onto the agenda, particularly around discussions on women’s economic empowerment, we now find ourselves confronted with the particular ways in which neoliberal actors and discourse have become interested in and are shaping that very concept</w:t>
      </w:r>
      <w:r w:rsidR="00706A5B" w:rsidRPr="009A7163">
        <w:t>’</w:t>
      </w:r>
      <w:r w:rsidR="00137873" w:rsidRPr="009A7163">
        <w:t xml:space="preserve"> </w:t>
      </w:r>
      <w:r w:rsidR="00F56328" w:rsidRPr="009A7163">
        <w:t>(</w:t>
      </w:r>
      <w:r w:rsidR="00AA5A40" w:rsidRPr="009A7163">
        <w:t xml:space="preserve">p. </w:t>
      </w:r>
      <w:r w:rsidR="00537352" w:rsidRPr="009A7163">
        <w:t>1</w:t>
      </w:r>
      <w:r w:rsidR="0068216E" w:rsidRPr="009A7163">
        <w:t>)</w:t>
      </w:r>
      <w:r w:rsidR="003B40E4" w:rsidRPr="009A7163">
        <w:t>.</w:t>
      </w:r>
      <w:r w:rsidR="001C5BE1" w:rsidRPr="009A7163">
        <w:t xml:space="preserve"> Ferrant </w:t>
      </w:r>
      <w:r w:rsidR="00D51F4A" w:rsidRPr="009A7163">
        <w:t>et al</w:t>
      </w:r>
      <w:r w:rsidR="00706A5B" w:rsidRPr="009A7163">
        <w:t>. (2014)</w:t>
      </w:r>
      <w:r w:rsidR="00D51F4A" w:rsidRPr="009A7163">
        <w:t xml:space="preserve"> add</w:t>
      </w:r>
      <w:r w:rsidR="001C5BE1" w:rsidRPr="009A7163">
        <w:t xml:space="preserve">, </w:t>
      </w:r>
    </w:p>
    <w:p w14:paraId="4212517A" w14:textId="091E1823" w:rsidR="00512D9B" w:rsidRPr="009A7163" w:rsidRDefault="001C5BE1" w:rsidP="006E4E01">
      <w:pPr>
        <w:spacing w:after="180"/>
        <w:ind w:left="720"/>
        <w:jc w:val="both"/>
      </w:pPr>
      <w:r w:rsidRPr="009A7163">
        <w:t>How society and policy makers address issues concerning care has important implications for the achievement of gender equality: they can either expand the capabilities and choices of women and men, or confine women to traditional roles associated with femininity and motherhood (Razavi, 2007). The unequal distribution of unpaid care work between women and men represents an infringement of women’s rights (UN, 2013) and also a brake on their economic empowerment</w:t>
      </w:r>
      <w:r w:rsidR="00706A5B" w:rsidRPr="009A7163">
        <w:t>.</w:t>
      </w:r>
      <w:r w:rsidR="000B72AC" w:rsidRPr="009A7163">
        <w:t xml:space="preserve"> (p. 1)</w:t>
      </w:r>
    </w:p>
    <w:p w14:paraId="1FF56CED" w14:textId="706834E5" w:rsidR="00B60C7D" w:rsidRPr="009A7163" w:rsidRDefault="00507F0F" w:rsidP="00B17488">
      <w:pPr>
        <w:pStyle w:val="NormalWeb"/>
        <w:spacing w:before="0" w:beforeAutospacing="0" w:after="0" w:afterAutospacing="0" w:line="360" w:lineRule="auto"/>
        <w:ind w:firstLine="720"/>
        <w:jc w:val="both"/>
      </w:pPr>
      <w:r w:rsidRPr="009A7163">
        <w:t xml:space="preserve">Currently, the main spaces in which unpaid care and domestic work are addressed are those concerned with </w:t>
      </w:r>
      <w:r w:rsidR="00CB2655" w:rsidRPr="009A7163">
        <w:t>WEE</w:t>
      </w:r>
      <w:r w:rsidRPr="009A7163">
        <w:t>, which at the time of writing dominate the development agenda on gender equality in the UK</w:t>
      </w:r>
      <w:r w:rsidR="00F46AD3" w:rsidRPr="009A7163">
        <w:t xml:space="preserve"> (</w:t>
      </w:r>
      <w:r w:rsidR="003C6F7E" w:rsidRPr="009A7163">
        <w:t>Capra</w:t>
      </w:r>
      <w:r w:rsidR="00B60C7D" w:rsidRPr="009A7163">
        <w:t xml:space="preserve">ro and Rhodes, 2017, </w:t>
      </w:r>
      <w:r w:rsidR="00AA5A40" w:rsidRPr="009A7163">
        <w:t xml:space="preserve">p. </w:t>
      </w:r>
      <w:r w:rsidR="00F46AD3" w:rsidRPr="009A7163">
        <w:t>12)</w:t>
      </w:r>
      <w:r w:rsidR="001D2A0C" w:rsidRPr="009A7163">
        <w:t>.</w:t>
      </w:r>
      <w:r w:rsidR="003B40E4" w:rsidRPr="009A7163">
        <w:t xml:space="preserve"> </w:t>
      </w:r>
      <w:r w:rsidR="00AA5A40" w:rsidRPr="009A7163">
        <w:t>‘</w:t>
      </w:r>
      <w:r w:rsidR="003B40E4" w:rsidRPr="009A7163">
        <w:t>Smart economics</w:t>
      </w:r>
      <w:r w:rsidR="00AA5A40" w:rsidRPr="009A7163">
        <w:t>’</w:t>
      </w:r>
      <w:r w:rsidR="003B40E4" w:rsidRPr="009A7163">
        <w:t xml:space="preserve"> arguments based on the need to increase women’s labour force participation rates to drive economic growth have been criticised by feminist economists for failing to take into account the quality of the economic opportunities afforded to women and the extent to which they provide empowerment through an increase in access to resources, decision</w:t>
      </w:r>
      <w:r w:rsidR="00166214" w:rsidRPr="009A7163">
        <w:t xml:space="preserve"> </w:t>
      </w:r>
      <w:r w:rsidR="003B40E4" w:rsidRPr="009A7163">
        <w:t>making and agency</w:t>
      </w:r>
      <w:r w:rsidR="00D827FE" w:rsidRPr="009A7163">
        <w:t xml:space="preserve"> (</w:t>
      </w:r>
      <w:r w:rsidR="001D2A0C" w:rsidRPr="009A7163">
        <w:t>Capraro and Rhodes, 2017</w:t>
      </w:r>
      <w:r w:rsidR="00D827FE" w:rsidRPr="009A7163">
        <w:t>)</w:t>
      </w:r>
      <w:r w:rsidR="003B40E4" w:rsidRPr="009A7163">
        <w:t xml:space="preserve">. </w:t>
      </w:r>
      <w:r w:rsidR="00CD2EC6" w:rsidRPr="009A7163">
        <w:t>Kabeer (2017)</w:t>
      </w:r>
      <w:r w:rsidR="00CB2655" w:rsidRPr="009A7163">
        <w:t xml:space="preserve"> argue that t</w:t>
      </w:r>
      <w:r w:rsidR="00B60C7D" w:rsidRPr="009A7163">
        <w:t>heories of change</w:t>
      </w:r>
      <w:r w:rsidR="00771AA7" w:rsidRPr="009A7163">
        <w:t>,</w:t>
      </w:r>
      <w:r w:rsidR="00B60C7D" w:rsidRPr="009A7163">
        <w:t xml:space="preserve"> which are guided by the understanding that providing resources leads to </w:t>
      </w:r>
      <w:r w:rsidR="00771AA7" w:rsidRPr="009A7163">
        <w:t>WEE,</w:t>
      </w:r>
      <w:r w:rsidR="00B60C7D" w:rsidRPr="009A7163">
        <w:t xml:space="preserve"> fall short in two ways</w:t>
      </w:r>
      <w:r w:rsidR="00CB2655" w:rsidRPr="009A7163">
        <w:t>.</w:t>
      </w:r>
      <w:r w:rsidR="00B60C7D" w:rsidRPr="009A7163">
        <w:t xml:space="preserve"> First, providing resources to gain WEE does not take into account the broader structures (such as</w:t>
      </w:r>
      <w:r w:rsidR="00771AA7" w:rsidRPr="009A7163">
        <w:t xml:space="preserve"> </w:t>
      </w:r>
      <w:r w:rsidR="00B60C7D" w:rsidRPr="009A7163">
        <w:t>legal</w:t>
      </w:r>
      <w:r w:rsidR="00771AA7" w:rsidRPr="009A7163">
        <w:t xml:space="preserve"> institutions</w:t>
      </w:r>
      <w:r w:rsidR="00B60C7D" w:rsidRPr="009A7163">
        <w:t xml:space="preserve">, attitudes and norms) that constrain women’s ability to take on new opportunities. These structures undermine the ability to make changes. Empowerment must therefore be </w:t>
      </w:r>
      <w:r w:rsidR="00CB2655" w:rsidRPr="009A7163">
        <w:t>understood</w:t>
      </w:r>
      <w:r w:rsidR="00B60C7D" w:rsidRPr="009A7163">
        <w:t xml:space="preserve"> </w:t>
      </w:r>
      <w:r w:rsidR="00CB2655" w:rsidRPr="009A7163">
        <w:t>in the context of the structures</w:t>
      </w:r>
      <w:r w:rsidR="00B60C7D" w:rsidRPr="009A7163">
        <w:t xml:space="preserve"> of </w:t>
      </w:r>
      <w:r w:rsidR="00CB2655" w:rsidRPr="009A7163">
        <w:t>constraint</w:t>
      </w:r>
      <w:r w:rsidR="00DB4165" w:rsidRPr="009A7163">
        <w:t xml:space="preserve">. </w:t>
      </w:r>
      <w:r w:rsidR="003D3676" w:rsidRPr="009A7163">
        <w:t>S</w:t>
      </w:r>
      <w:r w:rsidR="00DB4165" w:rsidRPr="009A7163">
        <w:t xml:space="preserve">tructures of constraint </w:t>
      </w:r>
      <w:r w:rsidR="003D3676" w:rsidRPr="009A7163">
        <w:t>include</w:t>
      </w:r>
      <w:r w:rsidR="00DB4165" w:rsidRPr="009A7163">
        <w:t xml:space="preserve"> </w:t>
      </w:r>
      <w:r w:rsidR="00B60C7D" w:rsidRPr="009A7163">
        <w:t xml:space="preserve">the </w:t>
      </w:r>
      <w:r w:rsidR="00CB2655" w:rsidRPr="009A7163">
        <w:t xml:space="preserve">gender-specific constraints </w:t>
      </w:r>
      <w:r w:rsidR="00B60C7D" w:rsidRPr="009A7163">
        <w:t>(deriv</w:t>
      </w:r>
      <w:r w:rsidR="003D3676" w:rsidRPr="009A7163">
        <w:t>ing</w:t>
      </w:r>
      <w:r w:rsidR="00B60C7D" w:rsidRPr="009A7163">
        <w:t xml:space="preserve"> from inherently gendered relations </w:t>
      </w:r>
      <w:r w:rsidR="003D3676" w:rsidRPr="009A7163">
        <w:t>that</w:t>
      </w:r>
      <w:r w:rsidR="00B60C7D" w:rsidRPr="009A7163">
        <w:t xml:space="preserve"> characterise family, kinship and community)</w:t>
      </w:r>
      <w:r w:rsidR="003D3676" w:rsidRPr="009A7163">
        <w:t xml:space="preserve">, </w:t>
      </w:r>
      <w:r w:rsidR="00B60C7D" w:rsidRPr="009A7163">
        <w:t>the i</w:t>
      </w:r>
      <w:r w:rsidR="00DB4165" w:rsidRPr="009A7163">
        <w:t xml:space="preserve">mposed gender constraints </w:t>
      </w:r>
      <w:r w:rsidR="00771AA7" w:rsidRPr="009A7163">
        <w:t xml:space="preserve">that </w:t>
      </w:r>
      <w:r w:rsidR="00B60C7D" w:rsidRPr="009A7163">
        <w:t xml:space="preserve">reflect unconscious as well as active discrimination of actors in the </w:t>
      </w:r>
      <w:r w:rsidR="00B60C7D" w:rsidRPr="009A7163">
        <w:lastRenderedPageBreak/>
        <w:t>public domain</w:t>
      </w:r>
      <w:r w:rsidR="003D3676" w:rsidRPr="009A7163">
        <w:t xml:space="preserve"> and the</w:t>
      </w:r>
      <w:r w:rsidR="00B60C7D" w:rsidRPr="009A7163">
        <w:t xml:space="preserve"> institutionalisation of past biases </w:t>
      </w:r>
      <w:r w:rsidR="003D3676" w:rsidRPr="009A7163">
        <w:t>that</w:t>
      </w:r>
      <w:r w:rsidR="00B60C7D" w:rsidRPr="009A7163">
        <w:t xml:space="preserve"> give rise to gender inequalities </w:t>
      </w:r>
      <w:r w:rsidR="003D3676" w:rsidRPr="009A7163">
        <w:t>that</w:t>
      </w:r>
      <w:r w:rsidR="00B60C7D" w:rsidRPr="009A7163">
        <w:t xml:space="preserve"> intensify disadvantages associated with poverty, caste, race and so on </w:t>
      </w:r>
      <w:r w:rsidR="0030568C" w:rsidRPr="009A7163">
        <w:t>(</w:t>
      </w:r>
      <w:r w:rsidR="00CD2EC6" w:rsidRPr="009A7163">
        <w:t>Kabeer</w:t>
      </w:r>
      <w:r w:rsidR="00E35FFE" w:rsidRPr="009A7163">
        <w:t xml:space="preserve">, </w:t>
      </w:r>
      <w:r w:rsidR="00CD2EC6" w:rsidRPr="009A7163">
        <w:t>2017)</w:t>
      </w:r>
      <w:r w:rsidR="00771AA7" w:rsidRPr="009A7163">
        <w:t>.</w:t>
      </w:r>
    </w:p>
    <w:p w14:paraId="0055F193" w14:textId="352E1B88" w:rsidR="00495ED3" w:rsidRPr="009A7163" w:rsidRDefault="00B60C7D" w:rsidP="007A3A29">
      <w:pPr>
        <w:spacing w:line="360" w:lineRule="auto"/>
        <w:ind w:firstLine="720"/>
        <w:jc w:val="both"/>
      </w:pPr>
      <w:r w:rsidRPr="009A7163">
        <w:rPr>
          <w:rFonts w:eastAsiaTheme="minorHAnsi"/>
          <w:lang w:eastAsia="en-GB"/>
        </w:rPr>
        <w:t xml:space="preserve">Second, interventions focused on </w:t>
      </w:r>
      <w:r w:rsidR="00F333EC" w:rsidRPr="009A7163">
        <w:rPr>
          <w:rFonts w:eastAsiaTheme="minorHAnsi"/>
          <w:lang w:eastAsia="en-GB"/>
        </w:rPr>
        <w:t>WEE often</w:t>
      </w:r>
      <w:r w:rsidRPr="009A7163">
        <w:rPr>
          <w:rFonts w:eastAsiaTheme="minorHAnsi"/>
          <w:lang w:eastAsia="en-GB"/>
        </w:rPr>
        <w:t xml:space="preserve"> restrict themselves to</w:t>
      </w:r>
      <w:r w:rsidR="00F333EC" w:rsidRPr="009A7163">
        <w:rPr>
          <w:rFonts w:eastAsiaTheme="minorHAnsi"/>
          <w:lang w:eastAsia="en-GB"/>
        </w:rPr>
        <w:t xml:space="preserve"> a</w:t>
      </w:r>
      <w:r w:rsidRPr="009A7163">
        <w:rPr>
          <w:rFonts w:eastAsiaTheme="minorHAnsi"/>
          <w:lang w:eastAsia="en-GB"/>
        </w:rPr>
        <w:t xml:space="preserve"> narrow set of outcomes</w:t>
      </w:r>
      <w:r w:rsidR="00F333EC" w:rsidRPr="009A7163">
        <w:rPr>
          <w:rFonts w:eastAsiaTheme="minorHAnsi"/>
          <w:lang w:eastAsia="en-GB"/>
        </w:rPr>
        <w:t xml:space="preserve"> </w:t>
      </w:r>
      <w:r w:rsidR="00764CB3" w:rsidRPr="009A7163">
        <w:rPr>
          <w:rFonts w:eastAsiaTheme="minorHAnsi"/>
          <w:lang w:eastAsia="en-GB"/>
        </w:rPr>
        <w:t>such as</w:t>
      </w:r>
      <w:r w:rsidR="00F333EC" w:rsidRPr="009A7163">
        <w:rPr>
          <w:rFonts w:eastAsiaTheme="minorHAnsi"/>
          <w:lang w:eastAsia="en-GB"/>
        </w:rPr>
        <w:t>,</w:t>
      </w:r>
      <w:r w:rsidRPr="009A7163">
        <w:rPr>
          <w:rFonts w:eastAsiaTheme="minorHAnsi"/>
          <w:lang w:eastAsia="en-GB"/>
        </w:rPr>
        <w:t xml:space="preserve"> for example</w:t>
      </w:r>
      <w:r w:rsidR="00F333EC" w:rsidRPr="009A7163">
        <w:rPr>
          <w:rFonts w:eastAsiaTheme="minorHAnsi"/>
          <w:lang w:eastAsia="en-GB"/>
        </w:rPr>
        <w:t>,</w:t>
      </w:r>
      <w:r w:rsidRPr="009A7163">
        <w:rPr>
          <w:rFonts w:eastAsiaTheme="minorHAnsi"/>
          <w:lang w:eastAsia="en-GB"/>
        </w:rPr>
        <w:t xml:space="preserve"> women’s revolving and credit loans (e.g.</w:t>
      </w:r>
      <w:r w:rsidR="00F333EC" w:rsidRPr="009A7163">
        <w:rPr>
          <w:rFonts w:eastAsiaTheme="minorHAnsi"/>
          <w:lang w:eastAsia="en-GB"/>
        </w:rPr>
        <w:t>,</w:t>
      </w:r>
      <w:r w:rsidRPr="009A7163">
        <w:rPr>
          <w:rFonts w:eastAsiaTheme="minorHAnsi"/>
          <w:lang w:eastAsia="en-GB"/>
        </w:rPr>
        <w:t xml:space="preserve"> </w:t>
      </w:r>
      <w:r w:rsidR="008A14B5" w:rsidRPr="009A7163">
        <w:rPr>
          <w:rFonts w:eastAsiaTheme="minorHAnsi"/>
          <w:lang w:eastAsia="en-GB"/>
        </w:rPr>
        <w:t xml:space="preserve">an outcome could be </w:t>
      </w:r>
      <w:r w:rsidRPr="009A7163">
        <w:rPr>
          <w:rFonts w:eastAsiaTheme="minorHAnsi"/>
          <w:lang w:eastAsia="en-GB"/>
        </w:rPr>
        <w:t>increased savings</w:t>
      </w:r>
      <w:r w:rsidR="008A14B5" w:rsidRPr="009A7163">
        <w:rPr>
          <w:rFonts w:eastAsiaTheme="minorHAnsi"/>
          <w:lang w:eastAsia="en-GB"/>
        </w:rPr>
        <w:t xml:space="preserve"> or profit</w:t>
      </w:r>
      <w:r w:rsidRPr="009A7163">
        <w:rPr>
          <w:rFonts w:eastAsiaTheme="minorHAnsi"/>
          <w:lang w:eastAsia="en-GB"/>
        </w:rPr>
        <w:t xml:space="preserve">). Kabeer </w:t>
      </w:r>
      <w:r w:rsidR="009C01E8" w:rsidRPr="009A7163">
        <w:rPr>
          <w:rFonts w:eastAsiaTheme="minorHAnsi"/>
          <w:lang w:eastAsia="en-GB"/>
        </w:rPr>
        <w:t>(</w:t>
      </w:r>
      <w:r w:rsidR="00775177" w:rsidRPr="009A7163">
        <w:rPr>
          <w:rFonts w:eastAsiaTheme="minorHAnsi"/>
          <w:lang w:eastAsia="en-GB"/>
        </w:rPr>
        <w:t>2017)</w:t>
      </w:r>
      <w:r w:rsidR="00F333EC" w:rsidRPr="009A7163">
        <w:rPr>
          <w:rFonts w:eastAsiaTheme="minorHAnsi"/>
          <w:lang w:eastAsia="en-GB"/>
        </w:rPr>
        <w:t xml:space="preserve"> </w:t>
      </w:r>
      <w:r w:rsidRPr="009A7163">
        <w:rPr>
          <w:rFonts w:eastAsiaTheme="minorHAnsi"/>
          <w:lang w:eastAsia="en-GB"/>
        </w:rPr>
        <w:t>argue that given that the biggest structural inequalities are the unequal division of paid and unpaid work</w:t>
      </w:r>
      <w:r w:rsidR="00F333EC" w:rsidRPr="009A7163">
        <w:rPr>
          <w:rFonts w:eastAsiaTheme="minorHAnsi"/>
          <w:lang w:eastAsia="en-GB"/>
        </w:rPr>
        <w:t>,</w:t>
      </w:r>
      <w:r w:rsidRPr="009A7163">
        <w:rPr>
          <w:rFonts w:eastAsiaTheme="minorHAnsi"/>
          <w:lang w:eastAsia="en-GB"/>
        </w:rPr>
        <w:t xml:space="preserve"> there is a need to take this into account</w:t>
      </w:r>
      <w:r w:rsidR="008A14B5" w:rsidRPr="009A7163">
        <w:rPr>
          <w:rFonts w:eastAsiaTheme="minorHAnsi"/>
          <w:lang w:eastAsia="en-GB"/>
        </w:rPr>
        <w:t xml:space="preserve"> in any WEE initiatives</w:t>
      </w:r>
      <w:r w:rsidRPr="009A7163">
        <w:rPr>
          <w:rFonts w:eastAsiaTheme="minorHAnsi"/>
          <w:lang w:eastAsia="en-GB"/>
        </w:rPr>
        <w:t xml:space="preserve">. If this does not happen, </w:t>
      </w:r>
      <w:r w:rsidR="000B72AC" w:rsidRPr="009A7163">
        <w:rPr>
          <w:rFonts w:eastAsiaTheme="minorHAnsi"/>
          <w:lang w:eastAsia="en-GB"/>
        </w:rPr>
        <w:t>it</w:t>
      </w:r>
      <w:r w:rsidRPr="009A7163">
        <w:rPr>
          <w:rFonts w:eastAsiaTheme="minorHAnsi"/>
          <w:lang w:eastAsia="en-GB"/>
        </w:rPr>
        <w:t xml:space="preserve"> results in leaving women very tired as they try to balance new economic opportunities with old unpaid responsibilities. WEE must be a means to a broader end and that is to act on these structures of constraint</w:t>
      </w:r>
      <w:r w:rsidR="003D3676" w:rsidRPr="009A7163">
        <w:rPr>
          <w:rFonts w:eastAsiaTheme="minorHAnsi"/>
          <w:lang w:eastAsia="en-GB"/>
        </w:rPr>
        <w:t>,</w:t>
      </w:r>
      <w:r w:rsidRPr="009A7163">
        <w:rPr>
          <w:rFonts w:eastAsiaTheme="minorHAnsi"/>
          <w:lang w:eastAsia="en-GB"/>
        </w:rPr>
        <w:t xml:space="preserve"> including the unequal distribution of labour and gender equalities.  If these structures are not challenged, long lasting empowerment is unlikely to occur.</w:t>
      </w:r>
      <w:r w:rsidR="00CB2655" w:rsidRPr="009A7163">
        <w:rPr>
          <w:rFonts w:eastAsiaTheme="minorHAnsi"/>
          <w:lang w:eastAsia="en-GB"/>
        </w:rPr>
        <w:t xml:space="preserve"> </w:t>
      </w:r>
      <w:r w:rsidR="008A14B5" w:rsidRPr="009A7163">
        <w:t>Empowerment is a process that takes place with</w:t>
      </w:r>
      <w:r w:rsidR="003C71F9" w:rsidRPr="009A7163">
        <w:t>in</w:t>
      </w:r>
      <w:r w:rsidR="008A14B5" w:rsidRPr="009A7163">
        <w:t xml:space="preserve"> the structural constraints of institutions and discursive acts. It is cultural, rooted in the community</w:t>
      </w:r>
      <w:r w:rsidR="00F333EC" w:rsidRPr="009A7163">
        <w:t>,</w:t>
      </w:r>
      <w:r w:rsidR="008A14B5" w:rsidRPr="009A7163">
        <w:t xml:space="preserve"> and i</w:t>
      </w:r>
      <w:r w:rsidR="00F333EC" w:rsidRPr="009A7163">
        <w:t>ncludes</w:t>
      </w:r>
      <w:r w:rsidR="008A14B5" w:rsidRPr="009A7163">
        <w:t xml:space="preserve"> shared beliefs, values and norms. Women’s empowerment is therefore determined not only by individualistic traits such as earnings</w:t>
      </w:r>
      <w:r w:rsidR="00F333EC" w:rsidRPr="009A7163">
        <w:t xml:space="preserve"> or</w:t>
      </w:r>
      <w:r w:rsidR="008A14B5" w:rsidRPr="009A7163">
        <w:t xml:space="preserve"> an education</w:t>
      </w:r>
      <w:r w:rsidR="00F333EC" w:rsidRPr="009A7163">
        <w:t>,</w:t>
      </w:r>
      <w:r w:rsidR="008A14B5" w:rsidRPr="009A7163">
        <w:t xml:space="preserve"> but also by a shared cultural consensus about who has the right to power and resources (Narayan, 2005). Therein, empowerment must be considered as a social and political process</w:t>
      </w:r>
      <w:r w:rsidR="00F333EC" w:rsidRPr="009A7163">
        <w:t>,</w:t>
      </w:r>
      <w:r w:rsidR="008A14B5" w:rsidRPr="009A7163">
        <w:t xml:space="preserve"> as this focuses our attention on what works to address the very structural inequalities that produce and sustain those obstacles. Th</w:t>
      </w:r>
      <w:r w:rsidR="00F333EC" w:rsidRPr="009A7163">
        <w:t>is</w:t>
      </w:r>
      <w:r w:rsidR="008A14B5" w:rsidRPr="009A7163">
        <w:t xml:space="preserve"> definition of empowerment argues for not only an individual process</w:t>
      </w:r>
      <w:r w:rsidR="00F333EC" w:rsidRPr="009A7163">
        <w:t>,</w:t>
      </w:r>
      <w:r w:rsidR="008A14B5" w:rsidRPr="009A7163">
        <w:t xml:space="preserve"> but a social and political process </w:t>
      </w:r>
      <w:r w:rsidR="00F333EC" w:rsidRPr="009A7163">
        <w:t>that</w:t>
      </w:r>
      <w:r w:rsidR="008A14B5" w:rsidRPr="009A7163">
        <w:t xml:space="preserve"> relocates the emphasis from changing women’s capabilities to</w:t>
      </w:r>
      <w:r w:rsidR="002B739D" w:rsidRPr="009A7163">
        <w:t xml:space="preserve"> what Cornwall (2016) describes as ‘creating </w:t>
      </w:r>
      <w:r w:rsidR="008A14B5" w:rsidRPr="009A7163">
        <w:t xml:space="preserve">an </w:t>
      </w:r>
      <w:r w:rsidR="002B739D" w:rsidRPr="009A7163">
        <w:t>“</w:t>
      </w:r>
      <w:r w:rsidR="008A14B5" w:rsidRPr="009A7163">
        <w:t>enabling environment</w:t>
      </w:r>
      <w:r w:rsidR="002B739D" w:rsidRPr="009A7163">
        <w:t>”</w:t>
      </w:r>
      <w:r w:rsidR="008A14B5" w:rsidRPr="009A7163">
        <w:t xml:space="preserve"> by tackling all forms of discrimination on the basis of gender</w:t>
      </w:r>
      <w:r w:rsidR="002B739D" w:rsidRPr="009A7163">
        <w:t>’</w:t>
      </w:r>
      <w:r w:rsidR="00550735" w:rsidRPr="009A7163">
        <w:t xml:space="preserve"> </w:t>
      </w:r>
      <w:r w:rsidR="008A14B5" w:rsidRPr="009A7163">
        <w:t xml:space="preserve"> (Cornwall</w:t>
      </w:r>
      <w:r w:rsidR="00F333EC" w:rsidRPr="009A7163">
        <w:t>,</w:t>
      </w:r>
      <w:r w:rsidR="008A14B5" w:rsidRPr="009A7163">
        <w:t xml:space="preserve"> 2016</w:t>
      </w:r>
      <w:r w:rsidR="003D3676" w:rsidRPr="009A7163">
        <w:t xml:space="preserve">, </w:t>
      </w:r>
      <w:r w:rsidR="00550735" w:rsidRPr="009A7163">
        <w:t>2017</w:t>
      </w:r>
      <w:r w:rsidR="009571C1" w:rsidRPr="009A7163">
        <w:t>, p.</w:t>
      </w:r>
      <w:r w:rsidR="002B739D" w:rsidRPr="009A7163">
        <w:t xml:space="preserve"> </w:t>
      </w:r>
      <w:r w:rsidR="009571C1" w:rsidRPr="009A7163">
        <w:t>9</w:t>
      </w:r>
      <w:r w:rsidR="00550735" w:rsidRPr="009A7163">
        <w:t>)</w:t>
      </w:r>
      <w:r w:rsidR="003D3676" w:rsidRPr="009A7163">
        <w:t>.</w:t>
      </w:r>
      <w:r w:rsidR="006C2381" w:rsidRPr="009A7163">
        <w:t xml:space="preserve"> </w:t>
      </w:r>
      <w:r w:rsidR="00747023" w:rsidRPr="009A7163">
        <w:t xml:space="preserve">The recognition of women’s unpaid work in the pricing scheme delivered via a small credit and savings scheme </w:t>
      </w:r>
      <w:r w:rsidR="00A5310D" w:rsidRPr="009A7163">
        <w:t>potentially</w:t>
      </w:r>
      <w:r w:rsidR="00E8115A" w:rsidRPr="009A7163">
        <w:t xml:space="preserve"> </w:t>
      </w:r>
      <w:r w:rsidR="00747023" w:rsidRPr="009A7163">
        <w:t xml:space="preserve">restricts itself to what Kabeer calls </w:t>
      </w:r>
      <w:r w:rsidR="003D3676" w:rsidRPr="009A7163">
        <w:t xml:space="preserve">a </w:t>
      </w:r>
      <w:r w:rsidR="00747023" w:rsidRPr="009A7163">
        <w:t>‘narrow set of outcomes’</w:t>
      </w:r>
      <w:r w:rsidR="00AD41BF" w:rsidRPr="009A7163">
        <w:t xml:space="preserve"> (Kabeer, 2017)</w:t>
      </w:r>
      <w:r w:rsidR="003D3676" w:rsidRPr="009A7163">
        <w:t>,</w:t>
      </w:r>
      <w:r w:rsidR="00815513" w:rsidRPr="009A7163">
        <w:t xml:space="preserve"> an issue I set out</w:t>
      </w:r>
      <w:r w:rsidR="00F91B12" w:rsidRPr="009A7163">
        <w:t xml:space="preserve"> to investigate in my research</w:t>
      </w:r>
      <w:r w:rsidR="00747023" w:rsidRPr="009A7163">
        <w:t>.</w:t>
      </w:r>
      <w:r w:rsidR="00D04549" w:rsidRPr="009A7163">
        <w:t xml:space="preserve"> </w:t>
      </w:r>
      <w:r w:rsidR="006035D5" w:rsidRPr="009A7163">
        <w:t>Thus,</w:t>
      </w:r>
      <w:r w:rsidR="00815513" w:rsidRPr="009A7163">
        <w:t xml:space="preserve"> m</w:t>
      </w:r>
      <w:r w:rsidR="00245E98" w:rsidRPr="009A7163">
        <w:t xml:space="preserve">y research will discuss whether the pricing initiative creates an enabling environment and whether the </w:t>
      </w:r>
      <w:r w:rsidR="00042953" w:rsidRPr="009A7163">
        <w:t xml:space="preserve">inequalities </w:t>
      </w:r>
      <w:r w:rsidR="00245E98" w:rsidRPr="009A7163">
        <w:t xml:space="preserve">it draws attention to </w:t>
      </w:r>
      <w:r w:rsidR="008539E6" w:rsidRPr="009A7163">
        <w:t xml:space="preserve">are taken </w:t>
      </w:r>
      <w:r w:rsidR="00042953" w:rsidRPr="009A7163">
        <w:t>into account in</w:t>
      </w:r>
      <w:r w:rsidR="00747023" w:rsidRPr="009A7163">
        <w:t xml:space="preserve"> it</w:t>
      </w:r>
      <w:r w:rsidR="00042953" w:rsidRPr="009A7163">
        <w:t xml:space="preserve">s </w:t>
      </w:r>
      <w:r w:rsidR="006954F9" w:rsidRPr="009A7163">
        <w:t xml:space="preserve">design and </w:t>
      </w:r>
      <w:r w:rsidR="00042953" w:rsidRPr="009A7163">
        <w:t>operation</w:t>
      </w:r>
      <w:r w:rsidR="00572849" w:rsidRPr="009A7163">
        <w:t xml:space="preserve">. In short, I wanted to know </w:t>
      </w:r>
      <w:r w:rsidR="008539E6" w:rsidRPr="009A7163">
        <w:t xml:space="preserve">whether </w:t>
      </w:r>
      <w:r w:rsidR="00E8115A" w:rsidRPr="009A7163">
        <w:t xml:space="preserve">the </w:t>
      </w:r>
      <w:r w:rsidR="008539E6" w:rsidRPr="009A7163">
        <w:t>model</w:t>
      </w:r>
      <w:r w:rsidR="00572849" w:rsidRPr="009A7163">
        <w:t>’</w:t>
      </w:r>
      <w:r w:rsidR="000B72AC" w:rsidRPr="009A7163">
        <w:t>s</w:t>
      </w:r>
      <w:r w:rsidR="008539E6" w:rsidRPr="009A7163">
        <w:t xml:space="preserve"> </w:t>
      </w:r>
      <w:r w:rsidR="00D04549" w:rsidRPr="009A7163">
        <w:t xml:space="preserve">focus on economic empowerment </w:t>
      </w:r>
      <w:r w:rsidR="00572849" w:rsidRPr="009A7163">
        <w:t>could lead</w:t>
      </w:r>
      <w:r w:rsidR="00D04549" w:rsidRPr="009A7163">
        <w:t xml:space="preserve"> to wider </w:t>
      </w:r>
      <w:r w:rsidR="00572849" w:rsidRPr="009A7163">
        <w:t xml:space="preserve">and holistic form of </w:t>
      </w:r>
      <w:r w:rsidR="00D04549" w:rsidRPr="009A7163">
        <w:t>empowerment</w:t>
      </w:r>
      <w:r w:rsidR="00572849" w:rsidRPr="009A7163">
        <w:t>,</w:t>
      </w:r>
      <w:r w:rsidR="00042953" w:rsidRPr="009A7163">
        <w:t xml:space="preserve"> </w:t>
      </w:r>
      <w:r w:rsidR="0023004C" w:rsidRPr="009A7163">
        <w:t xml:space="preserve">a process that goes beyond </w:t>
      </w:r>
      <w:r w:rsidR="00490D88" w:rsidRPr="009A7163">
        <w:t xml:space="preserve">the </w:t>
      </w:r>
      <w:r w:rsidR="0023004C" w:rsidRPr="009A7163">
        <w:t xml:space="preserve">economic to transform </w:t>
      </w:r>
      <w:r w:rsidR="00490D88" w:rsidRPr="009A7163">
        <w:t>relations of power and raise critical awareness.</w:t>
      </w:r>
      <w:r w:rsidR="00C40772" w:rsidRPr="009A7163">
        <w:t xml:space="preserve"> </w:t>
      </w:r>
    </w:p>
    <w:p w14:paraId="46E7E681" w14:textId="5F0F21DF" w:rsidR="00D54875" w:rsidRPr="009A7163" w:rsidRDefault="00D54875" w:rsidP="00963C81">
      <w:pPr>
        <w:pStyle w:val="p1"/>
        <w:spacing w:line="360" w:lineRule="auto"/>
        <w:ind w:firstLine="720"/>
        <w:jc w:val="both"/>
        <w:rPr>
          <w:rFonts w:ascii="Times New Roman" w:hAnsi="Times New Roman" w:cs="Times New Roman"/>
          <w:sz w:val="24"/>
          <w:szCs w:val="24"/>
          <w:shd w:val="clear" w:color="auto" w:fill="FFFFFF"/>
        </w:rPr>
      </w:pPr>
      <w:r w:rsidRPr="009A7163">
        <w:rPr>
          <w:rFonts w:ascii="Times New Roman" w:hAnsi="Times New Roman" w:cs="Times New Roman"/>
          <w:sz w:val="24"/>
          <w:szCs w:val="24"/>
        </w:rPr>
        <w:t xml:space="preserve">The definition </w:t>
      </w:r>
      <w:r w:rsidR="003D3676" w:rsidRPr="009A7163">
        <w:rPr>
          <w:rFonts w:ascii="Times New Roman" w:hAnsi="Times New Roman" w:cs="Times New Roman"/>
          <w:sz w:val="24"/>
          <w:szCs w:val="24"/>
        </w:rPr>
        <w:t xml:space="preserve">of empowerment </w:t>
      </w:r>
      <w:r w:rsidRPr="009A7163">
        <w:rPr>
          <w:rFonts w:ascii="Times New Roman" w:hAnsi="Times New Roman" w:cs="Times New Roman"/>
          <w:sz w:val="24"/>
          <w:szCs w:val="24"/>
        </w:rPr>
        <w:t xml:space="preserve">that I use </w:t>
      </w:r>
      <w:r w:rsidR="008A14B5" w:rsidRPr="009A7163">
        <w:rPr>
          <w:rFonts w:ascii="Times New Roman" w:hAnsi="Times New Roman" w:cs="Times New Roman"/>
          <w:sz w:val="24"/>
          <w:szCs w:val="24"/>
        </w:rPr>
        <w:t xml:space="preserve">in </w:t>
      </w:r>
      <w:r w:rsidR="00F333EC" w:rsidRPr="009A7163">
        <w:rPr>
          <w:rFonts w:ascii="Times New Roman" w:hAnsi="Times New Roman" w:cs="Times New Roman"/>
          <w:sz w:val="24"/>
          <w:szCs w:val="24"/>
        </w:rPr>
        <w:t xml:space="preserve">this </w:t>
      </w:r>
      <w:r w:rsidR="008A14B5" w:rsidRPr="009A7163">
        <w:rPr>
          <w:rFonts w:ascii="Times New Roman" w:hAnsi="Times New Roman" w:cs="Times New Roman"/>
          <w:sz w:val="24"/>
          <w:szCs w:val="24"/>
        </w:rPr>
        <w:t xml:space="preserve">thesis is </w:t>
      </w:r>
      <w:r w:rsidRPr="009A7163">
        <w:rPr>
          <w:rFonts w:ascii="Times New Roman" w:hAnsi="Times New Roman" w:cs="Times New Roman"/>
          <w:sz w:val="24"/>
          <w:szCs w:val="24"/>
        </w:rPr>
        <w:t>one that emphas</w:t>
      </w:r>
      <w:r w:rsidR="00793320" w:rsidRPr="009A7163">
        <w:rPr>
          <w:rFonts w:ascii="Times New Roman" w:hAnsi="Times New Roman" w:cs="Times New Roman"/>
          <w:sz w:val="24"/>
          <w:szCs w:val="24"/>
        </w:rPr>
        <w:t>ise</w:t>
      </w:r>
      <w:r w:rsidRPr="009A7163">
        <w:rPr>
          <w:rFonts w:ascii="Times New Roman" w:hAnsi="Times New Roman" w:cs="Times New Roman"/>
          <w:sz w:val="24"/>
          <w:szCs w:val="24"/>
        </w:rPr>
        <w:t>s the</w:t>
      </w:r>
      <w:r w:rsidRPr="009A7163">
        <w:rPr>
          <w:rFonts w:ascii="Times New Roman" w:hAnsi="Times New Roman" w:cs="Times New Roman"/>
          <w:sz w:val="24"/>
          <w:szCs w:val="24"/>
          <w:shd w:val="clear" w:color="auto" w:fill="FFFFFF"/>
        </w:rPr>
        <w:t xml:space="preserve"> process of empowerment </w:t>
      </w:r>
      <w:r w:rsidR="008A14B5" w:rsidRPr="009A7163">
        <w:rPr>
          <w:rFonts w:ascii="Times New Roman" w:hAnsi="Times New Roman" w:cs="Times New Roman"/>
          <w:sz w:val="24"/>
          <w:szCs w:val="24"/>
          <w:shd w:val="clear" w:color="auto" w:fill="FFFFFF"/>
        </w:rPr>
        <w:t xml:space="preserve">and </w:t>
      </w:r>
      <w:r w:rsidRPr="009A7163">
        <w:rPr>
          <w:rFonts w:ascii="Times New Roman" w:hAnsi="Times New Roman" w:cs="Times New Roman"/>
          <w:sz w:val="24"/>
          <w:szCs w:val="24"/>
          <w:shd w:val="clear" w:color="auto" w:fill="FFFFFF"/>
        </w:rPr>
        <w:t xml:space="preserve">understands empowerment </w:t>
      </w:r>
      <w:r w:rsidR="008A14B5" w:rsidRPr="009A7163">
        <w:rPr>
          <w:rFonts w:ascii="Times New Roman" w:hAnsi="Times New Roman" w:cs="Times New Roman"/>
          <w:sz w:val="24"/>
          <w:szCs w:val="24"/>
          <w:shd w:val="clear" w:color="auto" w:fill="FFFFFF"/>
        </w:rPr>
        <w:t xml:space="preserve">not only </w:t>
      </w:r>
      <w:r w:rsidRPr="009A7163">
        <w:rPr>
          <w:rFonts w:ascii="Times New Roman" w:hAnsi="Times New Roman" w:cs="Times New Roman"/>
          <w:sz w:val="24"/>
          <w:szCs w:val="24"/>
          <w:shd w:val="clear" w:color="auto" w:fill="FFFFFF"/>
        </w:rPr>
        <w:t xml:space="preserve">as an expansion </w:t>
      </w:r>
      <w:r w:rsidRPr="009A7163">
        <w:rPr>
          <w:rFonts w:ascii="Times New Roman" w:hAnsi="Times New Roman" w:cs="Times New Roman"/>
          <w:sz w:val="24"/>
          <w:szCs w:val="24"/>
          <w:shd w:val="clear" w:color="auto" w:fill="FFFFFF"/>
        </w:rPr>
        <w:lastRenderedPageBreak/>
        <w:t>of freedom of choice and action</w:t>
      </w:r>
      <w:r w:rsidR="00F333EC" w:rsidRPr="009A7163">
        <w:rPr>
          <w:rFonts w:ascii="Times New Roman" w:hAnsi="Times New Roman" w:cs="Times New Roman"/>
          <w:sz w:val="24"/>
          <w:szCs w:val="24"/>
          <w:shd w:val="clear" w:color="auto" w:fill="FFFFFF"/>
        </w:rPr>
        <w:t>,</w:t>
      </w:r>
      <w:r w:rsidRPr="009A7163">
        <w:rPr>
          <w:rFonts w:ascii="Times New Roman" w:hAnsi="Times New Roman" w:cs="Times New Roman"/>
          <w:sz w:val="24"/>
          <w:szCs w:val="24"/>
          <w:shd w:val="clear" w:color="auto" w:fill="FFFFFF"/>
        </w:rPr>
        <w:t xml:space="preserve"> but </w:t>
      </w:r>
      <w:r w:rsidR="00F333EC" w:rsidRPr="009A7163">
        <w:rPr>
          <w:rFonts w:ascii="Times New Roman" w:hAnsi="Times New Roman" w:cs="Times New Roman"/>
          <w:sz w:val="24"/>
          <w:szCs w:val="24"/>
          <w:shd w:val="clear" w:color="auto" w:fill="FFFFFF"/>
        </w:rPr>
        <w:t xml:space="preserve">also </w:t>
      </w:r>
      <w:r w:rsidRPr="009A7163">
        <w:rPr>
          <w:rFonts w:ascii="Times New Roman" w:hAnsi="Times New Roman" w:cs="Times New Roman"/>
          <w:sz w:val="24"/>
          <w:szCs w:val="24"/>
          <w:shd w:val="clear" w:color="auto" w:fill="FFFFFF"/>
        </w:rPr>
        <w:t xml:space="preserve">as </w:t>
      </w:r>
      <w:r w:rsidR="00F333EC" w:rsidRPr="009A7163">
        <w:rPr>
          <w:rFonts w:ascii="Times New Roman" w:hAnsi="Times New Roman" w:cs="Times New Roman"/>
          <w:sz w:val="24"/>
          <w:szCs w:val="24"/>
          <w:shd w:val="clear" w:color="auto" w:fill="FFFFFF"/>
        </w:rPr>
        <w:t xml:space="preserve">both </w:t>
      </w:r>
      <w:r w:rsidRPr="009A7163">
        <w:rPr>
          <w:rFonts w:ascii="Times New Roman" w:hAnsi="Times New Roman" w:cs="Times New Roman"/>
          <w:sz w:val="24"/>
          <w:szCs w:val="24"/>
          <w:shd w:val="clear" w:color="auto" w:fill="FFFFFF"/>
        </w:rPr>
        <w:t>an expansion of women's consciousness in order to expand the sense of possibilities that women gain</w:t>
      </w:r>
      <w:r w:rsidR="00F333EC" w:rsidRPr="009A7163">
        <w:rPr>
          <w:rFonts w:ascii="Times New Roman" w:hAnsi="Times New Roman" w:cs="Times New Roman"/>
          <w:sz w:val="24"/>
          <w:szCs w:val="24"/>
          <w:shd w:val="clear" w:color="auto" w:fill="FFFFFF"/>
        </w:rPr>
        <w:t xml:space="preserve"> and</w:t>
      </w:r>
      <w:r w:rsidRPr="009A7163">
        <w:rPr>
          <w:rFonts w:ascii="Times New Roman" w:hAnsi="Times New Roman" w:cs="Times New Roman"/>
          <w:sz w:val="24"/>
          <w:szCs w:val="24"/>
          <w:shd w:val="clear" w:color="auto" w:fill="FFFFFF"/>
        </w:rPr>
        <w:t xml:space="preserve"> critical</w:t>
      </w:r>
      <w:r w:rsidR="003D3676" w:rsidRPr="009A7163">
        <w:rPr>
          <w:rFonts w:ascii="Times New Roman" w:hAnsi="Times New Roman" w:cs="Times New Roman"/>
          <w:sz w:val="24"/>
          <w:szCs w:val="24"/>
          <w:shd w:val="clear" w:color="auto" w:fill="FFFFFF"/>
        </w:rPr>
        <w:t>ly</w:t>
      </w:r>
      <w:r w:rsidRPr="009A7163">
        <w:rPr>
          <w:rFonts w:ascii="Times New Roman" w:hAnsi="Times New Roman" w:cs="Times New Roman"/>
          <w:sz w:val="24"/>
          <w:szCs w:val="24"/>
          <w:shd w:val="clear" w:color="auto" w:fill="FFFFFF"/>
        </w:rPr>
        <w:t xml:space="preserve"> recogni</w:t>
      </w:r>
      <w:r w:rsidR="003D3676" w:rsidRPr="009A7163">
        <w:rPr>
          <w:rFonts w:ascii="Times New Roman" w:hAnsi="Times New Roman" w:cs="Times New Roman"/>
          <w:sz w:val="24"/>
          <w:szCs w:val="24"/>
          <w:shd w:val="clear" w:color="auto" w:fill="FFFFFF"/>
        </w:rPr>
        <w:t>se</w:t>
      </w:r>
      <w:r w:rsidRPr="009A7163">
        <w:rPr>
          <w:rFonts w:ascii="Times New Roman" w:hAnsi="Times New Roman" w:cs="Times New Roman"/>
          <w:sz w:val="24"/>
          <w:szCs w:val="24"/>
          <w:shd w:val="clear" w:color="auto" w:fill="FFFFFF"/>
        </w:rPr>
        <w:t xml:space="preserve"> the societal dimensions of the obstacles that they currently face. The focus of empowerment as a process of developing </w:t>
      </w:r>
      <w:r w:rsidRPr="009A7163">
        <w:rPr>
          <w:rFonts w:ascii="Times New Roman" w:hAnsi="Times New Roman" w:cs="Times New Roman"/>
          <w:sz w:val="24"/>
          <w:szCs w:val="24"/>
        </w:rPr>
        <w:t>critical consciousness</w:t>
      </w:r>
      <w:r w:rsidRPr="009A7163">
        <w:rPr>
          <w:rFonts w:ascii="Times New Roman" w:hAnsi="Times New Roman" w:cs="Times New Roman"/>
          <w:sz w:val="24"/>
          <w:szCs w:val="24"/>
          <w:vertAlign w:val="superscript"/>
        </w:rPr>
        <w:footnoteReference w:id="21"/>
      </w:r>
      <w:r w:rsidRPr="009A7163">
        <w:rPr>
          <w:rFonts w:ascii="Times New Roman" w:hAnsi="Times New Roman" w:cs="Times New Roman"/>
          <w:sz w:val="24"/>
          <w:szCs w:val="24"/>
        </w:rPr>
        <w:t xml:space="preserve"> is important in </w:t>
      </w:r>
      <w:r w:rsidRPr="009A7163">
        <w:rPr>
          <w:rFonts w:ascii="Times New Roman" w:hAnsi="Times New Roman" w:cs="Times New Roman"/>
          <w:sz w:val="24"/>
          <w:szCs w:val="24"/>
          <w:shd w:val="clear" w:color="auto" w:fill="FFFFFF"/>
        </w:rPr>
        <w:t>order to challenge doxa. The term ‘doxa’ refers to</w:t>
      </w:r>
      <w:r w:rsidR="00736F23" w:rsidRPr="009A7163">
        <w:rPr>
          <w:rFonts w:ascii="Times New Roman" w:hAnsi="Times New Roman" w:cs="Times New Roman"/>
          <w:sz w:val="24"/>
          <w:szCs w:val="24"/>
          <w:shd w:val="clear" w:color="auto" w:fill="FFFFFF"/>
        </w:rPr>
        <w:t xml:space="preserve"> a set of assumptions </w:t>
      </w:r>
      <w:r w:rsidR="003C71F9" w:rsidRPr="009A7163">
        <w:rPr>
          <w:rFonts w:ascii="Times New Roman" w:hAnsi="Times New Roman" w:cs="Times New Roman"/>
          <w:sz w:val="24"/>
          <w:szCs w:val="24"/>
          <w:shd w:val="clear" w:color="auto" w:fill="FFFFFF"/>
        </w:rPr>
        <w:t xml:space="preserve">that </w:t>
      </w:r>
      <w:r w:rsidR="00736F23" w:rsidRPr="009A7163">
        <w:rPr>
          <w:rFonts w:ascii="Times New Roman" w:hAnsi="Times New Roman" w:cs="Times New Roman"/>
          <w:sz w:val="24"/>
          <w:szCs w:val="24"/>
          <w:shd w:val="clear" w:color="auto" w:fill="FFFFFF"/>
        </w:rPr>
        <w:t>are never identified and therefore never questioned</w:t>
      </w:r>
      <w:r w:rsidR="003C71F9" w:rsidRPr="009A7163">
        <w:rPr>
          <w:rFonts w:ascii="Times New Roman" w:hAnsi="Times New Roman" w:cs="Times New Roman"/>
          <w:sz w:val="24"/>
          <w:szCs w:val="24"/>
          <w:shd w:val="clear" w:color="auto" w:fill="FFFFFF"/>
        </w:rPr>
        <w:t>. Bourdieu (1977) describe</w:t>
      </w:r>
      <w:r w:rsidR="000B72AC" w:rsidRPr="009A7163">
        <w:rPr>
          <w:rFonts w:ascii="Times New Roman" w:hAnsi="Times New Roman" w:cs="Times New Roman"/>
          <w:sz w:val="24"/>
          <w:szCs w:val="24"/>
          <w:shd w:val="clear" w:color="auto" w:fill="FFFFFF"/>
        </w:rPr>
        <w:t>s</w:t>
      </w:r>
      <w:r w:rsidR="003C71F9" w:rsidRPr="009A7163">
        <w:rPr>
          <w:rFonts w:ascii="Times New Roman" w:hAnsi="Times New Roman" w:cs="Times New Roman"/>
          <w:sz w:val="24"/>
          <w:szCs w:val="24"/>
          <w:shd w:val="clear" w:color="auto" w:fill="FFFFFF"/>
        </w:rPr>
        <w:t xml:space="preserve"> the ‘doxa’ as</w:t>
      </w:r>
      <w:r w:rsidR="00736F23" w:rsidRPr="009A7163">
        <w:rPr>
          <w:rFonts w:ascii="Times New Roman" w:hAnsi="Times New Roman" w:cs="Times New Roman"/>
          <w:sz w:val="24"/>
          <w:szCs w:val="24"/>
          <w:shd w:val="clear" w:color="auto" w:fill="FFFFFF"/>
        </w:rPr>
        <w:t xml:space="preserve"> the ‘universe of the undiscussed (undisputed)’ (p.</w:t>
      </w:r>
      <w:r w:rsidR="009C01E8" w:rsidRPr="009A7163">
        <w:rPr>
          <w:rFonts w:ascii="Times New Roman" w:hAnsi="Times New Roman" w:cs="Times New Roman"/>
          <w:sz w:val="24"/>
          <w:szCs w:val="24"/>
          <w:shd w:val="clear" w:color="auto" w:fill="FFFFFF"/>
        </w:rPr>
        <w:t xml:space="preserve"> </w:t>
      </w:r>
      <w:r w:rsidR="00736F23" w:rsidRPr="009A7163">
        <w:rPr>
          <w:rFonts w:ascii="Times New Roman" w:hAnsi="Times New Roman" w:cs="Times New Roman"/>
          <w:sz w:val="24"/>
          <w:szCs w:val="24"/>
          <w:shd w:val="clear" w:color="auto" w:fill="FFFFFF"/>
        </w:rPr>
        <w:t>168)</w:t>
      </w:r>
      <w:r w:rsidR="009C01E8" w:rsidRPr="009A7163">
        <w:rPr>
          <w:rFonts w:ascii="Times New Roman" w:hAnsi="Times New Roman" w:cs="Times New Roman"/>
          <w:sz w:val="24"/>
          <w:szCs w:val="24"/>
          <w:shd w:val="clear" w:color="auto" w:fill="FFFFFF"/>
        </w:rPr>
        <w:t>, which</w:t>
      </w:r>
      <w:r w:rsidR="00736F23" w:rsidRPr="009A7163">
        <w:rPr>
          <w:rFonts w:ascii="Times New Roman" w:hAnsi="Times New Roman" w:cs="Times New Roman"/>
          <w:sz w:val="24"/>
          <w:szCs w:val="24"/>
          <w:shd w:val="clear" w:color="auto" w:fill="FFFFFF"/>
        </w:rPr>
        <w:t xml:space="preserve"> exist</w:t>
      </w:r>
      <w:r w:rsidR="00BC3FB0" w:rsidRPr="009A7163">
        <w:rPr>
          <w:rFonts w:ascii="Times New Roman" w:hAnsi="Times New Roman" w:cs="Times New Roman"/>
          <w:sz w:val="24"/>
          <w:szCs w:val="24"/>
          <w:shd w:val="clear" w:color="auto" w:fill="FFFFFF"/>
        </w:rPr>
        <w:t>s</w:t>
      </w:r>
      <w:r w:rsidR="00736F23" w:rsidRPr="009A7163">
        <w:rPr>
          <w:rFonts w:ascii="Times New Roman" w:hAnsi="Times New Roman" w:cs="Times New Roman"/>
          <w:sz w:val="24"/>
          <w:szCs w:val="24"/>
          <w:shd w:val="clear" w:color="auto" w:fill="FFFFFF"/>
        </w:rPr>
        <w:t xml:space="preserve"> outside of the realm of what is spoken about thought about and discussed. Kabeer </w:t>
      </w:r>
      <w:r w:rsidR="009C01E8" w:rsidRPr="009A7163">
        <w:rPr>
          <w:rFonts w:ascii="Times New Roman" w:hAnsi="Times New Roman" w:cs="Times New Roman"/>
          <w:sz w:val="24"/>
          <w:szCs w:val="24"/>
          <w:shd w:val="clear" w:color="auto" w:fill="FFFFFF"/>
        </w:rPr>
        <w:t xml:space="preserve">(1999) </w:t>
      </w:r>
      <w:r w:rsidR="00736F23" w:rsidRPr="009A7163">
        <w:rPr>
          <w:rFonts w:ascii="Times New Roman" w:hAnsi="Times New Roman" w:cs="Times New Roman"/>
          <w:sz w:val="24"/>
          <w:szCs w:val="24"/>
          <w:shd w:val="clear" w:color="auto" w:fill="FFFFFF"/>
        </w:rPr>
        <w:t>add</w:t>
      </w:r>
      <w:r w:rsidR="000B72AC" w:rsidRPr="009A7163">
        <w:rPr>
          <w:rFonts w:ascii="Times New Roman" w:hAnsi="Times New Roman" w:cs="Times New Roman"/>
          <w:sz w:val="24"/>
          <w:szCs w:val="24"/>
          <w:shd w:val="clear" w:color="auto" w:fill="FFFFFF"/>
        </w:rPr>
        <w:t>s</w:t>
      </w:r>
      <w:r w:rsidR="009C01E8" w:rsidRPr="009A7163">
        <w:rPr>
          <w:rFonts w:ascii="Times New Roman" w:hAnsi="Times New Roman" w:cs="Times New Roman"/>
          <w:sz w:val="24"/>
          <w:szCs w:val="24"/>
          <w:shd w:val="clear" w:color="auto" w:fill="FFFFFF"/>
        </w:rPr>
        <w:t xml:space="preserve"> that these assumptions</w:t>
      </w:r>
      <w:r w:rsidR="00736F23" w:rsidRPr="009A7163">
        <w:rPr>
          <w:rFonts w:ascii="Times New Roman" w:hAnsi="Times New Roman" w:cs="Times New Roman"/>
          <w:sz w:val="24"/>
          <w:szCs w:val="24"/>
          <w:shd w:val="clear" w:color="auto" w:fill="FFFFFF"/>
        </w:rPr>
        <w:t xml:space="preserve"> are ‘</w:t>
      </w:r>
      <w:r w:rsidRPr="009A7163">
        <w:rPr>
          <w:rFonts w:ascii="Times New Roman" w:hAnsi="Times New Roman" w:cs="Times New Roman"/>
          <w:sz w:val="24"/>
          <w:szCs w:val="24"/>
          <w:shd w:val="clear" w:color="auto" w:fill="FFFFFF"/>
        </w:rPr>
        <w:t>the traditions and beliefs that exist beyond discourse or argumentation</w:t>
      </w:r>
      <w:r w:rsidR="00030B2E" w:rsidRPr="009A7163">
        <w:rPr>
          <w:rFonts w:ascii="Times New Roman" w:hAnsi="Times New Roman" w:cs="Times New Roman"/>
          <w:sz w:val="24"/>
          <w:szCs w:val="24"/>
          <w:shd w:val="clear" w:color="auto" w:fill="FFFFFF"/>
        </w:rPr>
        <w:t xml:space="preserve">, </w:t>
      </w:r>
      <w:r w:rsidR="00210A3E" w:rsidRPr="009A7163">
        <w:rPr>
          <w:rFonts w:ascii="Times New Roman" w:hAnsi="Times New Roman" w:cs="Times New Roman"/>
          <w:sz w:val="24"/>
          <w:szCs w:val="24"/>
          <w:shd w:val="clear" w:color="auto" w:fill="FFFFFF"/>
        </w:rPr>
        <w:t>that is</w:t>
      </w:r>
      <w:r w:rsidR="00030B2E" w:rsidRPr="009A7163">
        <w:rPr>
          <w:rFonts w:ascii="Times New Roman" w:hAnsi="Times New Roman" w:cs="Times New Roman"/>
          <w:sz w:val="24"/>
          <w:szCs w:val="24"/>
          <w:shd w:val="clear" w:color="auto" w:fill="FFFFFF"/>
        </w:rPr>
        <w:t xml:space="preserve"> “</w:t>
      </w:r>
      <w:r w:rsidRPr="009A7163">
        <w:rPr>
          <w:rFonts w:ascii="Times New Roman" w:hAnsi="Times New Roman" w:cs="Times New Roman"/>
          <w:sz w:val="24"/>
          <w:szCs w:val="24"/>
          <w:shd w:val="clear" w:color="auto" w:fill="FFFFFF"/>
        </w:rPr>
        <w:t>undiscussed, unnamed, admitted without argument or scrutiny</w:t>
      </w:r>
      <w:r w:rsidR="00030B2E" w:rsidRPr="009A7163">
        <w:rPr>
          <w:rFonts w:ascii="Times New Roman" w:hAnsi="Times New Roman" w:cs="Times New Roman"/>
          <w:sz w:val="24"/>
          <w:szCs w:val="24"/>
          <w:shd w:val="clear" w:color="auto" w:fill="FFFFFF"/>
        </w:rPr>
        <w:t>”</w:t>
      </w:r>
      <w:r w:rsidRPr="009A7163">
        <w:rPr>
          <w:rFonts w:ascii="Times New Roman" w:hAnsi="Times New Roman" w:cs="Times New Roman"/>
          <w:sz w:val="24"/>
          <w:szCs w:val="24"/>
          <w:shd w:val="clear" w:color="auto" w:fill="FFFFFF"/>
        </w:rPr>
        <w:t>’</w:t>
      </w:r>
      <w:r w:rsidR="00736F23" w:rsidRPr="009A7163">
        <w:rPr>
          <w:rFonts w:ascii="Times New Roman" w:hAnsi="Times New Roman" w:cs="Times New Roman"/>
          <w:sz w:val="24"/>
          <w:szCs w:val="24"/>
          <w:shd w:val="clear" w:color="auto" w:fill="FFFFFF"/>
        </w:rPr>
        <w:t xml:space="preserve"> (</w:t>
      </w:r>
      <w:r w:rsidR="009C01E8" w:rsidRPr="009A7163">
        <w:rPr>
          <w:rFonts w:ascii="Times New Roman" w:hAnsi="Times New Roman" w:cs="Times New Roman"/>
          <w:sz w:val="24"/>
          <w:szCs w:val="24"/>
          <w:shd w:val="clear" w:color="auto" w:fill="FFFFFF"/>
        </w:rPr>
        <w:t xml:space="preserve">p. </w:t>
      </w:r>
      <w:r w:rsidR="00BB72BE" w:rsidRPr="009A7163">
        <w:rPr>
          <w:rFonts w:ascii="Times New Roman" w:hAnsi="Times New Roman" w:cs="Times New Roman"/>
          <w:sz w:val="24"/>
          <w:szCs w:val="24"/>
          <w:shd w:val="clear" w:color="auto" w:fill="FFFFFF"/>
        </w:rPr>
        <w:t>9)</w:t>
      </w:r>
      <w:r w:rsidR="00963C81" w:rsidRPr="009A7163">
        <w:rPr>
          <w:rFonts w:ascii="Times New Roman" w:hAnsi="Times New Roman" w:cs="Times New Roman"/>
          <w:sz w:val="24"/>
          <w:szCs w:val="24"/>
          <w:shd w:val="clear" w:color="auto" w:fill="FFFFFF"/>
        </w:rPr>
        <w:t xml:space="preserve">. </w:t>
      </w:r>
      <w:r w:rsidRPr="009A7163">
        <w:rPr>
          <w:rFonts w:ascii="Times New Roman" w:hAnsi="Times New Roman" w:cs="Times New Roman"/>
          <w:sz w:val="24"/>
          <w:szCs w:val="24"/>
          <w:shd w:val="clear" w:color="auto" w:fill="FFFFFF"/>
        </w:rPr>
        <w:t>Fundamental to this is a process that engages women in thinking differently</w:t>
      </w:r>
      <w:r w:rsidR="00210A3E" w:rsidRPr="009A7163">
        <w:rPr>
          <w:rFonts w:ascii="Times New Roman" w:hAnsi="Times New Roman" w:cs="Times New Roman"/>
          <w:sz w:val="24"/>
          <w:szCs w:val="24"/>
          <w:shd w:val="clear" w:color="auto" w:fill="FFFFFF"/>
        </w:rPr>
        <w:t xml:space="preserve"> – </w:t>
      </w:r>
      <w:r w:rsidRPr="009A7163">
        <w:rPr>
          <w:rFonts w:ascii="Times New Roman" w:hAnsi="Times New Roman" w:cs="Times New Roman"/>
          <w:sz w:val="24"/>
          <w:szCs w:val="24"/>
          <w:shd w:val="clear" w:color="auto" w:fill="FFFFFF"/>
        </w:rPr>
        <w:t xml:space="preserve">about themselves, about the situations they are in </w:t>
      </w:r>
      <w:r w:rsidR="00BC3FB0" w:rsidRPr="009A7163">
        <w:rPr>
          <w:rFonts w:ascii="Times New Roman" w:hAnsi="Times New Roman" w:cs="Times New Roman"/>
          <w:sz w:val="24"/>
          <w:szCs w:val="24"/>
          <w:shd w:val="clear" w:color="auto" w:fill="FFFFFF"/>
        </w:rPr>
        <w:t xml:space="preserve">and </w:t>
      </w:r>
      <w:r w:rsidRPr="009A7163">
        <w:rPr>
          <w:rFonts w:ascii="Times New Roman" w:hAnsi="Times New Roman" w:cs="Times New Roman"/>
          <w:sz w:val="24"/>
          <w:szCs w:val="24"/>
          <w:shd w:val="clear" w:color="auto" w:fill="FFFFFF"/>
        </w:rPr>
        <w:t>about their social worlds, relationships and horizons.</w:t>
      </w:r>
      <w:r w:rsidRPr="009A7163">
        <w:rPr>
          <w:rFonts w:ascii="Times New Roman" w:hAnsi="Times New Roman" w:cs="Times New Roman"/>
          <w:sz w:val="24"/>
          <w:szCs w:val="24"/>
        </w:rPr>
        <w:t xml:space="preserve"> Empowerment, then, can be </w:t>
      </w:r>
      <w:r w:rsidR="00F47313" w:rsidRPr="009A7163">
        <w:rPr>
          <w:rFonts w:ascii="Times New Roman" w:hAnsi="Times New Roman" w:cs="Times New Roman"/>
          <w:sz w:val="24"/>
          <w:szCs w:val="24"/>
        </w:rPr>
        <w:t>‘</w:t>
      </w:r>
      <w:r w:rsidRPr="009A7163">
        <w:rPr>
          <w:rFonts w:ascii="Times New Roman" w:hAnsi="Times New Roman" w:cs="Times New Roman"/>
          <w:sz w:val="24"/>
          <w:szCs w:val="24"/>
        </w:rPr>
        <w:t>understood in terms of gaining a sense of power to shape the lives we want to be able to live ourselves and the lives of others</w:t>
      </w:r>
      <w:r w:rsidR="00F47313" w:rsidRPr="009A7163">
        <w:rPr>
          <w:rFonts w:ascii="Times New Roman" w:hAnsi="Times New Roman" w:cs="Times New Roman"/>
          <w:sz w:val="24"/>
          <w:szCs w:val="24"/>
        </w:rPr>
        <w:t>’</w:t>
      </w:r>
      <w:r w:rsidRPr="009A7163">
        <w:rPr>
          <w:rFonts w:ascii="Times New Roman" w:hAnsi="Times New Roman" w:cs="Times New Roman"/>
          <w:sz w:val="24"/>
          <w:szCs w:val="24"/>
        </w:rPr>
        <w:t xml:space="preserve"> (Cornwall, 2017</w:t>
      </w:r>
      <w:r w:rsidR="00F47313" w:rsidRPr="009A7163">
        <w:rPr>
          <w:rFonts w:ascii="Times New Roman" w:hAnsi="Times New Roman" w:cs="Times New Roman"/>
          <w:sz w:val="24"/>
          <w:szCs w:val="24"/>
        </w:rPr>
        <w:t>, p.</w:t>
      </w:r>
      <w:r w:rsidR="00215D0C" w:rsidRPr="009A7163">
        <w:rPr>
          <w:rFonts w:ascii="Times New Roman" w:hAnsi="Times New Roman" w:cs="Times New Roman"/>
          <w:sz w:val="24"/>
          <w:szCs w:val="24"/>
        </w:rPr>
        <w:t xml:space="preserve"> </w:t>
      </w:r>
      <w:r w:rsidR="00F47313" w:rsidRPr="009A7163">
        <w:rPr>
          <w:rFonts w:ascii="Times New Roman" w:hAnsi="Times New Roman" w:cs="Times New Roman"/>
          <w:sz w:val="24"/>
          <w:szCs w:val="24"/>
        </w:rPr>
        <w:t>8</w:t>
      </w:r>
      <w:r w:rsidRPr="009A7163">
        <w:rPr>
          <w:rFonts w:ascii="Times New Roman" w:hAnsi="Times New Roman" w:cs="Times New Roman"/>
          <w:sz w:val="24"/>
          <w:szCs w:val="24"/>
        </w:rPr>
        <w:t xml:space="preserve">). </w:t>
      </w:r>
      <w:r w:rsidR="008A14B5" w:rsidRPr="009A7163">
        <w:rPr>
          <w:rFonts w:ascii="Times New Roman" w:hAnsi="Times New Roman" w:cs="Times New Roman"/>
          <w:sz w:val="24"/>
          <w:szCs w:val="24"/>
        </w:rPr>
        <w:t>Furthermore,</w:t>
      </w:r>
      <w:r w:rsidR="00251DAB" w:rsidRPr="009A7163">
        <w:t xml:space="preserve"> </w:t>
      </w:r>
      <w:r w:rsidR="00251DAB" w:rsidRPr="009A7163">
        <w:rPr>
          <w:rFonts w:ascii="Times New Roman" w:hAnsi="Times New Roman" w:cs="Times New Roman"/>
          <w:sz w:val="24"/>
          <w:szCs w:val="24"/>
        </w:rPr>
        <w:t>as previously discussed</w:t>
      </w:r>
      <w:r w:rsidRPr="009A7163">
        <w:rPr>
          <w:rFonts w:ascii="Times New Roman" w:hAnsi="Times New Roman" w:cs="Times New Roman"/>
          <w:sz w:val="24"/>
          <w:szCs w:val="24"/>
        </w:rPr>
        <w:t xml:space="preserve">, </w:t>
      </w:r>
      <w:r w:rsidR="00BC3FB0" w:rsidRPr="009A7163">
        <w:rPr>
          <w:rFonts w:ascii="Times New Roman" w:hAnsi="Times New Roman" w:cs="Times New Roman"/>
          <w:sz w:val="24"/>
          <w:szCs w:val="24"/>
        </w:rPr>
        <w:t xml:space="preserve">the </w:t>
      </w:r>
      <w:r w:rsidRPr="009A7163">
        <w:rPr>
          <w:rFonts w:ascii="Times New Roman" w:hAnsi="Times New Roman" w:cs="Times New Roman"/>
          <w:sz w:val="24"/>
          <w:szCs w:val="24"/>
        </w:rPr>
        <w:t>empowerment of women requires a people</w:t>
      </w:r>
      <w:r w:rsidR="00210A3E" w:rsidRPr="009A7163">
        <w:rPr>
          <w:rFonts w:ascii="Times New Roman" w:hAnsi="Times New Roman" w:cs="Times New Roman"/>
          <w:sz w:val="24"/>
          <w:szCs w:val="24"/>
        </w:rPr>
        <w:t>-</w:t>
      </w:r>
      <w:r w:rsidRPr="009A7163">
        <w:rPr>
          <w:rFonts w:ascii="Times New Roman" w:hAnsi="Times New Roman" w:cs="Times New Roman"/>
          <w:sz w:val="24"/>
          <w:szCs w:val="24"/>
        </w:rPr>
        <w:t xml:space="preserve">centred </w:t>
      </w:r>
      <w:r w:rsidR="00D5352C" w:rsidRPr="009A7163">
        <w:rPr>
          <w:rFonts w:ascii="Times New Roman" w:hAnsi="Times New Roman" w:cs="Times New Roman"/>
          <w:sz w:val="24"/>
          <w:szCs w:val="24"/>
        </w:rPr>
        <w:t xml:space="preserve">economy and </w:t>
      </w:r>
      <w:r w:rsidR="00552E71" w:rsidRPr="009A7163">
        <w:rPr>
          <w:rFonts w:ascii="Times New Roman" w:hAnsi="Times New Roman" w:cs="Times New Roman"/>
          <w:sz w:val="24"/>
          <w:szCs w:val="24"/>
        </w:rPr>
        <w:t>‘</w:t>
      </w:r>
      <w:r w:rsidR="00D5352C" w:rsidRPr="009A7163">
        <w:rPr>
          <w:rFonts w:ascii="Times New Roman" w:hAnsi="Times New Roman" w:cs="Times New Roman"/>
          <w:sz w:val="24"/>
          <w:szCs w:val="24"/>
        </w:rPr>
        <w:t xml:space="preserve">happens when </w:t>
      </w:r>
      <w:r w:rsidRPr="009A7163">
        <w:rPr>
          <w:rFonts w:ascii="Times New Roman" w:hAnsi="Times New Roman" w:cs="Times New Roman"/>
          <w:sz w:val="24"/>
          <w:szCs w:val="24"/>
        </w:rPr>
        <w:t>individuals and organised groups are able to imagine their world differently and to realise that vision by changing the relations of power that have limited their capacity to enjoy a good life’ (Fontana</w:t>
      </w:r>
      <w:r w:rsidR="00210A3E" w:rsidRPr="009A7163">
        <w:rPr>
          <w:rFonts w:ascii="Times New Roman" w:hAnsi="Times New Roman" w:cs="Times New Roman"/>
          <w:sz w:val="24"/>
          <w:szCs w:val="24"/>
        </w:rPr>
        <w:t>,</w:t>
      </w:r>
      <w:r w:rsidRPr="009A7163">
        <w:rPr>
          <w:rFonts w:ascii="Times New Roman" w:hAnsi="Times New Roman" w:cs="Times New Roman"/>
          <w:sz w:val="24"/>
          <w:szCs w:val="24"/>
        </w:rPr>
        <w:t xml:space="preserve"> 2009</w:t>
      </w:r>
      <w:r w:rsidR="00A56B8B" w:rsidRPr="009A7163">
        <w:rPr>
          <w:rFonts w:ascii="Times New Roman" w:hAnsi="Times New Roman" w:cs="Times New Roman"/>
          <w:sz w:val="24"/>
          <w:szCs w:val="24"/>
        </w:rPr>
        <w:t>, p.</w:t>
      </w:r>
      <w:r w:rsidR="007C081D" w:rsidRPr="009A7163">
        <w:rPr>
          <w:rFonts w:ascii="Times New Roman" w:hAnsi="Times New Roman" w:cs="Times New Roman"/>
          <w:sz w:val="24"/>
          <w:szCs w:val="24"/>
        </w:rPr>
        <w:t xml:space="preserve"> </w:t>
      </w:r>
      <w:r w:rsidR="00A56B8B" w:rsidRPr="009A7163">
        <w:rPr>
          <w:rFonts w:ascii="Times New Roman" w:hAnsi="Times New Roman" w:cs="Times New Roman"/>
          <w:sz w:val="24"/>
          <w:szCs w:val="24"/>
        </w:rPr>
        <w:t>6</w:t>
      </w:r>
      <w:r w:rsidRPr="009A7163">
        <w:rPr>
          <w:rFonts w:ascii="Times New Roman" w:hAnsi="Times New Roman" w:cs="Times New Roman"/>
          <w:sz w:val="24"/>
          <w:szCs w:val="24"/>
        </w:rPr>
        <w:t xml:space="preserve">). </w:t>
      </w:r>
    </w:p>
    <w:p w14:paraId="44D6DAEB" w14:textId="066C7DFD" w:rsidR="000F6061" w:rsidRPr="009A7163" w:rsidRDefault="00210A3E" w:rsidP="00B17488">
      <w:pPr>
        <w:pStyle w:val="NormalWeb"/>
        <w:spacing w:before="0" w:beforeAutospacing="0" w:after="0" w:afterAutospacing="0" w:line="360" w:lineRule="auto"/>
        <w:ind w:firstLine="720"/>
        <w:jc w:val="both"/>
      </w:pPr>
      <w:r w:rsidRPr="009A7163">
        <w:t xml:space="preserve">Having found traction in </w:t>
      </w:r>
      <w:r w:rsidR="00D54875" w:rsidRPr="009A7163">
        <w:t xml:space="preserve">the field of </w:t>
      </w:r>
      <w:r w:rsidRPr="009A7163">
        <w:t>WEE, unpaid care and domestic work</w:t>
      </w:r>
      <w:r w:rsidR="00D54875" w:rsidRPr="009A7163">
        <w:t xml:space="preserve"> is now entering the </w:t>
      </w:r>
      <w:r w:rsidRPr="009A7163">
        <w:t>FT</w:t>
      </w:r>
      <w:r w:rsidR="00D54875" w:rsidRPr="009A7163">
        <w:t xml:space="preserve"> gender </w:t>
      </w:r>
      <w:r w:rsidR="000F6061" w:rsidRPr="009A7163">
        <w:t>agenda</w:t>
      </w:r>
      <w:r w:rsidR="00DB4165" w:rsidRPr="009A7163">
        <w:t xml:space="preserve">. </w:t>
      </w:r>
      <w:r w:rsidR="000F6061" w:rsidRPr="009A7163">
        <w:t>FT affects more than 1.65 million producers worldwide.</w:t>
      </w:r>
      <w:r w:rsidR="000F6061" w:rsidRPr="009A7163">
        <w:rPr>
          <w:rStyle w:val="FootnoteReference"/>
        </w:rPr>
        <w:footnoteReference w:id="22"/>
      </w:r>
      <w:r w:rsidR="000F6061" w:rsidRPr="009A7163">
        <w:t xml:space="preserve"> Since the mid-20</w:t>
      </w:r>
      <w:r w:rsidR="000F6061" w:rsidRPr="009A7163">
        <w:rPr>
          <w:vertAlign w:val="superscript"/>
        </w:rPr>
        <w:t>th</w:t>
      </w:r>
      <w:r w:rsidR="000F6061" w:rsidRPr="009A7163">
        <w:t xml:space="preserve"> century, the FT movement has sought to ‘empower’ marginalised producers in the international trading system. The movement emerged in the context of the post-World War II economy to promote ‘trade not aid’ and to demonstrate that, by changing conditions and terms of international trade to benefit small-scale producers in the South, the latter could real</w:t>
      </w:r>
      <w:r w:rsidR="00793320" w:rsidRPr="009A7163">
        <w:t>ise</w:t>
      </w:r>
      <w:r w:rsidR="000F6061" w:rsidRPr="009A7163">
        <w:t xml:space="preserve"> economic independence and development (Fridell, 2004; Nicholls and Opal, 2005). FT grew in the 1980s and 1990s</w:t>
      </w:r>
      <w:r w:rsidRPr="009A7163">
        <w:t>,</w:t>
      </w:r>
      <w:r w:rsidR="000F6061" w:rsidRPr="009A7163">
        <w:t xml:space="preserve"> which is around the time that BSI got involved in the movement with their community trade </w:t>
      </w:r>
      <w:r w:rsidR="00306E8E" w:rsidRPr="009A7163">
        <w:t>agenda</w:t>
      </w:r>
      <w:r w:rsidRPr="009A7163">
        <w:t>.</w:t>
      </w:r>
      <w:r w:rsidR="000F6061" w:rsidRPr="009A7163">
        <w:t xml:space="preserve"> BSI, with its focus on </w:t>
      </w:r>
      <w:r w:rsidR="007C081D" w:rsidRPr="009A7163">
        <w:t>C</w:t>
      </w:r>
      <w:r w:rsidR="000F6061" w:rsidRPr="009A7163">
        <w:t xml:space="preserve">ommunity </w:t>
      </w:r>
      <w:r w:rsidR="007C081D" w:rsidRPr="009A7163">
        <w:t>T</w:t>
      </w:r>
      <w:r w:rsidR="000F6061" w:rsidRPr="009A7163">
        <w:t>rade, was part of this movement</w:t>
      </w:r>
      <w:r w:rsidR="006A114F" w:rsidRPr="009A7163">
        <w:t>.</w:t>
      </w:r>
    </w:p>
    <w:p w14:paraId="019951FA" w14:textId="6293636B" w:rsidR="000F6061" w:rsidRPr="009A7163" w:rsidRDefault="000F6061">
      <w:pPr>
        <w:widowControl w:val="0"/>
        <w:autoSpaceDE w:val="0"/>
        <w:autoSpaceDN w:val="0"/>
        <w:adjustRightInd w:val="0"/>
        <w:spacing w:line="360" w:lineRule="auto"/>
        <w:ind w:firstLine="720"/>
        <w:jc w:val="both"/>
      </w:pPr>
      <w:r w:rsidRPr="009A7163">
        <w:lastRenderedPageBreak/>
        <w:t>Principally, FT seeks to distribute its economic benefits more fairly between all stakeholders (Nicholls, 2005; Nicholls and Opall, 2005; Raynolds et al., 2007). According to Murray and Raynolds (2007), FT can best be understood as response to the negative effects of contemporary globalization, in particular to the unequitable nature of international trade. Murray and Raynolds (2007) further point out that FT ‘is not an “antiglobalization” but a “new globalization”’ (p. 6). In this vein, it seeks to redirect globalization’s transformative powers toward the creation of greater social equity on a global scale (Brown, 1993; Murray and Raynolds, 2007; Ransom, 2001; Raynolds, 2000).</w:t>
      </w:r>
    </w:p>
    <w:p w14:paraId="71EA86CF" w14:textId="4B59DFEE" w:rsidR="000F6061" w:rsidRPr="009A7163" w:rsidRDefault="000F6061">
      <w:pPr>
        <w:spacing w:line="360" w:lineRule="auto"/>
        <w:ind w:firstLine="720"/>
        <w:jc w:val="both"/>
        <w:rPr>
          <w:rFonts w:eastAsiaTheme="minorHAnsi"/>
          <w:lang w:eastAsia="en-GB"/>
        </w:rPr>
      </w:pPr>
      <w:r w:rsidRPr="009A7163">
        <w:t>The term ‘Fair Trade’ (capital</w:t>
      </w:r>
      <w:r w:rsidR="00793320" w:rsidRPr="009A7163">
        <w:t>ise</w:t>
      </w:r>
      <w:r w:rsidRPr="009A7163">
        <w:t xml:space="preserve">d) is used as an inclusive term for all organizations involved in FT markets, while ‘fair trade’ (lower case) is used by social activists to refer to a broad array of efforts </w:t>
      </w:r>
      <w:r w:rsidR="00210A3E" w:rsidRPr="009A7163">
        <w:t xml:space="preserve">that </w:t>
      </w:r>
      <w:r w:rsidRPr="009A7163">
        <w:t>share at least some common ground with the FT movement. However, ‘Fairtrade’ refers specifically to producers and goods certified under the Fairtrade International (FLO)</w:t>
      </w:r>
      <w:r w:rsidRPr="009A7163">
        <w:rPr>
          <w:rStyle w:val="FootnoteReference"/>
        </w:rPr>
        <w:footnoteReference w:id="23"/>
      </w:r>
      <w:r w:rsidRPr="009A7163">
        <w:t xml:space="preserve"> system and is used to denote the product certification scheme operated by FLO.</w:t>
      </w:r>
      <w:r w:rsidRPr="009A7163">
        <w:rPr>
          <w:rStyle w:val="FootnoteReference"/>
        </w:rPr>
        <w:footnoteReference w:id="24"/>
      </w:r>
      <w:r w:rsidRPr="009A7163">
        <w:t xml:space="preserve"> Fairtrade </w:t>
      </w:r>
      <w:r w:rsidR="00B134E1" w:rsidRPr="009A7163">
        <w:t>‘</w:t>
      </w:r>
      <w:r w:rsidRPr="009A7163">
        <w:t xml:space="preserve">seeks to determine a </w:t>
      </w:r>
      <w:r w:rsidR="00BC3FB0" w:rsidRPr="009A7163">
        <w:t>“</w:t>
      </w:r>
      <w:r w:rsidRPr="009A7163">
        <w:t>fair</w:t>
      </w:r>
      <w:r w:rsidR="00BC3FB0" w:rsidRPr="009A7163">
        <w:t>”</w:t>
      </w:r>
      <w:r w:rsidRPr="009A7163">
        <w:t xml:space="preserve"> price that protects the human dignity of the producer against the otherwise uncontrollable price fluctuations of global commodity markets</w:t>
      </w:r>
      <w:r w:rsidR="00B134E1" w:rsidRPr="009A7163">
        <w:t>’ (Reinecke, 2010, p.</w:t>
      </w:r>
      <w:r w:rsidR="00BC3FB0" w:rsidRPr="009A7163">
        <w:t xml:space="preserve"> </w:t>
      </w:r>
      <w:r w:rsidR="00B134E1" w:rsidRPr="009A7163">
        <w:t>64)</w:t>
      </w:r>
      <w:r w:rsidR="00BC3FB0" w:rsidRPr="009A7163">
        <w:t>.</w:t>
      </w:r>
      <w:r w:rsidRPr="009A7163">
        <w:t xml:space="preserve"> ‘The Fairtrade Certification Mark</w:t>
      </w:r>
      <w:r w:rsidR="006B0BC9" w:rsidRPr="009A7163">
        <w:t>…</w:t>
      </w:r>
      <w:r w:rsidRPr="009A7163">
        <w:t>addresses the in</w:t>
      </w:r>
      <w:r w:rsidR="00795E9F" w:rsidRPr="009A7163">
        <w:t>j</w:t>
      </w:r>
      <w:r w:rsidRPr="009A7163">
        <w:t>ustice of low prices by guaranteeing that producers receive fair terms of trade and fair prices however unfair the co</w:t>
      </w:r>
      <w:r w:rsidR="003E5478" w:rsidRPr="009A7163">
        <w:t>nventional market is’ (Fairtrade Foundation, 2017</w:t>
      </w:r>
      <w:r w:rsidR="00593441" w:rsidRPr="009A7163">
        <w:t>).</w:t>
      </w:r>
    </w:p>
    <w:p w14:paraId="4D42ACBC" w14:textId="61AB8B67" w:rsidR="000F6061" w:rsidRPr="009A7163" w:rsidRDefault="000F6061">
      <w:pPr>
        <w:widowControl w:val="0"/>
        <w:autoSpaceDE w:val="0"/>
        <w:autoSpaceDN w:val="0"/>
        <w:adjustRightInd w:val="0"/>
        <w:spacing w:line="360" w:lineRule="auto"/>
        <w:ind w:firstLine="720"/>
        <w:jc w:val="both"/>
      </w:pPr>
      <w:r w:rsidRPr="009A7163">
        <w:t>The FT movement</w:t>
      </w:r>
      <w:r w:rsidRPr="009A7163">
        <w:rPr>
          <w:rStyle w:val="FootnoteReference"/>
        </w:rPr>
        <w:footnoteReference w:id="25"/>
      </w:r>
      <w:r w:rsidRPr="009A7163">
        <w:t xml:space="preserve"> </w:t>
      </w:r>
      <w:r w:rsidR="00306E8E" w:rsidRPr="009A7163">
        <w:t xml:space="preserve">defined </w:t>
      </w:r>
      <w:r w:rsidR="00CA0D81" w:rsidRPr="009A7163">
        <w:t>FT</w:t>
      </w:r>
      <w:r w:rsidRPr="009A7163">
        <w:t xml:space="preserve"> by</w:t>
      </w:r>
      <w:r w:rsidR="007C4EF6" w:rsidRPr="009A7163">
        <w:t xml:space="preserve"> </w:t>
      </w:r>
      <w:r w:rsidR="00306E8E" w:rsidRPr="009A7163">
        <w:t xml:space="preserve">consensus with </w:t>
      </w:r>
      <w:r w:rsidRPr="009A7163">
        <w:t>the members of FINE</w:t>
      </w:r>
      <w:r w:rsidR="00210A3E" w:rsidRPr="009A7163">
        <w:rPr>
          <w:rStyle w:val="FootnoteReference"/>
        </w:rPr>
        <w:footnoteReference w:id="26"/>
      </w:r>
      <w:r w:rsidRPr="009A7163">
        <w:t xml:space="preserve"> and </w:t>
      </w:r>
      <w:r w:rsidR="00306E8E" w:rsidRPr="009A7163">
        <w:t xml:space="preserve">this definition </w:t>
      </w:r>
      <w:r w:rsidRPr="009A7163">
        <w:t>has been extensively used in aca</w:t>
      </w:r>
      <w:r w:rsidR="00AC2BF8" w:rsidRPr="009A7163">
        <w:t>demic literature (</w:t>
      </w:r>
      <w:r w:rsidR="00073D04" w:rsidRPr="009A7163">
        <w:t xml:space="preserve">Bacon, </w:t>
      </w:r>
      <w:r w:rsidR="005F34B3" w:rsidRPr="009A7163">
        <w:t>2013</w:t>
      </w:r>
      <w:r w:rsidR="00BC3FB0" w:rsidRPr="009A7163">
        <w:t>;</w:t>
      </w:r>
      <w:r w:rsidR="008F72EA" w:rsidRPr="009A7163">
        <w:t xml:space="preserve"> Raynolds et al</w:t>
      </w:r>
      <w:r w:rsidR="00BC3FB0" w:rsidRPr="009A7163">
        <w:t>.</w:t>
      </w:r>
      <w:r w:rsidR="008F72EA" w:rsidRPr="009A7163">
        <w:t>, 2007</w:t>
      </w:r>
      <w:r w:rsidRPr="009A7163">
        <w:t>):</w:t>
      </w:r>
    </w:p>
    <w:p w14:paraId="11E97F24" w14:textId="6BAA0A6D" w:rsidR="000F6061" w:rsidRPr="009A7163" w:rsidRDefault="000F6061" w:rsidP="006E4E01">
      <w:pPr>
        <w:widowControl w:val="0"/>
        <w:autoSpaceDE w:val="0"/>
        <w:autoSpaceDN w:val="0"/>
        <w:adjustRightInd w:val="0"/>
        <w:spacing w:after="180"/>
        <w:ind w:left="720"/>
        <w:jc w:val="both"/>
      </w:pPr>
      <w:r w:rsidRPr="009A7163">
        <w:t xml:space="preserve">FT is a trading partnership, based on dialogue, transparency and respect that seeks greater equity in international trade. It contributes to sustainable development by offering better trading conditions to, and securing the rights of, </w:t>
      </w:r>
      <w:r w:rsidRPr="009A7163">
        <w:lastRenderedPageBreak/>
        <w:t>marginalized producers and workers – especially in the South. Fair Trade Organizations, backed by consumers, are engaged actively in supporting producers, awareness raising and in campaigning for changes in the rules and practice of conventional trade. (WTFO- FLO, 2009, p. 6)</w:t>
      </w:r>
    </w:p>
    <w:p w14:paraId="45BF4F8F" w14:textId="0BC4ACFD" w:rsidR="000F6061" w:rsidRPr="009A7163" w:rsidRDefault="00210A3E" w:rsidP="00B17488">
      <w:pPr>
        <w:spacing w:line="360" w:lineRule="auto"/>
        <w:ind w:firstLine="720"/>
        <w:jc w:val="both"/>
      </w:pPr>
      <w:r w:rsidRPr="009A7163">
        <w:t xml:space="preserve">The </w:t>
      </w:r>
      <w:r w:rsidR="000F6061" w:rsidRPr="009A7163">
        <w:t>alternative approach to conventional international trade</w:t>
      </w:r>
      <w:r w:rsidRPr="009A7163">
        <w:t xml:space="preserve"> forwarded by FT aims </w:t>
      </w:r>
      <w:r w:rsidR="000F6061" w:rsidRPr="009A7163">
        <w:t>at sustainable development for excluded and disadvantaged producers. It seeks to do this by providing better trading conditions, by awareness r</w:t>
      </w:r>
      <w:r w:rsidR="00062389" w:rsidRPr="009A7163">
        <w:t xml:space="preserve">aising, and by campaigning. In the Charter of FT </w:t>
      </w:r>
      <w:r w:rsidR="004F128E" w:rsidRPr="009A7163">
        <w:t>principles,</w:t>
      </w:r>
      <w:r w:rsidR="00062389" w:rsidRPr="009A7163">
        <w:t xml:space="preserve"> </w:t>
      </w:r>
      <w:r w:rsidR="008D1268" w:rsidRPr="009A7163">
        <w:t>it states that</w:t>
      </w:r>
      <w:r w:rsidR="000F6061" w:rsidRPr="009A7163">
        <w:t xml:space="preserve"> ‘</w:t>
      </w:r>
      <w:r w:rsidR="000F6061" w:rsidRPr="009A7163">
        <w:rPr>
          <w:iCs/>
        </w:rPr>
        <w:t>Fair Trade (or “Fairtrade”) is, fundamentally, a response to the failure of conventional trade to deliver sustainable livelihoods and development opportunities to people in the poorest countries of the world; this is evidenced by the two billion of our fellow citizens who, despite working extremely hard, survive on less than $2 per day’ (WTFO-FLO, 2009, p. 5)</w:t>
      </w:r>
      <w:r w:rsidR="000F6061" w:rsidRPr="009A7163">
        <w:t xml:space="preserve">. </w:t>
      </w:r>
      <w:r w:rsidR="007C48D1" w:rsidRPr="009A7163">
        <w:t>According to Raynolds et al. (2007, p. 5), the</w:t>
      </w:r>
      <w:r w:rsidR="000F6061" w:rsidRPr="009A7163">
        <w:t xml:space="preserve"> goals of FT according to the FT movement are:</w:t>
      </w:r>
    </w:p>
    <w:p w14:paraId="575C05BA" w14:textId="77777777" w:rsidR="000F6061" w:rsidRPr="009A7163" w:rsidRDefault="000F6061" w:rsidP="003D3C63">
      <w:pPr>
        <w:pStyle w:val="ListParagraph"/>
        <w:numPr>
          <w:ilvl w:val="0"/>
          <w:numId w:val="1"/>
        </w:numPr>
        <w:contextualSpacing w:val="0"/>
        <w:jc w:val="both"/>
        <w:rPr>
          <w:rFonts w:ascii="Times New Roman" w:hAnsi="Times New Roman" w:cs="Times New Roman"/>
        </w:rPr>
      </w:pPr>
      <w:r w:rsidRPr="009A7163">
        <w:rPr>
          <w:rFonts w:ascii="Times New Roman" w:hAnsi="Times New Roman" w:cs="Times New Roman"/>
        </w:rPr>
        <w:t>To improve the livelihood and well-being of producers by improving market access, strengthening producer organizations, paying a better price and providing continuity in the trading relationship;</w:t>
      </w:r>
    </w:p>
    <w:p w14:paraId="0054962D" w14:textId="77777777" w:rsidR="000F6061" w:rsidRPr="009A7163" w:rsidRDefault="000F6061" w:rsidP="003D3C63">
      <w:pPr>
        <w:pStyle w:val="ListParagraph"/>
        <w:numPr>
          <w:ilvl w:val="0"/>
          <w:numId w:val="1"/>
        </w:numPr>
        <w:contextualSpacing w:val="0"/>
        <w:jc w:val="both"/>
        <w:rPr>
          <w:rFonts w:ascii="Times New Roman" w:hAnsi="Times New Roman" w:cs="Times New Roman"/>
        </w:rPr>
      </w:pPr>
      <w:r w:rsidRPr="009A7163">
        <w:rPr>
          <w:rFonts w:ascii="Times New Roman" w:hAnsi="Times New Roman" w:cs="Times New Roman"/>
        </w:rPr>
        <w:t>To promote development opportunities for disadvantaged producers, especially women and indigenous people, and to protect children from exploitation in the production process;</w:t>
      </w:r>
    </w:p>
    <w:p w14:paraId="4811FB83" w14:textId="77777777" w:rsidR="000F6061" w:rsidRPr="009A7163" w:rsidRDefault="000F6061" w:rsidP="003D3C63">
      <w:pPr>
        <w:pStyle w:val="ListParagraph"/>
        <w:numPr>
          <w:ilvl w:val="0"/>
          <w:numId w:val="1"/>
        </w:numPr>
        <w:contextualSpacing w:val="0"/>
        <w:jc w:val="both"/>
        <w:rPr>
          <w:rFonts w:ascii="Times New Roman" w:hAnsi="Times New Roman" w:cs="Times New Roman"/>
        </w:rPr>
      </w:pPr>
      <w:r w:rsidRPr="009A7163">
        <w:rPr>
          <w:rFonts w:ascii="Times New Roman" w:hAnsi="Times New Roman" w:cs="Times New Roman"/>
        </w:rPr>
        <w:t>To raise awareness among consumers of the negative effects on producers of international trade so that they exercise their purchasing power positively;</w:t>
      </w:r>
    </w:p>
    <w:p w14:paraId="74EAAF26" w14:textId="77777777" w:rsidR="000F6061" w:rsidRPr="009A7163" w:rsidRDefault="000F6061" w:rsidP="003D3C63">
      <w:pPr>
        <w:pStyle w:val="ListParagraph"/>
        <w:numPr>
          <w:ilvl w:val="0"/>
          <w:numId w:val="1"/>
        </w:numPr>
        <w:contextualSpacing w:val="0"/>
        <w:jc w:val="both"/>
        <w:rPr>
          <w:rFonts w:ascii="Times New Roman" w:hAnsi="Times New Roman" w:cs="Times New Roman"/>
        </w:rPr>
      </w:pPr>
      <w:r w:rsidRPr="009A7163">
        <w:rPr>
          <w:rFonts w:ascii="Times New Roman" w:hAnsi="Times New Roman" w:cs="Times New Roman"/>
        </w:rPr>
        <w:t>To set an example of partnership in trade through dialogue, transparency and respect;</w:t>
      </w:r>
    </w:p>
    <w:p w14:paraId="6A4E35DF" w14:textId="2FA247D0" w:rsidR="000F6061" w:rsidRPr="009A7163" w:rsidRDefault="000F6061" w:rsidP="003D3C63">
      <w:pPr>
        <w:pStyle w:val="ListParagraph"/>
        <w:numPr>
          <w:ilvl w:val="0"/>
          <w:numId w:val="1"/>
        </w:numPr>
        <w:contextualSpacing w:val="0"/>
        <w:jc w:val="both"/>
        <w:rPr>
          <w:rFonts w:ascii="Times New Roman" w:hAnsi="Times New Roman" w:cs="Times New Roman"/>
        </w:rPr>
      </w:pPr>
      <w:r w:rsidRPr="009A7163">
        <w:rPr>
          <w:rFonts w:ascii="Times New Roman" w:hAnsi="Times New Roman" w:cs="Times New Roman"/>
        </w:rPr>
        <w:t xml:space="preserve">To campaign for changes in the rules and practice of conventional international trade; </w:t>
      </w:r>
      <w:r w:rsidR="00CA63C7" w:rsidRPr="009A7163">
        <w:rPr>
          <w:rFonts w:ascii="Times New Roman" w:hAnsi="Times New Roman" w:cs="Times New Roman"/>
        </w:rPr>
        <w:t>[and]</w:t>
      </w:r>
    </w:p>
    <w:p w14:paraId="55758999" w14:textId="4112613A" w:rsidR="000F6061" w:rsidRPr="009A7163" w:rsidRDefault="000F6061" w:rsidP="003D3C63">
      <w:pPr>
        <w:pStyle w:val="ListParagraph"/>
        <w:numPr>
          <w:ilvl w:val="0"/>
          <w:numId w:val="1"/>
        </w:numPr>
        <w:spacing w:after="180"/>
        <w:contextualSpacing w:val="0"/>
        <w:jc w:val="both"/>
        <w:rPr>
          <w:rFonts w:ascii="Times New Roman" w:hAnsi="Times New Roman" w:cs="Times New Roman"/>
        </w:rPr>
      </w:pPr>
      <w:r w:rsidRPr="009A7163">
        <w:rPr>
          <w:rFonts w:ascii="Times New Roman" w:hAnsi="Times New Roman" w:cs="Times New Roman"/>
        </w:rPr>
        <w:t>To protect human rights by promotion social justice, sound environmental practices and economi</w:t>
      </w:r>
      <w:r w:rsidR="00BF6E22" w:rsidRPr="009A7163">
        <w:rPr>
          <w:rFonts w:ascii="Times New Roman" w:hAnsi="Times New Roman" w:cs="Times New Roman"/>
        </w:rPr>
        <w:t xml:space="preserve">c security. </w:t>
      </w:r>
    </w:p>
    <w:p w14:paraId="579FFBA2" w14:textId="132D19EA" w:rsidR="000F6061" w:rsidRPr="009A7163" w:rsidRDefault="000F6061">
      <w:pPr>
        <w:spacing w:line="360" w:lineRule="auto"/>
        <w:jc w:val="both"/>
        <w:rPr>
          <w:rFonts w:eastAsiaTheme="minorHAnsi"/>
          <w:lang w:eastAsia="en-GB"/>
        </w:rPr>
      </w:pPr>
      <w:r w:rsidRPr="009A7163">
        <w:rPr>
          <w:rFonts w:eastAsiaTheme="minorHAnsi"/>
          <w:lang w:eastAsia="en-GB"/>
        </w:rPr>
        <w:t> </w:t>
      </w:r>
      <w:r w:rsidRPr="009A7163">
        <w:rPr>
          <w:rFonts w:eastAsiaTheme="minorHAnsi"/>
          <w:lang w:eastAsia="en-GB"/>
        </w:rPr>
        <w:tab/>
        <w:t>The FT model has a number of important, distinctive features, including: the payment of an agreed, locally-determined ‘fair’ minimum price; long-term contracts; advance payments; minimum labour standards; minimum environmental standards; capacity building and quality-focused technical assistance for producers; and an additional FT developm</w:t>
      </w:r>
      <w:r w:rsidR="009750D0" w:rsidRPr="009A7163">
        <w:rPr>
          <w:rFonts w:eastAsiaTheme="minorHAnsi"/>
          <w:lang w:eastAsia="en-GB"/>
        </w:rPr>
        <w:t>ent premium (Huybrechts et al</w:t>
      </w:r>
      <w:r w:rsidR="006E5F76" w:rsidRPr="009A7163">
        <w:rPr>
          <w:rFonts w:eastAsiaTheme="minorHAnsi"/>
          <w:lang w:eastAsia="en-GB"/>
        </w:rPr>
        <w:t>.</w:t>
      </w:r>
      <w:r w:rsidR="009750D0" w:rsidRPr="009A7163">
        <w:rPr>
          <w:rFonts w:eastAsiaTheme="minorHAnsi"/>
          <w:lang w:eastAsia="en-GB"/>
        </w:rPr>
        <w:t>, 2017, p.</w:t>
      </w:r>
      <w:r w:rsidR="006E5F76" w:rsidRPr="009A7163">
        <w:rPr>
          <w:rFonts w:eastAsiaTheme="minorHAnsi"/>
          <w:lang w:eastAsia="en-GB"/>
        </w:rPr>
        <w:t xml:space="preserve"> </w:t>
      </w:r>
      <w:r w:rsidR="009750D0" w:rsidRPr="009A7163">
        <w:rPr>
          <w:rFonts w:eastAsiaTheme="minorHAnsi"/>
          <w:lang w:eastAsia="en-GB"/>
        </w:rPr>
        <w:t>590</w:t>
      </w:r>
      <w:r w:rsidRPr="009A7163">
        <w:rPr>
          <w:rFonts w:eastAsiaTheme="minorHAnsi"/>
          <w:lang w:eastAsia="en-GB"/>
        </w:rPr>
        <w:t>).  </w:t>
      </w:r>
      <w:r w:rsidR="00593441" w:rsidRPr="009A7163">
        <w:rPr>
          <w:rFonts w:eastAsiaTheme="minorHAnsi"/>
          <w:lang w:eastAsia="en-GB"/>
        </w:rPr>
        <w:t xml:space="preserve">In particular one core </w:t>
      </w:r>
      <w:r w:rsidR="00993779" w:rsidRPr="009A7163">
        <w:rPr>
          <w:rFonts w:eastAsiaTheme="minorHAnsi"/>
          <w:lang w:eastAsia="en-GB"/>
        </w:rPr>
        <w:t>principle</w:t>
      </w:r>
      <w:r w:rsidR="006E5F76" w:rsidRPr="009A7163">
        <w:rPr>
          <w:rFonts w:eastAsiaTheme="minorHAnsi"/>
          <w:lang w:eastAsia="en-GB"/>
        </w:rPr>
        <w:t xml:space="preserve"> that is</w:t>
      </w:r>
      <w:r w:rsidR="00593441" w:rsidRPr="009A7163">
        <w:rPr>
          <w:rFonts w:eastAsiaTheme="minorHAnsi"/>
          <w:lang w:eastAsia="en-GB"/>
        </w:rPr>
        <w:t xml:space="preserve"> relevant to this study is </w:t>
      </w:r>
      <w:r w:rsidR="006E5F76" w:rsidRPr="009A7163">
        <w:rPr>
          <w:rFonts w:eastAsiaTheme="minorHAnsi"/>
          <w:lang w:eastAsia="en-GB"/>
        </w:rPr>
        <w:t>the creation of</w:t>
      </w:r>
      <w:r w:rsidR="00593441" w:rsidRPr="009A7163">
        <w:rPr>
          <w:rFonts w:eastAsiaTheme="minorHAnsi"/>
          <w:lang w:eastAsia="en-GB"/>
        </w:rPr>
        <w:t xml:space="preserve"> sustainable and equitable relationships. On this </w:t>
      </w:r>
      <w:r w:rsidR="00993779" w:rsidRPr="009A7163">
        <w:rPr>
          <w:rFonts w:eastAsiaTheme="minorHAnsi"/>
          <w:lang w:eastAsia="en-GB"/>
        </w:rPr>
        <w:t>subject</w:t>
      </w:r>
      <w:r w:rsidR="006E5F76" w:rsidRPr="009A7163">
        <w:rPr>
          <w:rFonts w:eastAsiaTheme="minorHAnsi"/>
          <w:lang w:eastAsia="en-GB"/>
        </w:rPr>
        <w:t>,</w:t>
      </w:r>
      <w:r w:rsidR="00593441" w:rsidRPr="009A7163">
        <w:rPr>
          <w:rFonts w:eastAsiaTheme="minorHAnsi"/>
          <w:lang w:eastAsia="en-GB"/>
        </w:rPr>
        <w:t xml:space="preserve"> the FT charter </w:t>
      </w:r>
      <w:r w:rsidR="00993779" w:rsidRPr="009A7163">
        <w:rPr>
          <w:rFonts w:eastAsiaTheme="minorHAnsi"/>
          <w:lang w:eastAsia="en-GB"/>
        </w:rPr>
        <w:t>(WFTO-FLO,</w:t>
      </w:r>
      <w:r w:rsidR="009750D0" w:rsidRPr="009A7163">
        <w:rPr>
          <w:rFonts w:eastAsiaTheme="minorHAnsi"/>
          <w:lang w:eastAsia="en-GB"/>
        </w:rPr>
        <w:t xml:space="preserve"> 2009,</w:t>
      </w:r>
      <w:r w:rsidR="00993779" w:rsidRPr="009A7163">
        <w:rPr>
          <w:rFonts w:eastAsiaTheme="minorHAnsi"/>
          <w:lang w:eastAsia="en-GB"/>
        </w:rPr>
        <w:t xml:space="preserve"> p.</w:t>
      </w:r>
      <w:r w:rsidR="006E5F76" w:rsidRPr="009A7163">
        <w:rPr>
          <w:rFonts w:eastAsiaTheme="minorHAnsi"/>
          <w:lang w:eastAsia="en-GB"/>
        </w:rPr>
        <w:t xml:space="preserve"> </w:t>
      </w:r>
      <w:r w:rsidR="00993779" w:rsidRPr="009A7163">
        <w:rPr>
          <w:rFonts w:eastAsiaTheme="minorHAnsi"/>
          <w:lang w:eastAsia="en-GB"/>
        </w:rPr>
        <w:t xml:space="preserve">7) </w:t>
      </w:r>
      <w:r w:rsidR="00593441" w:rsidRPr="009A7163">
        <w:rPr>
          <w:rFonts w:eastAsiaTheme="minorHAnsi"/>
          <w:lang w:eastAsia="en-GB"/>
        </w:rPr>
        <w:t>state</w:t>
      </w:r>
      <w:r w:rsidR="008D1268" w:rsidRPr="009A7163">
        <w:rPr>
          <w:rFonts w:eastAsiaTheme="minorHAnsi"/>
          <w:lang w:eastAsia="en-GB"/>
        </w:rPr>
        <w:t>s</w:t>
      </w:r>
      <w:r w:rsidR="00593441" w:rsidRPr="009A7163">
        <w:rPr>
          <w:rFonts w:eastAsiaTheme="minorHAnsi"/>
          <w:lang w:eastAsia="en-GB"/>
        </w:rPr>
        <w:t>:</w:t>
      </w:r>
    </w:p>
    <w:p w14:paraId="46CB3FEA" w14:textId="3881B029" w:rsidR="00593441" w:rsidRPr="009A7163" w:rsidRDefault="00593441" w:rsidP="00293176">
      <w:pPr>
        <w:spacing w:after="180"/>
        <w:ind w:left="720"/>
        <w:jc w:val="both"/>
        <w:rPr>
          <w:rFonts w:eastAsiaTheme="minorHAnsi"/>
          <w:lang w:eastAsia="en-GB"/>
        </w:rPr>
      </w:pPr>
      <w:r w:rsidRPr="009A7163">
        <w:rPr>
          <w:rFonts w:eastAsiaTheme="minorHAnsi"/>
          <w:lang w:eastAsia="en-GB"/>
        </w:rPr>
        <w:t>The economic basis of transactions within Fair Trade relationships takes account</w:t>
      </w:r>
      <w:r w:rsidR="00993779" w:rsidRPr="009A7163">
        <w:rPr>
          <w:rFonts w:eastAsiaTheme="minorHAnsi"/>
          <w:lang w:eastAsia="en-GB"/>
        </w:rPr>
        <w:t xml:space="preserve"> </w:t>
      </w:r>
      <w:r w:rsidRPr="009A7163">
        <w:rPr>
          <w:rFonts w:eastAsiaTheme="minorHAnsi"/>
          <w:lang w:eastAsia="en-GB"/>
        </w:rPr>
        <w:t>of all costs of production, both direct and indirect, including the safeguarding of</w:t>
      </w:r>
      <w:r w:rsidR="00993779" w:rsidRPr="009A7163">
        <w:rPr>
          <w:rFonts w:eastAsiaTheme="minorHAnsi"/>
          <w:lang w:eastAsia="en-GB"/>
        </w:rPr>
        <w:t xml:space="preserve"> </w:t>
      </w:r>
      <w:r w:rsidRPr="009A7163">
        <w:rPr>
          <w:rFonts w:eastAsiaTheme="minorHAnsi"/>
          <w:lang w:eastAsia="en-GB"/>
        </w:rPr>
        <w:t>natural resources and meeting future investment needs. Trading terms offered by</w:t>
      </w:r>
      <w:r w:rsidR="00993779" w:rsidRPr="009A7163">
        <w:rPr>
          <w:rFonts w:eastAsiaTheme="minorHAnsi"/>
          <w:lang w:eastAsia="en-GB"/>
        </w:rPr>
        <w:t xml:space="preserve"> </w:t>
      </w:r>
      <w:r w:rsidRPr="009A7163">
        <w:rPr>
          <w:rFonts w:eastAsiaTheme="minorHAnsi"/>
          <w:lang w:eastAsia="en-GB"/>
        </w:rPr>
        <w:t>Fair Trade buyers enable producers and workers to maintain a sustainable</w:t>
      </w:r>
      <w:r w:rsidR="00993779" w:rsidRPr="009A7163">
        <w:rPr>
          <w:rFonts w:eastAsiaTheme="minorHAnsi"/>
          <w:lang w:eastAsia="en-GB"/>
        </w:rPr>
        <w:t xml:space="preserve"> </w:t>
      </w:r>
      <w:r w:rsidRPr="009A7163">
        <w:rPr>
          <w:rFonts w:eastAsiaTheme="minorHAnsi"/>
          <w:lang w:eastAsia="en-GB"/>
        </w:rPr>
        <w:t>livelihood; that is one that not only meets day-to-day needs for economic, social</w:t>
      </w:r>
      <w:r w:rsidR="00993779" w:rsidRPr="009A7163">
        <w:rPr>
          <w:rFonts w:eastAsiaTheme="minorHAnsi"/>
          <w:lang w:eastAsia="en-GB"/>
        </w:rPr>
        <w:t xml:space="preserve"> </w:t>
      </w:r>
      <w:r w:rsidRPr="009A7163">
        <w:rPr>
          <w:rFonts w:eastAsiaTheme="minorHAnsi"/>
          <w:lang w:eastAsia="en-GB"/>
        </w:rPr>
        <w:t>and environmental well-being but that also enables improved conditions in the</w:t>
      </w:r>
      <w:r w:rsidR="00993779" w:rsidRPr="009A7163">
        <w:rPr>
          <w:rFonts w:eastAsiaTheme="minorHAnsi"/>
          <w:lang w:eastAsia="en-GB"/>
        </w:rPr>
        <w:t xml:space="preserve"> </w:t>
      </w:r>
      <w:r w:rsidRPr="009A7163">
        <w:rPr>
          <w:rFonts w:eastAsiaTheme="minorHAnsi"/>
          <w:lang w:eastAsia="en-GB"/>
        </w:rPr>
        <w:t>future.</w:t>
      </w:r>
    </w:p>
    <w:p w14:paraId="65AD7795" w14:textId="41D6FC32" w:rsidR="00DF010F" w:rsidRPr="009A7163" w:rsidRDefault="00CB492D" w:rsidP="00B17488">
      <w:pPr>
        <w:spacing w:line="360" w:lineRule="auto"/>
        <w:ind w:firstLine="720"/>
        <w:jc w:val="both"/>
      </w:pPr>
      <w:r w:rsidRPr="009A7163">
        <w:lastRenderedPageBreak/>
        <w:t>Ta</w:t>
      </w:r>
      <w:r w:rsidR="00D51F4A" w:rsidRPr="009A7163">
        <w:t>c</w:t>
      </w:r>
      <w:r w:rsidRPr="009A7163">
        <w:t>k</w:t>
      </w:r>
      <w:r w:rsidR="00D51F4A" w:rsidRPr="009A7163">
        <w:t>l</w:t>
      </w:r>
      <w:r w:rsidRPr="009A7163">
        <w:t>ing women’s unpaid work has been a</w:t>
      </w:r>
      <w:r w:rsidR="00BF566C" w:rsidRPr="009A7163">
        <w:t>n FT</w:t>
      </w:r>
      <w:r w:rsidRPr="009A7163">
        <w:t xml:space="preserve"> issue tha</w:t>
      </w:r>
      <w:r w:rsidR="00BF566C" w:rsidRPr="009A7163">
        <w:t>t</w:t>
      </w:r>
      <w:r w:rsidRPr="009A7163">
        <w:t xml:space="preserve"> has only been addressed by a few companies and has only recently entered into the language of principles and visions of </w:t>
      </w:r>
      <w:r w:rsidR="007C081D" w:rsidRPr="009A7163">
        <w:t>FT</w:t>
      </w:r>
      <w:r w:rsidRPr="009A7163">
        <w:t xml:space="preserve"> as gender becomes an ever more pressing topic.</w:t>
      </w:r>
      <w:r w:rsidR="00D51F4A" w:rsidRPr="009A7163">
        <w:t xml:space="preserve"> </w:t>
      </w:r>
      <w:r w:rsidR="00BA661C" w:rsidRPr="009A7163">
        <w:t xml:space="preserve">The Fairtrade mark created a policy on gender prompted by the SDGs </w:t>
      </w:r>
      <w:r w:rsidR="00380F1F" w:rsidRPr="009A7163">
        <w:t xml:space="preserve">that was outlined in </w:t>
      </w:r>
      <w:r w:rsidR="00E05601" w:rsidRPr="009A7163">
        <w:t xml:space="preserve">the </w:t>
      </w:r>
      <w:r w:rsidR="00E05601" w:rsidRPr="009A7163">
        <w:rPr>
          <w:i/>
        </w:rPr>
        <w:t xml:space="preserve">2015 </w:t>
      </w:r>
      <w:r w:rsidR="007C081D" w:rsidRPr="009A7163">
        <w:rPr>
          <w:i/>
        </w:rPr>
        <w:t>Equal Harvest</w:t>
      </w:r>
      <w:r w:rsidR="00666962" w:rsidRPr="009A7163">
        <w:rPr>
          <w:i/>
        </w:rPr>
        <w:t xml:space="preserve"> </w:t>
      </w:r>
      <w:r w:rsidR="00666962" w:rsidRPr="009A7163">
        <w:t>report</w:t>
      </w:r>
      <w:r w:rsidR="007C081D" w:rsidRPr="009A7163">
        <w:rPr>
          <w:i/>
        </w:rPr>
        <w:t xml:space="preserve"> </w:t>
      </w:r>
      <w:r w:rsidR="007C081D" w:rsidRPr="009A7163">
        <w:t>(Fairtrade Foundation, 2015</w:t>
      </w:r>
      <w:r w:rsidR="00B36C47" w:rsidRPr="009A7163">
        <w:t>). In another document on ‘Fair Trade and Sustainability, Towards Gender Equality’</w:t>
      </w:r>
      <w:r w:rsidR="00B52463" w:rsidRPr="009A7163">
        <w:t xml:space="preserve"> (Fairtrade Foundation, </w:t>
      </w:r>
      <w:r w:rsidR="006E5F76" w:rsidRPr="009A7163">
        <w:t>n.d.</w:t>
      </w:r>
      <w:r w:rsidR="00B52463" w:rsidRPr="009A7163">
        <w:t>)</w:t>
      </w:r>
      <w:r w:rsidR="00DF010F" w:rsidRPr="009A7163">
        <w:t xml:space="preserve"> it was stated that:</w:t>
      </w:r>
    </w:p>
    <w:p w14:paraId="533CECE7" w14:textId="7250FB78" w:rsidR="00DF010F" w:rsidRPr="009A7163" w:rsidRDefault="00FB0CE7" w:rsidP="00B17488">
      <w:pPr>
        <w:spacing w:after="240"/>
        <w:ind w:left="720"/>
        <w:jc w:val="both"/>
      </w:pPr>
      <w:r w:rsidRPr="009A7163">
        <w:t>Fairtrade believes the role of women in agriculture needs more visibility, recognition and value, and that gender equity is important to social sustainability. Currently,</w:t>
      </w:r>
      <w:r w:rsidR="0030568C" w:rsidRPr="009A7163">
        <w:t xml:space="preserve"> 350,000</w:t>
      </w:r>
      <w:r w:rsidRPr="009A7163">
        <w:t xml:space="preserve"> </w:t>
      </w:r>
      <w:r w:rsidR="0030568C" w:rsidRPr="009A7163">
        <w:t xml:space="preserve">women farmers and workers </w:t>
      </w:r>
      <w:r w:rsidRPr="009A7163">
        <w:t>are part of Fairtrade, a quarter of the total</w:t>
      </w:r>
      <w:r w:rsidR="00D8470F" w:rsidRPr="009A7163">
        <w:t>…</w:t>
      </w:r>
      <w:r w:rsidR="00B52463" w:rsidRPr="009A7163">
        <w:t>New research</w:t>
      </w:r>
      <w:r w:rsidR="0030568C" w:rsidRPr="009A7163">
        <w:rPr>
          <w:bCs/>
        </w:rPr>
        <w:t xml:space="preserve"> </w:t>
      </w:r>
      <w:r w:rsidRPr="009A7163">
        <w:t>into the part women play in co-operatives found that there are barriers to their membership and leadership, such as practices creating a bias towards men, and the burden of unpaid care and domestic work women car</w:t>
      </w:r>
      <w:r w:rsidR="00BA661C" w:rsidRPr="009A7163">
        <w:t>ry that limits their free time.</w:t>
      </w:r>
      <w:r w:rsidR="00B52463" w:rsidRPr="009A7163">
        <w:t xml:space="preserve"> </w:t>
      </w:r>
    </w:p>
    <w:p w14:paraId="7707AB24" w14:textId="4447DBBB" w:rsidR="008F40F7" w:rsidRPr="009A7163" w:rsidRDefault="008F40F7" w:rsidP="00B17488">
      <w:pPr>
        <w:spacing w:line="360" w:lineRule="auto"/>
        <w:jc w:val="both"/>
      </w:pPr>
      <w:r w:rsidRPr="009A7163">
        <w:t>Fairtrade International (of which the Fairtrade mark forms part of) state</w:t>
      </w:r>
      <w:r w:rsidR="008D1268" w:rsidRPr="009A7163">
        <w:t>s</w:t>
      </w:r>
      <w:r w:rsidRPr="009A7163">
        <w:t xml:space="preserve"> that:</w:t>
      </w:r>
    </w:p>
    <w:p w14:paraId="5AEF5F2E" w14:textId="30A8688B" w:rsidR="008F40F7" w:rsidRPr="009A7163" w:rsidRDefault="008F40F7" w:rsidP="00293176">
      <w:pPr>
        <w:pStyle w:val="NormalWeb"/>
        <w:spacing w:before="0" w:beforeAutospacing="0" w:after="180" w:afterAutospacing="0"/>
        <w:ind w:left="720"/>
        <w:jc w:val="both"/>
      </w:pPr>
      <w:r w:rsidRPr="009A7163">
        <w:t>Gender analysis has not been systematically included in studies on the impact of Fairtrade, and so there is insufficient evidence to understand how Fairtrade is impacting on women and girls in comparison to men and boys…While there are many examples across the Fairtrade system of good practices in the promotion of gender equality, a systematic and effective approach to taking into consideration gender issues is long overdue in the Fairtrade system. This strategy aims to close this gap and set a clear direction and approach for Fairtrade’s global work on gender for 2016-2020. Strengthening the work in this area is an opportunity to significantly increase Fairtrade’s impact on the ground.</w:t>
      </w:r>
      <w:r w:rsidR="00CF0E73" w:rsidRPr="009A7163">
        <w:t xml:space="preserve"> (Fairtrade International,</w:t>
      </w:r>
      <w:r w:rsidR="006E5F76" w:rsidRPr="009A7163">
        <w:t xml:space="preserve"> n.d., p. 1</w:t>
      </w:r>
      <w:r w:rsidR="00CF0E73" w:rsidRPr="009A7163">
        <w:t xml:space="preserve">) </w:t>
      </w:r>
    </w:p>
    <w:p w14:paraId="6E0340A8" w14:textId="47BF658D" w:rsidR="00B241BD" w:rsidRPr="009A7163" w:rsidRDefault="00AB3FAE" w:rsidP="00B17488">
      <w:pPr>
        <w:pStyle w:val="NormalWeb"/>
        <w:spacing w:before="0" w:beforeAutospacing="0" w:after="0" w:afterAutospacing="0" w:line="360" w:lineRule="auto"/>
        <w:jc w:val="both"/>
      </w:pPr>
      <w:r w:rsidRPr="009A7163">
        <w:t>T</w:t>
      </w:r>
      <w:r w:rsidR="00F56D1F" w:rsidRPr="009A7163">
        <w:t>he</w:t>
      </w:r>
      <w:r w:rsidR="008F40F7" w:rsidRPr="009A7163">
        <w:t xml:space="preserve"> Fairtrade mark</w:t>
      </w:r>
      <w:r w:rsidRPr="009A7163">
        <w:t xml:space="preserve"> created a ‘Fairtrade</w:t>
      </w:r>
      <w:r w:rsidR="00E05601" w:rsidRPr="009A7163">
        <w:t xml:space="preserve"> approach </w:t>
      </w:r>
      <w:r w:rsidR="00BF566C" w:rsidRPr="009A7163">
        <w:t xml:space="preserve">which </w:t>
      </w:r>
      <w:r w:rsidR="00E05601" w:rsidRPr="009A7163">
        <w:t>seeks to tackle unequal power relations in order to promote gender equality and women’s empowerment which they state will be achieved by strengthening women’s human, social, financial, and physical capital</w:t>
      </w:r>
      <w:r w:rsidRPr="009A7163">
        <w:t>’ (FLO Gender, 2017)</w:t>
      </w:r>
      <w:r w:rsidR="00E05601" w:rsidRPr="009A7163">
        <w:t xml:space="preserve">. This approach </w:t>
      </w:r>
      <w:r w:rsidRPr="009A7163">
        <w:t>‘</w:t>
      </w:r>
      <w:r w:rsidR="00E05601" w:rsidRPr="009A7163">
        <w:t>is aligned to Fairtrade’s 2016-2020 Strategic Framework and guided by Fairtrade Theory of Change. Further, it adopts the </w:t>
      </w:r>
      <w:r w:rsidR="00DF010F" w:rsidRPr="009A7163">
        <w:t>Gender at Work framework</w:t>
      </w:r>
      <w:r w:rsidR="00E05601" w:rsidRPr="009A7163">
        <w:t> and reflects the recommendations of the </w:t>
      </w:r>
      <w:r w:rsidR="00DF010F" w:rsidRPr="009A7163">
        <w:rPr>
          <w:i/>
        </w:rPr>
        <w:t>2015 Equal Harvest</w:t>
      </w:r>
      <w:r w:rsidR="00DF010F" w:rsidRPr="009A7163">
        <w:t xml:space="preserve"> </w:t>
      </w:r>
      <w:r w:rsidR="00380F1F" w:rsidRPr="009A7163">
        <w:t>r</w:t>
      </w:r>
      <w:r w:rsidR="00DF010F" w:rsidRPr="009A7163">
        <w:t>eport</w:t>
      </w:r>
      <w:r w:rsidR="00380F1F" w:rsidRPr="009A7163">
        <w:t xml:space="preserve"> (Fairtrade Foundation, 2015)</w:t>
      </w:r>
      <w:r w:rsidRPr="009A7163">
        <w:t>’ (</w:t>
      </w:r>
      <w:r w:rsidR="006E5F76" w:rsidRPr="009A7163">
        <w:t>FLO Gender, 2017</w:t>
      </w:r>
      <w:r w:rsidRPr="009A7163">
        <w:t>)</w:t>
      </w:r>
      <w:r w:rsidR="00380F1F" w:rsidRPr="009A7163">
        <w:t>.</w:t>
      </w:r>
    </w:p>
    <w:p w14:paraId="0C1D903D" w14:textId="13C577D8" w:rsidR="0039465C" w:rsidRPr="009A7163" w:rsidRDefault="00F46AD3" w:rsidP="00AA0675">
      <w:pPr>
        <w:spacing w:line="360" w:lineRule="auto"/>
        <w:ind w:firstLine="720"/>
        <w:jc w:val="both"/>
      </w:pPr>
      <w:r w:rsidRPr="009A7163">
        <w:t>Women’s role in FT is considerable (Ardle et al., 2012) and they make contributions in different ways that have been under-estimated and unremunerated and often invisibili</w:t>
      </w:r>
      <w:r w:rsidR="00380F1F" w:rsidRPr="009A7163">
        <w:t>se</w:t>
      </w:r>
      <w:r w:rsidRPr="009A7163">
        <w:t>d (Butler, 2015; Redfern et al., 2002; Smith, 2013). In recent years there have been numerous arguments for the benefits of increasing women’s participation in su</w:t>
      </w:r>
      <w:r w:rsidR="00092E5D" w:rsidRPr="009A7163">
        <w:t>pply chains (M</w:t>
      </w:r>
      <w:r w:rsidR="00BE3D0E" w:rsidRPr="009A7163">
        <w:t>an-Kwan,</w:t>
      </w:r>
      <w:r w:rsidR="00092E5D" w:rsidRPr="009A7163">
        <w:t xml:space="preserve"> 2010</w:t>
      </w:r>
      <w:r w:rsidRPr="009A7163">
        <w:t xml:space="preserve">), the focus of women as meaning ‘smart economics’ (World Bank, 2006; UN Final Report, 2016), and an increased focus </w:t>
      </w:r>
      <w:r w:rsidRPr="009A7163">
        <w:lastRenderedPageBreak/>
        <w:t>on the cost and burden of unpaid care work overall (Esquivel, 2013). Whilst there are a number of studies that examine gender bias in supply chains (see Barrientos and Dolan, 2003</w:t>
      </w:r>
      <w:r w:rsidR="006E5F76" w:rsidRPr="009A7163">
        <w:t>, and Flores, 2011</w:t>
      </w:r>
      <w:r w:rsidRPr="009A7163">
        <w:t>), few studies have assessed women’s unpaid work in supply chains (see, for example, Butler, 2015, and Hoskyns et al., 2012). Furthermore, only a small number of studies have looked directly at how FT has affected gender relations and the distribution of income and resources within households.</w:t>
      </w:r>
      <w:r w:rsidRPr="009A7163">
        <w:rPr>
          <w:vertAlign w:val="superscript"/>
        </w:rPr>
        <w:footnoteReference w:id="27"/>
      </w:r>
      <w:r w:rsidRPr="009A7163">
        <w:t xml:space="preserve"> </w:t>
      </w:r>
      <w:r w:rsidR="00EB3153" w:rsidRPr="009A7163">
        <w:t>As Hanson et al</w:t>
      </w:r>
      <w:r w:rsidR="00261FF1" w:rsidRPr="009A7163">
        <w:t>. (2012</w:t>
      </w:r>
      <w:r w:rsidR="0039465C" w:rsidRPr="009A7163">
        <w:t>, p.</w:t>
      </w:r>
      <w:r w:rsidR="007C48D1" w:rsidRPr="009A7163">
        <w:t xml:space="preserve"> </w:t>
      </w:r>
      <w:r w:rsidR="0039465C" w:rsidRPr="009A7163">
        <w:t>169</w:t>
      </w:r>
      <w:r w:rsidR="006E5F76" w:rsidRPr="009A7163">
        <w:t>)</w:t>
      </w:r>
      <w:r w:rsidR="00EB3153" w:rsidRPr="009A7163">
        <w:t xml:space="preserve"> point</w:t>
      </w:r>
      <w:r w:rsidR="0039465C" w:rsidRPr="009A7163">
        <w:t xml:space="preserve"> out</w:t>
      </w:r>
      <w:r w:rsidR="007C48D1" w:rsidRPr="009A7163">
        <w:t>:</w:t>
      </w:r>
    </w:p>
    <w:p w14:paraId="7958C94B" w14:textId="50870C4F" w:rsidR="0039465C" w:rsidRPr="009A7163" w:rsidRDefault="00EB3153" w:rsidP="00AA0675">
      <w:pPr>
        <w:spacing w:after="180"/>
        <w:ind w:left="720"/>
        <w:jc w:val="both"/>
      </w:pPr>
      <w:r w:rsidRPr="009A7163">
        <w:t>Some authors (</w:t>
      </w:r>
      <w:r w:rsidR="00F46AD3" w:rsidRPr="009A7163">
        <w:t>Shreck, 2002) fault the Fairtrade system for erroneously assuming a trickle-down effect from male heads of household and as cooperative members to women, thus remaining blind to household relations</w:t>
      </w:r>
      <w:r w:rsidRPr="009A7163">
        <w:t xml:space="preserve"> </w:t>
      </w:r>
      <w:r w:rsidR="00F46AD3" w:rsidRPr="009A7163">
        <w:t xml:space="preserve">and </w:t>
      </w:r>
      <w:r w:rsidR="007C48D1" w:rsidRPr="009A7163">
        <w:t>“</w:t>
      </w:r>
      <w:r w:rsidR="00F46AD3" w:rsidRPr="009A7163">
        <w:t xml:space="preserve">avoid[ing] opening the black box of household relations, including the work conditions of the </w:t>
      </w:r>
      <w:r w:rsidR="007C48D1" w:rsidRPr="009A7163">
        <w:t>‘</w:t>
      </w:r>
      <w:r w:rsidR="00F46AD3" w:rsidRPr="009A7163">
        <w:t>family labor force</w:t>
      </w:r>
      <w:r w:rsidR="007C48D1" w:rsidRPr="009A7163">
        <w:t>’</w:t>
      </w:r>
      <w:r w:rsidR="00F46AD3" w:rsidRPr="009A7163">
        <w:t xml:space="preserve"> and the distribution of economic benefits</w:t>
      </w:r>
      <w:r w:rsidR="007C48D1" w:rsidRPr="009A7163">
        <w:t>”</w:t>
      </w:r>
      <w:r w:rsidR="00F46AD3" w:rsidRPr="009A7163">
        <w:t xml:space="preserve"> </w:t>
      </w:r>
      <w:r w:rsidR="00630770" w:rsidRPr="009A7163">
        <w:t>(Lyon, 2008</w:t>
      </w:r>
      <w:r w:rsidR="007C48D1" w:rsidRPr="009A7163">
        <w:t xml:space="preserve">: </w:t>
      </w:r>
      <w:r w:rsidR="00630770" w:rsidRPr="009A7163">
        <w:t xml:space="preserve">261). </w:t>
      </w:r>
      <w:r w:rsidR="0039465C" w:rsidRPr="009A7163">
        <w:t xml:space="preserve"> </w:t>
      </w:r>
    </w:p>
    <w:p w14:paraId="61247B35" w14:textId="74F9F792" w:rsidR="00F46AD3" w:rsidRPr="009A7163" w:rsidRDefault="0039465C" w:rsidP="00AA0675">
      <w:pPr>
        <w:spacing w:after="240" w:line="360" w:lineRule="auto"/>
        <w:jc w:val="both"/>
        <w:rPr>
          <w:rFonts w:eastAsiaTheme="minorHAnsi"/>
          <w:b/>
          <w:lang w:eastAsia="en-GB"/>
        </w:rPr>
      </w:pPr>
      <w:r w:rsidRPr="009A7163">
        <w:t>S</w:t>
      </w:r>
      <w:r w:rsidR="00630770" w:rsidRPr="009A7163">
        <w:t>o whilst</w:t>
      </w:r>
      <w:r w:rsidR="00F46AD3" w:rsidRPr="009A7163">
        <w:t xml:space="preserve"> research indicates that even though alternative-trading structures such as FT can empower, it</w:t>
      </w:r>
      <w:r w:rsidR="0074429D" w:rsidRPr="009A7163">
        <w:t xml:space="preserve"> is</w:t>
      </w:r>
      <w:r w:rsidR="00F46AD3" w:rsidRPr="009A7163">
        <w:t xml:space="preserve"> difficult to assess how far these new models are challenging or reinforcing gender stereotypes and inequalities (Nelson and Pound, 2009). Often women are seen as ‘assistants’ in the household and not economic agents in their own rights (Mehra, 2009). Furthermore, whilst some positive changes have happened, there has been little systematic research into the nature and scale of these positive changes, under what conditions they might occur, and how women can be supported to build on successes and overcome challenges (Jones et al., 2012). </w:t>
      </w:r>
      <w:r w:rsidR="006E20AF" w:rsidRPr="009A7163">
        <w:t>Moreover</w:t>
      </w:r>
      <w:r w:rsidR="00F46AD3" w:rsidRPr="009A7163">
        <w:t>, in a scoping review of 129 articles and reports, Terstappent et al. (2012) found that despite gender equity being an explicit objective of FT, there seems to be a significant blind spot in existing research.</w:t>
      </w:r>
      <w:r w:rsidR="00F46AD3" w:rsidRPr="009A7163">
        <w:rPr>
          <w:shd w:val="clear" w:color="auto" w:fill="FFFFFF"/>
        </w:rPr>
        <w:t xml:space="preserve"> </w:t>
      </w:r>
    </w:p>
    <w:p w14:paraId="58168D17" w14:textId="68761228" w:rsidR="000E70C7" w:rsidRPr="009A7163" w:rsidRDefault="002579C3">
      <w:pPr>
        <w:pStyle w:val="Heading2"/>
        <w:rPr>
          <w:shd w:val="clear" w:color="auto" w:fill="FFFFFF"/>
        </w:rPr>
      </w:pPr>
      <w:bookmarkStart w:id="12" w:name="_Toc526819248"/>
      <w:r>
        <w:rPr>
          <w:shd w:val="clear" w:color="auto" w:fill="FFFFFF"/>
        </w:rPr>
        <w:t>1.6</w:t>
      </w:r>
      <w:r w:rsidR="006E4E01" w:rsidRPr="009A7163">
        <w:rPr>
          <w:shd w:val="clear" w:color="auto" w:fill="FFFFFF"/>
        </w:rPr>
        <w:t xml:space="preserve">  </w:t>
      </w:r>
      <w:r w:rsidR="000E70C7" w:rsidRPr="009A7163">
        <w:rPr>
          <w:shd w:val="clear" w:color="auto" w:fill="FFFFFF"/>
        </w:rPr>
        <w:t xml:space="preserve">Purpose and </w:t>
      </w:r>
      <w:r w:rsidR="0074429D" w:rsidRPr="009A7163">
        <w:rPr>
          <w:shd w:val="clear" w:color="auto" w:fill="FFFFFF"/>
        </w:rPr>
        <w:t>Significance of Study</w:t>
      </w:r>
      <w:bookmarkEnd w:id="12"/>
    </w:p>
    <w:p w14:paraId="07A52630" w14:textId="41A2C11B" w:rsidR="0074429D" w:rsidRPr="009A7163" w:rsidRDefault="000E70C7" w:rsidP="00CF4710">
      <w:pPr>
        <w:widowControl w:val="0"/>
        <w:autoSpaceDE w:val="0"/>
        <w:autoSpaceDN w:val="0"/>
        <w:adjustRightInd w:val="0"/>
        <w:spacing w:after="240" w:line="360" w:lineRule="auto"/>
        <w:ind w:firstLine="720"/>
        <w:jc w:val="both"/>
      </w:pPr>
      <w:r w:rsidRPr="009A7163">
        <w:t xml:space="preserve">The purpose of this study was to </w:t>
      </w:r>
      <w:r w:rsidR="004671A5" w:rsidRPr="009A7163">
        <w:t>find out whether including a cost or premium for women’s unpaid work leads to empower</w:t>
      </w:r>
      <w:r w:rsidR="00237889" w:rsidRPr="009A7163">
        <w:t>ment</w:t>
      </w:r>
      <w:r w:rsidR="004671A5" w:rsidRPr="009A7163">
        <w:t xml:space="preserve"> in </w:t>
      </w:r>
      <w:r w:rsidR="00237889" w:rsidRPr="009A7163">
        <w:t>FT</w:t>
      </w:r>
      <w:r w:rsidR="004671A5" w:rsidRPr="009A7163">
        <w:t xml:space="preserve"> supply chains</w:t>
      </w:r>
      <w:r w:rsidR="00237889" w:rsidRPr="009A7163">
        <w:t xml:space="preserve"> by exploring an innovative pricing scheme implemented in different ways by two cooperatives in Nicaragua. </w:t>
      </w:r>
      <w:r w:rsidR="0074429D" w:rsidRPr="009A7163">
        <w:t xml:space="preserve">The significance of this study is both the pioneering nature of the pricing structure and the study of this innovation – both of which are the first of its kind. </w:t>
      </w:r>
      <w:r w:rsidR="003D566F" w:rsidRPr="009A7163">
        <w:t>The thesis also ques</w:t>
      </w:r>
      <w:r w:rsidR="0074029B" w:rsidRPr="009A7163">
        <w:t>ti</w:t>
      </w:r>
      <w:r w:rsidR="00CF4710" w:rsidRPr="009A7163">
        <w:t>ons and critically discusses WEE as pathway to wider empowerment with particular attention paid to women’s unpaid work</w:t>
      </w:r>
      <w:r w:rsidR="008F1E03" w:rsidRPr="009A7163">
        <w:t xml:space="preserve"> and whether it changes as result of the </w:t>
      </w:r>
      <w:r w:rsidR="00714A1B" w:rsidRPr="009A7163">
        <w:t>initiative</w:t>
      </w:r>
      <w:r w:rsidR="00CF4710" w:rsidRPr="009A7163">
        <w:t xml:space="preserve">. </w:t>
      </w:r>
      <w:r w:rsidR="0074429D" w:rsidRPr="009A7163">
        <w:t xml:space="preserve">Whilst </w:t>
      </w:r>
      <w:r w:rsidR="00237889" w:rsidRPr="009A7163">
        <w:t>WEE</w:t>
      </w:r>
      <w:r w:rsidR="0074429D" w:rsidRPr="009A7163">
        <w:t xml:space="preserve"> dominates the policy agendas coupled with a growing </w:t>
      </w:r>
      <w:r w:rsidR="0074429D" w:rsidRPr="009A7163">
        <w:lastRenderedPageBreak/>
        <w:t>concern for unpaid work, this research comes at an opportune moment for other business and policy makers who will be looking to operational</w:t>
      </w:r>
      <w:r w:rsidR="00793320" w:rsidRPr="009A7163">
        <w:t>ise</w:t>
      </w:r>
      <w:r w:rsidR="0074429D" w:rsidRPr="009A7163">
        <w:t xml:space="preserve"> their concerns for unpaid work and </w:t>
      </w:r>
      <w:r w:rsidR="00380F1F" w:rsidRPr="009A7163">
        <w:t>WEE</w:t>
      </w:r>
      <w:r w:rsidR="0074429D" w:rsidRPr="009A7163">
        <w:t xml:space="preserve">. </w:t>
      </w:r>
      <w:r w:rsidR="0085582F" w:rsidRPr="009A7163">
        <w:t>It also contributes to the lack of academic studies on gender and FT, pricing gender and FT and also to sesame and FT</w:t>
      </w:r>
      <w:r w:rsidR="0092375B" w:rsidRPr="009A7163">
        <w:t xml:space="preserve">. Furthermore, it </w:t>
      </w:r>
      <w:r w:rsidR="0085582F" w:rsidRPr="009A7163">
        <w:t xml:space="preserve">is the only academic study to specifically look at gender, unpaid work and FT pricing strategies in Nicaragua. </w:t>
      </w:r>
      <w:r w:rsidR="0092375B" w:rsidRPr="009A7163">
        <w:t>Finally</w:t>
      </w:r>
      <w:r w:rsidR="0085582F" w:rsidRPr="009A7163">
        <w:t xml:space="preserve">, it </w:t>
      </w:r>
      <w:r w:rsidR="0092375B" w:rsidRPr="009A7163">
        <w:t xml:space="preserve">adds </w:t>
      </w:r>
      <w:r w:rsidR="0085582F" w:rsidRPr="009A7163">
        <w:t xml:space="preserve">to literature on time use and contributes a participatory visualisation tool for </w:t>
      </w:r>
      <w:r w:rsidR="0092375B" w:rsidRPr="009A7163">
        <w:t xml:space="preserve">measuring </w:t>
      </w:r>
      <w:r w:rsidR="0085582F" w:rsidRPr="009A7163">
        <w:t>time use.</w:t>
      </w:r>
    </w:p>
    <w:p w14:paraId="14339D77" w14:textId="1C25D262" w:rsidR="0074429D" w:rsidRPr="009A7163" w:rsidRDefault="002579C3" w:rsidP="006F2FAF">
      <w:pPr>
        <w:pStyle w:val="Heading2"/>
        <w:rPr>
          <w:lang w:val="en-GB"/>
        </w:rPr>
      </w:pPr>
      <w:bookmarkStart w:id="13" w:name="_Toc526819249"/>
      <w:r>
        <w:rPr>
          <w:lang w:val="en-GB"/>
        </w:rPr>
        <w:t>1.7</w:t>
      </w:r>
      <w:r w:rsidR="006E4E01" w:rsidRPr="009A7163">
        <w:rPr>
          <w:lang w:val="en-GB"/>
        </w:rPr>
        <w:t xml:space="preserve">  </w:t>
      </w:r>
      <w:r w:rsidR="0074429D" w:rsidRPr="009A7163">
        <w:rPr>
          <w:lang w:val="en-GB"/>
        </w:rPr>
        <w:t>Research Questions</w:t>
      </w:r>
      <w:bookmarkEnd w:id="13"/>
    </w:p>
    <w:p w14:paraId="705257CD" w14:textId="68554A8B" w:rsidR="0074429D" w:rsidRPr="009A7163" w:rsidRDefault="0074429D" w:rsidP="00B17488">
      <w:pPr>
        <w:spacing w:line="360" w:lineRule="auto"/>
        <w:jc w:val="both"/>
      </w:pPr>
      <w:r w:rsidRPr="009A7163">
        <w:t xml:space="preserve">The following research questions are addressed by this study: </w:t>
      </w:r>
    </w:p>
    <w:p w14:paraId="21FF3661" w14:textId="77777777" w:rsidR="0074429D" w:rsidRPr="009A7163" w:rsidRDefault="0074429D" w:rsidP="00EC6C5F">
      <w:pPr>
        <w:pStyle w:val="ListParagraph"/>
        <w:numPr>
          <w:ilvl w:val="0"/>
          <w:numId w:val="21"/>
        </w:numPr>
        <w:tabs>
          <w:tab w:val="left" w:pos="720"/>
        </w:tabs>
        <w:spacing w:line="360" w:lineRule="auto"/>
        <w:jc w:val="both"/>
        <w:rPr>
          <w:rFonts w:ascii="Times New Roman" w:hAnsi="Times New Roman" w:cs="Times New Roman"/>
        </w:rPr>
      </w:pPr>
      <w:r w:rsidRPr="009A7163">
        <w:rPr>
          <w:rFonts w:ascii="Times New Roman" w:hAnsi="Times New Roman" w:cs="Times New Roman"/>
        </w:rPr>
        <w:t>How is unpaid work defined?</w:t>
      </w:r>
    </w:p>
    <w:p w14:paraId="56D5F816" w14:textId="77777777" w:rsidR="0074429D" w:rsidRPr="009A7163" w:rsidRDefault="0074429D" w:rsidP="00EC6C5F">
      <w:pPr>
        <w:pStyle w:val="ListParagraph"/>
        <w:numPr>
          <w:ilvl w:val="0"/>
          <w:numId w:val="21"/>
        </w:numPr>
        <w:tabs>
          <w:tab w:val="left" w:pos="720"/>
        </w:tabs>
        <w:spacing w:line="360" w:lineRule="auto"/>
        <w:jc w:val="both"/>
        <w:rPr>
          <w:rFonts w:ascii="Times New Roman" w:hAnsi="Times New Roman" w:cs="Times New Roman"/>
        </w:rPr>
      </w:pPr>
      <w:r w:rsidRPr="009A7163">
        <w:rPr>
          <w:rFonts w:ascii="Times New Roman" w:hAnsi="Times New Roman" w:cs="Times New Roman"/>
        </w:rPr>
        <w:t>How can unpaid work be measured?</w:t>
      </w:r>
    </w:p>
    <w:p w14:paraId="5E1376FE" w14:textId="1D8DE818" w:rsidR="00EC6C5F" w:rsidRPr="009A7163" w:rsidRDefault="00EC6C5F" w:rsidP="00EC6C5F">
      <w:pPr>
        <w:numPr>
          <w:ilvl w:val="0"/>
          <w:numId w:val="21"/>
        </w:numPr>
        <w:spacing w:line="360" w:lineRule="auto"/>
        <w:jc w:val="both"/>
      </w:pPr>
      <w:r w:rsidRPr="009A7163">
        <w:t>What are the challenges of pricing unpaid work?</w:t>
      </w:r>
    </w:p>
    <w:p w14:paraId="12FB82E8" w14:textId="5FE7E39A" w:rsidR="00513DBC" w:rsidRPr="009A7163" w:rsidRDefault="0074429D" w:rsidP="00EC6C5F">
      <w:pPr>
        <w:pStyle w:val="ListParagraph"/>
        <w:numPr>
          <w:ilvl w:val="0"/>
          <w:numId w:val="21"/>
        </w:numPr>
        <w:tabs>
          <w:tab w:val="left" w:pos="720"/>
        </w:tabs>
        <w:spacing w:line="360" w:lineRule="auto"/>
        <w:jc w:val="both"/>
        <w:rPr>
          <w:rFonts w:ascii="Times New Roman" w:hAnsi="Times New Roman" w:cs="Times New Roman"/>
        </w:rPr>
      </w:pPr>
      <w:r w:rsidRPr="009A7163">
        <w:rPr>
          <w:rFonts w:ascii="Times New Roman" w:hAnsi="Times New Roman" w:cs="Times New Roman"/>
        </w:rPr>
        <w:t>How is unpaid work distributed between family members</w:t>
      </w:r>
      <w:r w:rsidR="00513DBC" w:rsidRPr="009A7163">
        <w:rPr>
          <w:rFonts w:ascii="Times New Roman" w:hAnsi="Times New Roman" w:cs="Times New Roman"/>
        </w:rPr>
        <w:t xml:space="preserve"> and activities? </w:t>
      </w:r>
    </w:p>
    <w:p w14:paraId="039186B4" w14:textId="41523399" w:rsidR="0074429D" w:rsidRPr="009A7163" w:rsidRDefault="00513DBC" w:rsidP="00EC6C5F">
      <w:pPr>
        <w:pStyle w:val="ListParagraph"/>
        <w:numPr>
          <w:ilvl w:val="0"/>
          <w:numId w:val="21"/>
        </w:numPr>
        <w:tabs>
          <w:tab w:val="left" w:pos="720"/>
        </w:tabs>
        <w:spacing w:line="360" w:lineRule="auto"/>
        <w:jc w:val="both"/>
        <w:rPr>
          <w:rFonts w:ascii="Times New Roman" w:hAnsi="Times New Roman" w:cs="Times New Roman"/>
        </w:rPr>
      </w:pPr>
      <w:r w:rsidRPr="009A7163">
        <w:rPr>
          <w:rFonts w:ascii="Times New Roman" w:hAnsi="Times New Roman" w:cs="Times New Roman"/>
        </w:rPr>
        <w:t xml:space="preserve">What factors influence this? </w:t>
      </w:r>
      <w:r w:rsidR="0074429D" w:rsidRPr="009A7163">
        <w:rPr>
          <w:rFonts w:ascii="Times New Roman" w:hAnsi="Times New Roman" w:cs="Times New Roman"/>
        </w:rPr>
        <w:t xml:space="preserve"> </w:t>
      </w:r>
    </w:p>
    <w:p w14:paraId="00E948AA" w14:textId="41D7A00A" w:rsidR="0074429D" w:rsidRPr="009A7163" w:rsidRDefault="005E02BE" w:rsidP="00EC6C5F">
      <w:pPr>
        <w:pStyle w:val="ListParagraph"/>
        <w:numPr>
          <w:ilvl w:val="0"/>
          <w:numId w:val="21"/>
        </w:numPr>
        <w:tabs>
          <w:tab w:val="left" w:pos="720"/>
        </w:tabs>
        <w:spacing w:after="240" w:line="360" w:lineRule="auto"/>
        <w:contextualSpacing w:val="0"/>
        <w:jc w:val="both"/>
        <w:rPr>
          <w:rFonts w:ascii="Times New Roman" w:hAnsi="Times New Roman" w:cs="Times New Roman"/>
        </w:rPr>
      </w:pPr>
      <w:r w:rsidRPr="009A7163">
        <w:rPr>
          <w:rFonts w:ascii="Times New Roman" w:hAnsi="Times New Roman" w:cs="Times New Roman"/>
        </w:rPr>
        <w:t xml:space="preserve">How does this specific model contribute to </w:t>
      </w:r>
      <w:r w:rsidR="007F2991" w:rsidRPr="009A7163">
        <w:rPr>
          <w:rFonts w:ascii="Times New Roman" w:hAnsi="Times New Roman" w:cs="Times New Roman"/>
        </w:rPr>
        <w:t>women’s</w:t>
      </w:r>
      <w:r w:rsidRPr="009A7163">
        <w:rPr>
          <w:rFonts w:ascii="Times New Roman" w:hAnsi="Times New Roman" w:cs="Times New Roman"/>
        </w:rPr>
        <w:t xml:space="preserve"> empowerment?</w:t>
      </w:r>
    </w:p>
    <w:p w14:paraId="5564139E" w14:textId="4FBB6E0F" w:rsidR="000E70C7" w:rsidRPr="009A7163" w:rsidRDefault="002579C3" w:rsidP="007E16ED">
      <w:pPr>
        <w:pStyle w:val="Heading2"/>
      </w:pPr>
      <w:bookmarkStart w:id="14" w:name="_Toc526819250"/>
      <w:r>
        <w:t>1.8</w:t>
      </w:r>
      <w:r w:rsidR="006E4E01" w:rsidRPr="009A7163">
        <w:t xml:space="preserve">  </w:t>
      </w:r>
      <w:r w:rsidR="00F56D1F" w:rsidRPr="009A7163">
        <w:t>Research Design</w:t>
      </w:r>
      <w:bookmarkEnd w:id="14"/>
    </w:p>
    <w:p w14:paraId="6F5D91C6" w14:textId="0C2B68DE" w:rsidR="00934940" w:rsidRPr="009A7163" w:rsidRDefault="0074429D" w:rsidP="007A3A29">
      <w:pPr>
        <w:spacing w:line="360" w:lineRule="auto"/>
        <w:ind w:firstLine="720"/>
        <w:jc w:val="both"/>
      </w:pPr>
      <w:r w:rsidRPr="009A7163">
        <w:t>This study employed</w:t>
      </w:r>
      <w:r w:rsidR="00976C0C" w:rsidRPr="009A7163">
        <w:t xml:space="preserve"> feminist mixed</w:t>
      </w:r>
      <w:r w:rsidR="00DB6206" w:rsidRPr="009A7163">
        <w:t>-</w:t>
      </w:r>
      <w:r w:rsidR="00976C0C" w:rsidRPr="009A7163">
        <w:t xml:space="preserve">methods case study analysis </w:t>
      </w:r>
      <w:r w:rsidR="00DB6206" w:rsidRPr="009A7163">
        <w:t xml:space="preserve">that </w:t>
      </w:r>
      <w:r w:rsidR="00976C0C" w:rsidRPr="009A7163">
        <w:t xml:space="preserve">included participatory data collection methods. </w:t>
      </w:r>
      <w:r w:rsidR="00DB6206" w:rsidRPr="009A7163">
        <w:t>It</w:t>
      </w:r>
      <w:r w:rsidR="00976C0C" w:rsidRPr="009A7163">
        <w:t xml:space="preserve"> was a longitudinal study of women’s unpaid work in two supply chains (coffee and sesame) </w:t>
      </w:r>
      <w:r w:rsidR="009F59E0" w:rsidRPr="009A7163">
        <w:t xml:space="preserve">in Nicaragua </w:t>
      </w:r>
      <w:r w:rsidR="00DB6206" w:rsidRPr="009A7163">
        <w:t xml:space="preserve">in which </w:t>
      </w:r>
      <w:r w:rsidR="00976C0C" w:rsidRPr="009A7163">
        <w:rPr>
          <w:shd w:val="clear" w:color="auto" w:fill="FFFFFF"/>
        </w:rPr>
        <w:t>TUS were carried out over a period of two years and in four stages to capture differences in the agricultural cycle</w:t>
      </w:r>
      <w:r w:rsidR="00A15E60" w:rsidRPr="009A7163">
        <w:rPr>
          <w:shd w:val="clear" w:color="auto" w:fill="FFFFFF"/>
        </w:rPr>
        <w:t>.</w:t>
      </w:r>
      <w:r w:rsidR="00976C0C" w:rsidRPr="009A7163">
        <w:rPr>
          <w:shd w:val="clear" w:color="auto" w:fill="FFFFFF"/>
        </w:rPr>
        <w:t xml:space="preserve"> </w:t>
      </w:r>
      <w:r w:rsidR="00DB6206" w:rsidRPr="009A7163">
        <w:rPr>
          <w:shd w:val="clear" w:color="auto" w:fill="FFFFFF"/>
        </w:rPr>
        <w:t>Data was collected via</w:t>
      </w:r>
      <w:r w:rsidR="00976C0C" w:rsidRPr="009A7163">
        <w:rPr>
          <w:shd w:val="clear" w:color="auto" w:fill="FFFFFF"/>
        </w:rPr>
        <w:t xml:space="preserve"> surveys, focus groups and semi</w:t>
      </w:r>
      <w:r w:rsidR="00DB6206" w:rsidRPr="009A7163">
        <w:rPr>
          <w:shd w:val="clear" w:color="auto" w:fill="FFFFFF"/>
        </w:rPr>
        <w:t>-</w:t>
      </w:r>
      <w:r w:rsidR="00976C0C" w:rsidRPr="009A7163">
        <w:rPr>
          <w:shd w:val="clear" w:color="auto" w:fill="FFFFFF"/>
        </w:rPr>
        <w:t>structured interviews.</w:t>
      </w:r>
      <w:r w:rsidR="009F59E0" w:rsidRPr="009A7163">
        <w:rPr>
          <w:rFonts w:eastAsiaTheme="minorHAnsi"/>
        </w:rPr>
        <w:t xml:space="preserve"> Quantitative data was collected via surveys to </w:t>
      </w:r>
      <w:r w:rsidR="00DB6206" w:rsidRPr="009A7163">
        <w:rPr>
          <w:rFonts w:eastAsiaTheme="minorHAnsi"/>
        </w:rPr>
        <w:t xml:space="preserve">compile </w:t>
      </w:r>
      <w:r w:rsidR="009F59E0" w:rsidRPr="009A7163">
        <w:rPr>
          <w:rFonts w:eastAsiaTheme="minorHAnsi"/>
        </w:rPr>
        <w:t>information on participant</w:t>
      </w:r>
      <w:r w:rsidR="00DB6206" w:rsidRPr="009A7163">
        <w:rPr>
          <w:rFonts w:eastAsiaTheme="minorHAnsi"/>
        </w:rPr>
        <w:t xml:space="preserve"> </w:t>
      </w:r>
      <w:r w:rsidR="009F59E0" w:rsidRPr="009A7163">
        <w:rPr>
          <w:rFonts w:eastAsiaTheme="minorHAnsi"/>
        </w:rPr>
        <w:t xml:space="preserve">time use, household assets, decision making and access to resources, amongst other aspects. </w:t>
      </w:r>
      <w:r w:rsidR="00F71E02" w:rsidRPr="009A7163">
        <w:rPr>
          <w:rFonts w:eastAsiaTheme="minorHAnsi"/>
        </w:rPr>
        <w:t xml:space="preserve">Quantitative methods </w:t>
      </w:r>
      <w:r w:rsidR="0096177C" w:rsidRPr="009A7163">
        <w:rPr>
          <w:rFonts w:eastAsiaTheme="minorHAnsi"/>
        </w:rPr>
        <w:t>were employed since price</w:t>
      </w:r>
      <w:r w:rsidR="00BD4A3B" w:rsidRPr="009A7163">
        <w:rPr>
          <w:rFonts w:eastAsiaTheme="minorHAnsi"/>
        </w:rPr>
        <w:t xml:space="preserve">, </w:t>
      </w:r>
      <w:r w:rsidR="00851830" w:rsidRPr="009A7163">
        <w:rPr>
          <w:rFonts w:eastAsiaTheme="minorHAnsi"/>
        </w:rPr>
        <w:t>which by definition is quantitative</w:t>
      </w:r>
      <w:r w:rsidR="00BD4A3B" w:rsidRPr="009A7163">
        <w:rPr>
          <w:rFonts w:eastAsiaTheme="minorHAnsi"/>
        </w:rPr>
        <w:t xml:space="preserve">, </w:t>
      </w:r>
      <w:r w:rsidR="0096177C" w:rsidRPr="009A7163">
        <w:rPr>
          <w:rFonts w:eastAsiaTheme="minorHAnsi"/>
        </w:rPr>
        <w:t>was central to the initiative and my research.</w:t>
      </w:r>
      <w:r w:rsidR="00A600A0" w:rsidRPr="009A7163">
        <w:rPr>
          <w:rFonts w:eastAsiaTheme="minorHAnsi"/>
        </w:rPr>
        <w:t xml:space="preserve"> The justification </w:t>
      </w:r>
      <w:r w:rsidR="009107F1" w:rsidRPr="009A7163">
        <w:rPr>
          <w:rFonts w:eastAsiaTheme="minorHAnsi"/>
        </w:rPr>
        <w:t xml:space="preserve">for the new </w:t>
      </w:r>
      <w:r w:rsidR="00A600A0" w:rsidRPr="009A7163">
        <w:rPr>
          <w:rFonts w:eastAsiaTheme="minorHAnsi"/>
        </w:rPr>
        <w:t xml:space="preserve">pricing model was </w:t>
      </w:r>
      <w:r w:rsidR="005E2762" w:rsidRPr="009A7163">
        <w:rPr>
          <w:rFonts w:eastAsiaTheme="minorHAnsi"/>
        </w:rPr>
        <w:t>to create a cost of production</w:t>
      </w:r>
      <w:r w:rsidR="009107F1" w:rsidRPr="009A7163">
        <w:rPr>
          <w:rFonts w:eastAsiaTheme="minorHAnsi"/>
        </w:rPr>
        <w:t xml:space="preserve"> </w:t>
      </w:r>
      <w:r w:rsidR="00815513" w:rsidRPr="009A7163">
        <w:rPr>
          <w:rFonts w:eastAsiaTheme="minorHAnsi"/>
        </w:rPr>
        <w:t xml:space="preserve">that </w:t>
      </w:r>
      <w:r w:rsidR="009107F1" w:rsidRPr="009A7163">
        <w:rPr>
          <w:rFonts w:eastAsiaTheme="minorHAnsi"/>
        </w:rPr>
        <w:t>was closer to the actual costs</w:t>
      </w:r>
      <w:r w:rsidR="00815513" w:rsidRPr="009A7163">
        <w:rPr>
          <w:rFonts w:eastAsiaTheme="minorHAnsi"/>
        </w:rPr>
        <w:t xml:space="preserve"> and </w:t>
      </w:r>
      <w:r w:rsidR="009107F1" w:rsidRPr="009A7163">
        <w:rPr>
          <w:rFonts w:eastAsiaTheme="minorHAnsi"/>
        </w:rPr>
        <w:t>visible women’s</w:t>
      </w:r>
      <w:r w:rsidR="00815513" w:rsidRPr="009A7163">
        <w:rPr>
          <w:rFonts w:eastAsiaTheme="minorHAnsi"/>
        </w:rPr>
        <w:t xml:space="preserve"> contribution</w:t>
      </w:r>
      <w:r w:rsidR="009107F1" w:rsidRPr="009A7163">
        <w:rPr>
          <w:rFonts w:eastAsiaTheme="minorHAnsi"/>
        </w:rPr>
        <w:t>. Therefore</w:t>
      </w:r>
      <w:r w:rsidR="00A600A0" w:rsidRPr="009A7163">
        <w:rPr>
          <w:rFonts w:eastAsiaTheme="minorHAnsi"/>
        </w:rPr>
        <w:t xml:space="preserve"> measuring women’s time and its value was paramount to justifying why women’s work should be </w:t>
      </w:r>
      <w:r w:rsidR="005E2216" w:rsidRPr="009A7163">
        <w:rPr>
          <w:rFonts w:eastAsiaTheme="minorHAnsi"/>
        </w:rPr>
        <w:t>‘</w:t>
      </w:r>
      <w:r w:rsidR="00A600A0" w:rsidRPr="009A7163">
        <w:rPr>
          <w:rFonts w:eastAsiaTheme="minorHAnsi"/>
        </w:rPr>
        <w:t>priced in</w:t>
      </w:r>
      <w:r w:rsidR="005E2216" w:rsidRPr="009A7163">
        <w:rPr>
          <w:rFonts w:eastAsiaTheme="minorHAnsi"/>
        </w:rPr>
        <w:t>’</w:t>
      </w:r>
      <w:r w:rsidR="009107F1" w:rsidRPr="009A7163">
        <w:rPr>
          <w:rFonts w:eastAsiaTheme="minorHAnsi"/>
        </w:rPr>
        <w:t xml:space="preserve"> to the cost of production and </w:t>
      </w:r>
      <w:r w:rsidR="00A600A0" w:rsidRPr="009A7163">
        <w:rPr>
          <w:rFonts w:eastAsiaTheme="minorHAnsi"/>
        </w:rPr>
        <w:t xml:space="preserve">whether this </w:t>
      </w:r>
      <w:r w:rsidR="009107F1" w:rsidRPr="009A7163">
        <w:rPr>
          <w:rFonts w:eastAsiaTheme="minorHAnsi"/>
        </w:rPr>
        <w:t>cost represented the</w:t>
      </w:r>
      <w:r w:rsidR="00A600A0" w:rsidRPr="009A7163">
        <w:rPr>
          <w:rFonts w:eastAsiaTheme="minorHAnsi"/>
        </w:rPr>
        <w:t xml:space="preserve"> true value.</w:t>
      </w:r>
      <w:r w:rsidR="00590AED" w:rsidRPr="009A7163">
        <w:rPr>
          <w:rFonts w:eastAsiaTheme="minorHAnsi"/>
        </w:rPr>
        <w:t xml:space="preserve"> </w:t>
      </w:r>
      <w:r w:rsidR="006E540A" w:rsidRPr="009A7163">
        <w:rPr>
          <w:rFonts w:eastAsiaTheme="minorHAnsi"/>
        </w:rPr>
        <w:t>W</w:t>
      </w:r>
      <w:r w:rsidR="007079EC" w:rsidRPr="009A7163">
        <w:rPr>
          <w:rFonts w:eastAsiaTheme="minorHAnsi"/>
        </w:rPr>
        <w:t xml:space="preserve">hilst TUS cannot answer </w:t>
      </w:r>
      <w:r w:rsidR="007079EC" w:rsidRPr="009A7163">
        <w:rPr>
          <w:rFonts w:eastAsiaTheme="minorHAnsi"/>
          <w:i/>
        </w:rPr>
        <w:t xml:space="preserve">how to value unpaid time </w:t>
      </w:r>
      <w:r w:rsidR="007079EC" w:rsidRPr="009A7163">
        <w:rPr>
          <w:rFonts w:eastAsiaTheme="minorHAnsi"/>
        </w:rPr>
        <w:t>in monetary terms</w:t>
      </w:r>
      <w:r w:rsidR="005E2216" w:rsidRPr="009A7163">
        <w:rPr>
          <w:rFonts w:eastAsiaTheme="minorHAnsi"/>
        </w:rPr>
        <w:t>,</w:t>
      </w:r>
      <w:r w:rsidR="000A6449" w:rsidRPr="009A7163">
        <w:rPr>
          <w:rStyle w:val="FootnoteReference"/>
          <w:rFonts w:eastAsiaTheme="minorHAnsi"/>
        </w:rPr>
        <w:footnoteReference w:id="28"/>
      </w:r>
      <w:r w:rsidR="007079EC" w:rsidRPr="009A7163">
        <w:rPr>
          <w:rFonts w:eastAsiaTheme="minorHAnsi"/>
        </w:rPr>
        <w:t xml:space="preserve"> </w:t>
      </w:r>
      <w:r w:rsidR="003E2490" w:rsidRPr="009A7163">
        <w:rPr>
          <w:rFonts w:eastAsiaTheme="minorHAnsi"/>
        </w:rPr>
        <w:t xml:space="preserve">are useful as ‘quantitative </w:t>
      </w:r>
      <w:r w:rsidR="003E2490" w:rsidRPr="009A7163">
        <w:rPr>
          <w:rFonts w:eastAsiaTheme="minorHAnsi"/>
        </w:rPr>
        <w:lastRenderedPageBreak/>
        <w:t xml:space="preserve">summaries </w:t>
      </w:r>
      <w:r w:rsidR="005E2216" w:rsidRPr="009A7163">
        <w:rPr>
          <w:rFonts w:eastAsiaTheme="minorHAnsi"/>
        </w:rPr>
        <w:t xml:space="preserve">of </w:t>
      </w:r>
      <w:r w:rsidR="003E2490" w:rsidRPr="009A7163">
        <w:rPr>
          <w:rFonts w:eastAsiaTheme="minorHAnsi"/>
        </w:rPr>
        <w:t>how individuals</w:t>
      </w:r>
      <w:r w:rsidR="001D2CDA" w:rsidRPr="009A7163">
        <w:rPr>
          <w:rFonts w:eastAsiaTheme="minorHAnsi"/>
        </w:rPr>
        <w:t>’</w:t>
      </w:r>
      <w:r w:rsidR="003E2490" w:rsidRPr="009A7163">
        <w:rPr>
          <w:rFonts w:eastAsiaTheme="minorHAnsi"/>
        </w:rPr>
        <w:t xml:space="preserve"> “spend” or allocate their time over a specified period</w:t>
      </w:r>
      <w:r w:rsidR="005E2216" w:rsidRPr="009A7163">
        <w:rPr>
          <w:rFonts w:eastAsiaTheme="minorHAnsi"/>
        </w:rPr>
        <w:t>’</w:t>
      </w:r>
      <w:r w:rsidR="003E2490" w:rsidRPr="009A7163">
        <w:rPr>
          <w:rFonts w:eastAsiaTheme="minorHAnsi"/>
        </w:rPr>
        <w:t xml:space="preserve"> (United Nations, 2005, p.</w:t>
      </w:r>
      <w:r w:rsidR="005E2216" w:rsidRPr="009A7163">
        <w:rPr>
          <w:rFonts w:eastAsiaTheme="minorHAnsi"/>
        </w:rPr>
        <w:t xml:space="preserve"> </w:t>
      </w:r>
      <w:r w:rsidR="00E41167" w:rsidRPr="009A7163">
        <w:rPr>
          <w:rFonts w:eastAsiaTheme="minorHAnsi"/>
        </w:rPr>
        <w:t>5</w:t>
      </w:r>
      <w:r w:rsidR="003E2490" w:rsidRPr="009A7163">
        <w:rPr>
          <w:rFonts w:eastAsiaTheme="minorHAnsi"/>
        </w:rPr>
        <w:t>)</w:t>
      </w:r>
      <w:r w:rsidR="00E41167" w:rsidRPr="009A7163">
        <w:rPr>
          <w:rFonts w:eastAsiaTheme="minorHAnsi"/>
        </w:rPr>
        <w:t xml:space="preserve">. </w:t>
      </w:r>
      <w:r w:rsidR="009C06E4" w:rsidRPr="009A7163">
        <w:rPr>
          <w:rFonts w:eastAsiaTheme="minorHAnsi"/>
        </w:rPr>
        <w:t xml:space="preserve">TUS also offer a very immediate insight into the gender division of labour, by highlighting the different </w:t>
      </w:r>
      <w:r w:rsidR="00715FC8" w:rsidRPr="009A7163">
        <w:rPr>
          <w:rFonts w:eastAsiaTheme="minorHAnsi"/>
        </w:rPr>
        <w:t>patterns</w:t>
      </w:r>
      <w:r w:rsidR="009C06E4" w:rsidRPr="009A7163">
        <w:rPr>
          <w:rFonts w:eastAsiaTheme="minorHAnsi"/>
        </w:rPr>
        <w:t xml:space="preserve"> of women and men’s routine activities (Walker et al</w:t>
      </w:r>
      <w:r w:rsidR="00E53461" w:rsidRPr="009A7163">
        <w:rPr>
          <w:rFonts w:eastAsiaTheme="minorHAnsi"/>
        </w:rPr>
        <w:t>.</w:t>
      </w:r>
      <w:r w:rsidR="009C06E4" w:rsidRPr="009A7163">
        <w:rPr>
          <w:rFonts w:eastAsiaTheme="minorHAnsi"/>
        </w:rPr>
        <w:t xml:space="preserve">, 2013, p.51) </w:t>
      </w:r>
      <w:r w:rsidR="003F616F" w:rsidRPr="009A7163">
        <w:rPr>
          <w:rFonts w:eastAsiaTheme="minorHAnsi"/>
        </w:rPr>
        <w:t xml:space="preserve">and a fuller picture of the </w:t>
      </w:r>
      <w:r w:rsidR="007079EC" w:rsidRPr="009A7163">
        <w:rPr>
          <w:rFonts w:eastAsiaTheme="minorHAnsi"/>
        </w:rPr>
        <w:t>economy</w:t>
      </w:r>
      <w:r w:rsidR="003F616F" w:rsidRPr="009A7163">
        <w:rPr>
          <w:rFonts w:eastAsiaTheme="minorHAnsi"/>
        </w:rPr>
        <w:t>.</w:t>
      </w:r>
      <w:r w:rsidR="007079EC" w:rsidRPr="009A7163">
        <w:rPr>
          <w:rFonts w:eastAsiaTheme="minorHAnsi"/>
        </w:rPr>
        <w:t xml:space="preserve"> </w:t>
      </w:r>
      <w:r w:rsidR="00612841" w:rsidRPr="009A7163">
        <w:rPr>
          <w:rFonts w:eastAsiaTheme="minorHAnsi"/>
        </w:rPr>
        <w:t>TUS are used as input for gender analysis and</w:t>
      </w:r>
      <w:r w:rsidR="00E41167" w:rsidRPr="009A7163">
        <w:rPr>
          <w:rFonts w:eastAsiaTheme="minorHAnsi"/>
        </w:rPr>
        <w:t xml:space="preserve"> have been used strategically to address </w:t>
      </w:r>
      <w:r w:rsidR="005E2216" w:rsidRPr="009A7163">
        <w:rPr>
          <w:rFonts w:eastAsiaTheme="minorHAnsi"/>
        </w:rPr>
        <w:t>a broader issue concerning</w:t>
      </w:r>
      <w:r w:rsidR="00E41167" w:rsidRPr="009A7163">
        <w:rPr>
          <w:rFonts w:eastAsiaTheme="minorHAnsi"/>
        </w:rPr>
        <w:t xml:space="preserve"> women’s work</w:t>
      </w:r>
      <w:r w:rsidR="005E2216" w:rsidRPr="009A7163">
        <w:rPr>
          <w:rFonts w:eastAsiaTheme="minorHAnsi"/>
        </w:rPr>
        <w:t>, which is that it</w:t>
      </w:r>
      <w:r w:rsidR="00E41167" w:rsidRPr="009A7163">
        <w:rPr>
          <w:rFonts w:eastAsiaTheme="minorHAnsi"/>
        </w:rPr>
        <w:t xml:space="preserve"> is ‘not </w:t>
      </w:r>
      <w:r w:rsidR="00E41167" w:rsidRPr="009A7163">
        <w:t>“counted” in statistics, not “accounted for” in representations of the economy and not “taken into account” in policy making’ (Budlender, 2007, p.</w:t>
      </w:r>
      <w:r w:rsidR="005E2216" w:rsidRPr="009A7163">
        <w:t xml:space="preserve"> </w:t>
      </w:r>
      <w:r w:rsidR="00E41167" w:rsidRPr="009A7163">
        <w:t>1).</w:t>
      </w:r>
      <w:r w:rsidR="007E16ED" w:rsidRPr="009A7163">
        <w:t xml:space="preserve"> Time</w:t>
      </w:r>
      <w:r w:rsidR="005E2216" w:rsidRPr="009A7163">
        <w:t xml:space="preserve"> u</w:t>
      </w:r>
      <w:r w:rsidR="007E16ED" w:rsidRPr="009A7163">
        <w:t>se data can help analysts study the nature and extent of intra-household inequality and the impact of that inequality</w:t>
      </w:r>
      <w:r w:rsidR="005E2216" w:rsidRPr="009A7163">
        <w:t xml:space="preserve"> </w:t>
      </w:r>
      <w:r w:rsidR="007E16ED" w:rsidRPr="009A7163">
        <w:t xml:space="preserve"> (United Nations, 2005, p</w:t>
      </w:r>
      <w:r w:rsidR="005E2216" w:rsidRPr="009A7163">
        <w:t xml:space="preserve">. </w:t>
      </w:r>
      <w:r w:rsidR="007E16ED" w:rsidRPr="009A7163">
        <w:t>11)</w:t>
      </w:r>
      <w:r w:rsidR="005E2216" w:rsidRPr="009A7163">
        <w:t>,</w:t>
      </w:r>
      <w:r w:rsidR="008F1E03" w:rsidRPr="009A7163">
        <w:t xml:space="preserve"> but they cannot provide all of that information</w:t>
      </w:r>
      <w:r w:rsidR="007E16ED" w:rsidRPr="009A7163">
        <w:t>.</w:t>
      </w:r>
      <w:r w:rsidR="008F1E03" w:rsidRPr="009A7163">
        <w:t xml:space="preserve"> TUS show how work is distributed </w:t>
      </w:r>
      <w:r w:rsidR="005E2216" w:rsidRPr="009A7163">
        <w:t xml:space="preserve">– </w:t>
      </w:r>
      <w:r w:rsidR="008F1E03" w:rsidRPr="009A7163">
        <w:t xml:space="preserve">not who makes the decision on who does what work in the household, the extent to which those roles are flexible or what happens if circumstances change </w:t>
      </w:r>
      <w:r w:rsidR="005E2216" w:rsidRPr="009A7163">
        <w:t>(</w:t>
      </w:r>
      <w:r w:rsidR="008F1E03" w:rsidRPr="009A7163">
        <w:t>e.g.</w:t>
      </w:r>
      <w:r w:rsidR="005E2216" w:rsidRPr="009A7163">
        <w:t>,</w:t>
      </w:r>
      <w:r w:rsidR="008F1E03" w:rsidRPr="009A7163">
        <w:t xml:space="preserve"> main care provider undertakes paid work</w:t>
      </w:r>
      <w:r w:rsidR="005E2216" w:rsidRPr="009A7163">
        <w:t>)</w:t>
      </w:r>
      <w:r w:rsidR="008F1E03" w:rsidRPr="009A7163">
        <w:t xml:space="preserve">. </w:t>
      </w:r>
      <w:r w:rsidR="00E41167" w:rsidRPr="009A7163">
        <w:t xml:space="preserve">TUS have </w:t>
      </w:r>
      <w:r w:rsidR="007E16ED" w:rsidRPr="009A7163">
        <w:t xml:space="preserve">also </w:t>
      </w:r>
      <w:r w:rsidR="00E41167" w:rsidRPr="009A7163">
        <w:t>been criti</w:t>
      </w:r>
      <w:r w:rsidR="001D2CDA" w:rsidRPr="009A7163">
        <w:t xml:space="preserve">cised </w:t>
      </w:r>
      <w:r w:rsidR="00E41167" w:rsidRPr="009A7163">
        <w:t>for</w:t>
      </w:r>
      <w:r w:rsidR="007E16ED" w:rsidRPr="009A7163">
        <w:t xml:space="preserve"> </w:t>
      </w:r>
      <w:r w:rsidR="00612841" w:rsidRPr="009A7163">
        <w:t xml:space="preserve">introducing a bias in the data collection by either the interviewer </w:t>
      </w:r>
      <w:r w:rsidR="00422A8E" w:rsidRPr="009A7163">
        <w:t>(</w:t>
      </w:r>
      <w:r w:rsidR="00B032BE" w:rsidRPr="009A7163">
        <w:t>if the TUS is administrated</w:t>
      </w:r>
      <w:r w:rsidR="00422A8E" w:rsidRPr="009A7163">
        <w:t>)</w:t>
      </w:r>
      <w:r w:rsidR="00B032BE" w:rsidRPr="009A7163">
        <w:t xml:space="preserve"> and/</w:t>
      </w:r>
      <w:r w:rsidR="00612841" w:rsidRPr="009A7163">
        <w:t xml:space="preserve">or by </w:t>
      </w:r>
      <w:r w:rsidR="00420071" w:rsidRPr="009A7163">
        <w:t xml:space="preserve">categorising </w:t>
      </w:r>
      <w:r w:rsidR="009D7F52" w:rsidRPr="009A7163">
        <w:t>activities</w:t>
      </w:r>
      <w:r w:rsidR="005D0617" w:rsidRPr="009A7163">
        <w:t xml:space="preserve"> </w:t>
      </w:r>
      <w:r w:rsidR="00612841" w:rsidRPr="009A7163">
        <w:t>in</w:t>
      </w:r>
      <w:r w:rsidR="009D7F52" w:rsidRPr="009A7163">
        <w:t xml:space="preserve"> a pre-coded list of activities</w:t>
      </w:r>
      <w:r w:rsidR="00590AED" w:rsidRPr="009A7163">
        <w:t xml:space="preserve"> </w:t>
      </w:r>
      <w:r w:rsidR="006B3210" w:rsidRPr="009A7163">
        <w:t>that</w:t>
      </w:r>
      <w:r w:rsidR="00590AED" w:rsidRPr="009A7163">
        <w:t xml:space="preserve"> limits</w:t>
      </w:r>
      <w:r w:rsidR="000F693F" w:rsidRPr="009A7163">
        <w:t xml:space="preserve"> data</w:t>
      </w:r>
      <w:r w:rsidR="004E24BD" w:rsidRPr="009A7163">
        <w:t xml:space="preserve"> and </w:t>
      </w:r>
      <w:r w:rsidR="006B3210" w:rsidRPr="009A7163">
        <w:t>can</w:t>
      </w:r>
      <w:r w:rsidR="000F693F" w:rsidRPr="009A7163">
        <w:t xml:space="preserve"> affect the</w:t>
      </w:r>
      <w:r w:rsidR="00590AED" w:rsidRPr="009A7163">
        <w:t xml:space="preserve"> results and subsequent</w:t>
      </w:r>
      <w:r w:rsidR="000F693F" w:rsidRPr="009A7163">
        <w:t xml:space="preserve"> design of interventions.</w:t>
      </w:r>
      <w:r w:rsidR="00590AED" w:rsidRPr="009A7163">
        <w:rPr>
          <w:rFonts w:eastAsiaTheme="minorHAnsi"/>
        </w:rPr>
        <w:t xml:space="preserve"> </w:t>
      </w:r>
      <w:r w:rsidR="001A48D9" w:rsidRPr="009A7163">
        <w:t xml:space="preserve">Additionally, </w:t>
      </w:r>
      <w:r w:rsidR="001A2D82" w:rsidRPr="009A7163">
        <w:t>TUS have been criticised for their weakness</w:t>
      </w:r>
      <w:r w:rsidR="009D7F52" w:rsidRPr="009A7163">
        <w:t xml:space="preserve"> in </w:t>
      </w:r>
      <w:r w:rsidR="006D0D2D" w:rsidRPr="009A7163">
        <w:t xml:space="preserve">the </w:t>
      </w:r>
      <w:r w:rsidR="009D7F52" w:rsidRPr="009A7163">
        <w:t xml:space="preserve">recording </w:t>
      </w:r>
      <w:r w:rsidR="006D0D2D" w:rsidRPr="009A7163">
        <w:t xml:space="preserve">of </w:t>
      </w:r>
      <w:r w:rsidR="009D7F52" w:rsidRPr="009A7163">
        <w:t>simultaneous activities</w:t>
      </w:r>
      <w:r w:rsidR="006D0D2D" w:rsidRPr="009A7163">
        <w:t xml:space="preserve"> by respondent and interviewer</w:t>
      </w:r>
      <w:r w:rsidR="001A2D82" w:rsidRPr="009A7163">
        <w:t xml:space="preserve"> and for</w:t>
      </w:r>
      <w:r w:rsidR="009D7F52" w:rsidRPr="009A7163">
        <w:t xml:space="preserve"> </w:t>
      </w:r>
      <w:r w:rsidR="001A2D82" w:rsidRPr="009A7163">
        <w:t xml:space="preserve">the </w:t>
      </w:r>
      <w:r w:rsidR="009D7F52" w:rsidRPr="009A7163">
        <w:t>lack of contextual information</w:t>
      </w:r>
      <w:r w:rsidR="00715FC8" w:rsidRPr="009A7163">
        <w:t xml:space="preserve"> </w:t>
      </w:r>
      <w:r w:rsidR="00612841" w:rsidRPr="009A7163">
        <w:t xml:space="preserve">including </w:t>
      </w:r>
      <w:r w:rsidR="00715FC8" w:rsidRPr="009A7163">
        <w:t xml:space="preserve">contextual </w:t>
      </w:r>
      <w:r w:rsidR="00612841" w:rsidRPr="009A7163">
        <w:t>constraints</w:t>
      </w:r>
      <w:r w:rsidR="006A0214" w:rsidRPr="009A7163">
        <w:t xml:space="preserve">. </w:t>
      </w:r>
      <w:r w:rsidR="001A48D9" w:rsidRPr="009A7163">
        <w:t xml:space="preserve">For example, the person who is interviewing on time use makes assumptions on categories or asks leading questions </w:t>
      </w:r>
      <w:r w:rsidR="006B3210" w:rsidRPr="009A7163">
        <w:t>that</w:t>
      </w:r>
      <w:r w:rsidR="001A48D9" w:rsidRPr="009A7163">
        <w:t xml:space="preserve"> influence the answers. </w:t>
      </w:r>
      <w:r w:rsidR="0029309C" w:rsidRPr="009A7163">
        <w:rPr>
          <w:rFonts w:eastAsiaTheme="minorHAnsi"/>
        </w:rPr>
        <w:t>For this reason, qu</w:t>
      </w:r>
      <w:r w:rsidR="009F59E0" w:rsidRPr="009A7163">
        <w:rPr>
          <w:rFonts w:eastAsiaTheme="minorHAnsi"/>
        </w:rPr>
        <w:t>alitative data was collected via focus groups and interviews to gain more insight into perspectives around valuing and defining time use, the distribution of paid and unpaid work between family members in and among coffee and sesame producers, and the factors that influence these roles.</w:t>
      </w:r>
      <w:r w:rsidR="00C24A2A" w:rsidRPr="009A7163">
        <w:rPr>
          <w:rFonts w:eastAsiaTheme="minorHAnsi"/>
        </w:rPr>
        <w:t xml:space="preserve"> </w:t>
      </w:r>
      <w:r w:rsidR="00976C0C" w:rsidRPr="009A7163">
        <w:rPr>
          <w:shd w:val="clear" w:color="auto" w:fill="FFFFFF"/>
        </w:rPr>
        <w:t>I trialled different TUS surveys</w:t>
      </w:r>
      <w:r w:rsidR="001D29A9" w:rsidRPr="009A7163">
        <w:rPr>
          <w:shd w:val="clear" w:color="auto" w:fill="FFFFFF"/>
        </w:rPr>
        <w:t xml:space="preserve"> with methodological strengths and </w:t>
      </w:r>
      <w:r w:rsidR="001A48D9" w:rsidRPr="009A7163">
        <w:rPr>
          <w:shd w:val="clear" w:color="auto" w:fill="FFFFFF"/>
        </w:rPr>
        <w:t>weaknesses</w:t>
      </w:r>
      <w:r w:rsidR="006B3210" w:rsidRPr="009A7163">
        <w:rPr>
          <w:shd w:val="clear" w:color="auto" w:fill="FFFFFF"/>
        </w:rPr>
        <w:t>,</w:t>
      </w:r>
      <w:r w:rsidR="00D71096" w:rsidRPr="009A7163">
        <w:rPr>
          <w:shd w:val="clear" w:color="auto" w:fill="FFFFFF"/>
        </w:rPr>
        <w:t xml:space="preserve"> </w:t>
      </w:r>
      <w:r w:rsidR="00976C0C" w:rsidRPr="009A7163">
        <w:rPr>
          <w:shd w:val="clear" w:color="auto" w:fill="FFFFFF"/>
        </w:rPr>
        <w:t>and one of the study’s contributions is a participatory t</w:t>
      </w:r>
      <w:r w:rsidR="00D3150A" w:rsidRPr="009A7163">
        <w:rPr>
          <w:shd w:val="clear" w:color="auto" w:fill="FFFFFF"/>
        </w:rPr>
        <w:t>ime use visualisation instrument</w:t>
      </w:r>
      <w:r w:rsidR="00976C0C" w:rsidRPr="009A7163">
        <w:rPr>
          <w:shd w:val="clear" w:color="auto" w:fill="FFFFFF"/>
        </w:rPr>
        <w:t xml:space="preserve"> (TUVI</w:t>
      </w:r>
      <w:r w:rsidR="009F59E0" w:rsidRPr="009A7163">
        <w:rPr>
          <w:shd w:val="clear" w:color="auto" w:fill="FFFFFF"/>
        </w:rPr>
        <w:t xml:space="preserve">). </w:t>
      </w:r>
      <w:r w:rsidR="00D52A23" w:rsidRPr="009A7163">
        <w:rPr>
          <w:rFonts w:eastAsiaTheme="minorHAnsi"/>
        </w:rPr>
        <w:t xml:space="preserve">The </w:t>
      </w:r>
      <w:r w:rsidR="00934940" w:rsidRPr="009A7163">
        <w:rPr>
          <w:rFonts w:eastAsiaTheme="minorHAnsi"/>
        </w:rPr>
        <w:t>data was collected principally from rural women who participated in the initiative</w:t>
      </w:r>
      <w:r w:rsidR="0092375B" w:rsidRPr="009A7163">
        <w:rPr>
          <w:rFonts w:eastAsiaTheme="minorHAnsi"/>
        </w:rPr>
        <w:t xml:space="preserve"> to recognise the unpaid work of women through a pricing scheme</w:t>
      </w:r>
      <w:r w:rsidR="00934940" w:rsidRPr="009A7163">
        <w:rPr>
          <w:rFonts w:eastAsiaTheme="minorHAnsi"/>
        </w:rPr>
        <w:t xml:space="preserve"> (in other words, were able to access funds paid for by the premium from the buyer), as well as a small section of men and other family members related to the women.</w:t>
      </w:r>
      <w:r w:rsidR="001A48D9" w:rsidRPr="009A7163">
        <w:rPr>
          <w:rFonts w:eastAsiaTheme="minorHAnsi"/>
        </w:rPr>
        <w:t xml:space="preserve"> The TUS</w:t>
      </w:r>
      <w:r w:rsidR="003F0465" w:rsidRPr="009A7163">
        <w:rPr>
          <w:rFonts w:eastAsiaTheme="minorHAnsi"/>
        </w:rPr>
        <w:t>, which</w:t>
      </w:r>
      <w:r w:rsidR="000F693F" w:rsidRPr="009A7163">
        <w:rPr>
          <w:rFonts w:eastAsiaTheme="minorHAnsi"/>
        </w:rPr>
        <w:t xml:space="preserve"> </w:t>
      </w:r>
      <w:r w:rsidR="001A48D9" w:rsidRPr="009A7163">
        <w:rPr>
          <w:rFonts w:eastAsiaTheme="minorHAnsi"/>
        </w:rPr>
        <w:t>were repe</w:t>
      </w:r>
      <w:r w:rsidR="00EE633D" w:rsidRPr="009A7163">
        <w:rPr>
          <w:rFonts w:eastAsiaTheme="minorHAnsi"/>
        </w:rPr>
        <w:t>ated on multiple occasions</w:t>
      </w:r>
      <w:r w:rsidR="003F0465" w:rsidRPr="009A7163">
        <w:rPr>
          <w:rFonts w:eastAsiaTheme="minorHAnsi"/>
        </w:rPr>
        <w:t>,</w:t>
      </w:r>
      <w:r w:rsidR="000F693F" w:rsidRPr="009A7163">
        <w:rPr>
          <w:rFonts w:eastAsiaTheme="minorHAnsi"/>
        </w:rPr>
        <w:t xml:space="preserve"> </w:t>
      </w:r>
      <w:r w:rsidR="006A0214" w:rsidRPr="009A7163">
        <w:rPr>
          <w:rFonts w:eastAsiaTheme="minorHAnsi"/>
        </w:rPr>
        <w:t xml:space="preserve">led to </w:t>
      </w:r>
      <w:r w:rsidR="00B3467C" w:rsidRPr="009A7163">
        <w:rPr>
          <w:rFonts w:eastAsiaTheme="minorHAnsi"/>
        </w:rPr>
        <w:t>reflections around</w:t>
      </w:r>
      <w:r w:rsidR="00EE633D" w:rsidRPr="009A7163">
        <w:rPr>
          <w:rFonts w:eastAsiaTheme="minorHAnsi"/>
        </w:rPr>
        <w:t xml:space="preserve"> the gendered division of labour</w:t>
      </w:r>
      <w:r w:rsidR="006A0214" w:rsidRPr="009A7163">
        <w:rPr>
          <w:rFonts w:eastAsiaTheme="minorHAnsi"/>
        </w:rPr>
        <w:t xml:space="preserve">. This </w:t>
      </w:r>
      <w:r w:rsidR="006A0214" w:rsidRPr="009A7163">
        <w:rPr>
          <w:rFonts w:eastAsiaTheme="minorHAnsi"/>
        </w:rPr>
        <w:lastRenderedPageBreak/>
        <w:t>was</w:t>
      </w:r>
      <w:r w:rsidR="00EE633D" w:rsidRPr="009A7163">
        <w:rPr>
          <w:rFonts w:eastAsiaTheme="minorHAnsi"/>
        </w:rPr>
        <w:t xml:space="preserve"> </w:t>
      </w:r>
      <w:r w:rsidR="00102A1A" w:rsidRPr="009A7163">
        <w:rPr>
          <w:rFonts w:eastAsiaTheme="minorHAnsi"/>
        </w:rPr>
        <w:t>due to</w:t>
      </w:r>
      <w:r w:rsidR="001A48D9" w:rsidRPr="009A7163">
        <w:rPr>
          <w:rFonts w:eastAsiaTheme="minorHAnsi"/>
        </w:rPr>
        <w:t xml:space="preserve"> </w:t>
      </w:r>
      <w:r w:rsidR="006A0214" w:rsidRPr="009A7163">
        <w:rPr>
          <w:rFonts w:eastAsiaTheme="minorHAnsi"/>
        </w:rPr>
        <w:t>the</w:t>
      </w:r>
      <w:r w:rsidR="001A48D9" w:rsidRPr="009A7163">
        <w:rPr>
          <w:rFonts w:eastAsiaTheme="minorHAnsi"/>
        </w:rPr>
        <w:t xml:space="preserve"> </w:t>
      </w:r>
      <w:r w:rsidR="00E53461" w:rsidRPr="009A7163">
        <w:rPr>
          <w:rFonts w:eastAsiaTheme="minorHAnsi"/>
        </w:rPr>
        <w:t>‘</w:t>
      </w:r>
      <w:r w:rsidR="001A48D9" w:rsidRPr="009A7163">
        <w:rPr>
          <w:rFonts w:eastAsiaTheme="minorHAnsi"/>
        </w:rPr>
        <w:t>combination of specificity and comprehensives</w:t>
      </w:r>
      <w:r w:rsidR="00E53461" w:rsidRPr="009A7163">
        <w:rPr>
          <w:rFonts w:eastAsiaTheme="minorHAnsi"/>
        </w:rPr>
        <w:t>’</w:t>
      </w:r>
      <w:r w:rsidR="00EE633D" w:rsidRPr="009A7163">
        <w:rPr>
          <w:rFonts w:eastAsiaTheme="minorHAnsi"/>
        </w:rPr>
        <w:t xml:space="preserve"> (UNDP, 2005, </w:t>
      </w:r>
      <w:r w:rsidR="003F0465" w:rsidRPr="009A7163">
        <w:rPr>
          <w:rFonts w:eastAsiaTheme="minorHAnsi"/>
        </w:rPr>
        <w:t>p</w:t>
      </w:r>
      <w:r w:rsidR="00EE633D" w:rsidRPr="009A7163">
        <w:rPr>
          <w:rFonts w:eastAsiaTheme="minorHAnsi"/>
        </w:rPr>
        <w:t>.</w:t>
      </w:r>
      <w:r w:rsidR="003F0465" w:rsidRPr="009A7163">
        <w:rPr>
          <w:rFonts w:eastAsiaTheme="minorHAnsi"/>
        </w:rPr>
        <w:t xml:space="preserve"> </w:t>
      </w:r>
      <w:r w:rsidR="00EE633D" w:rsidRPr="009A7163">
        <w:rPr>
          <w:rFonts w:eastAsiaTheme="minorHAnsi"/>
        </w:rPr>
        <w:t xml:space="preserve">8) of the </w:t>
      </w:r>
      <w:r w:rsidR="00815513" w:rsidRPr="009A7163">
        <w:rPr>
          <w:rFonts w:eastAsiaTheme="minorHAnsi"/>
        </w:rPr>
        <w:t xml:space="preserve">method </w:t>
      </w:r>
      <w:r w:rsidR="003F0465" w:rsidRPr="009A7163">
        <w:rPr>
          <w:rFonts w:eastAsiaTheme="minorHAnsi"/>
        </w:rPr>
        <w:t>that</w:t>
      </w:r>
      <w:r w:rsidR="00EC4E46" w:rsidRPr="009A7163">
        <w:rPr>
          <w:rFonts w:eastAsiaTheme="minorHAnsi"/>
        </w:rPr>
        <w:t xml:space="preserve"> </w:t>
      </w:r>
      <w:r w:rsidR="006A0214" w:rsidRPr="009A7163">
        <w:rPr>
          <w:rFonts w:eastAsiaTheme="minorHAnsi"/>
        </w:rPr>
        <w:t xml:space="preserve">enabled </w:t>
      </w:r>
      <w:r w:rsidR="00EC4E46" w:rsidRPr="009A7163">
        <w:rPr>
          <w:rFonts w:eastAsiaTheme="minorHAnsi"/>
        </w:rPr>
        <w:t>participants to</w:t>
      </w:r>
      <w:r w:rsidR="006A0214" w:rsidRPr="009A7163">
        <w:rPr>
          <w:rFonts w:eastAsiaTheme="minorHAnsi"/>
        </w:rPr>
        <w:t xml:space="preserve"> become more conscious of</w:t>
      </w:r>
      <w:r w:rsidR="000F693F" w:rsidRPr="009A7163">
        <w:rPr>
          <w:rFonts w:eastAsiaTheme="minorHAnsi"/>
        </w:rPr>
        <w:t xml:space="preserve"> their daily routines</w:t>
      </w:r>
      <w:r w:rsidR="00815513" w:rsidRPr="009A7163">
        <w:rPr>
          <w:rFonts w:eastAsiaTheme="minorHAnsi"/>
        </w:rPr>
        <w:t>, divi</w:t>
      </w:r>
      <w:r w:rsidR="008A2324" w:rsidRPr="009A7163">
        <w:rPr>
          <w:rFonts w:eastAsiaTheme="minorHAnsi"/>
        </w:rPr>
        <w:t>si</w:t>
      </w:r>
      <w:r w:rsidR="00815513" w:rsidRPr="009A7163">
        <w:rPr>
          <w:rFonts w:eastAsiaTheme="minorHAnsi"/>
        </w:rPr>
        <w:t>ons of roles and time</w:t>
      </w:r>
      <w:r w:rsidR="006A0214" w:rsidRPr="009A7163">
        <w:rPr>
          <w:rFonts w:eastAsiaTheme="minorHAnsi"/>
        </w:rPr>
        <w:t xml:space="preserve"> and household dynamics</w:t>
      </w:r>
      <w:r w:rsidR="00EE633D" w:rsidRPr="009A7163">
        <w:rPr>
          <w:rFonts w:eastAsiaTheme="minorHAnsi"/>
        </w:rPr>
        <w:t>. Thus, the</w:t>
      </w:r>
      <w:r w:rsidR="00E83A88" w:rsidRPr="009A7163">
        <w:rPr>
          <w:bCs/>
        </w:rPr>
        <w:t xml:space="preserve"> practice of implementing the TUS and focus group </w:t>
      </w:r>
      <w:r w:rsidR="0029309C" w:rsidRPr="009A7163">
        <w:rPr>
          <w:bCs/>
        </w:rPr>
        <w:t>discussions</w:t>
      </w:r>
      <w:r w:rsidR="001A2D82" w:rsidRPr="009A7163">
        <w:rPr>
          <w:bCs/>
        </w:rPr>
        <w:t xml:space="preserve"> </w:t>
      </w:r>
      <w:r w:rsidR="00E83A88" w:rsidRPr="009A7163">
        <w:rPr>
          <w:bCs/>
        </w:rPr>
        <w:t xml:space="preserve">produced a process of reflection with the women participants </w:t>
      </w:r>
      <w:r w:rsidR="00EC4E46" w:rsidRPr="009A7163">
        <w:rPr>
          <w:bCs/>
        </w:rPr>
        <w:t>(this had not been included in the design and implementation of the pricing mechanism</w:t>
      </w:r>
      <w:r w:rsidR="003F0465" w:rsidRPr="009A7163">
        <w:rPr>
          <w:bCs/>
        </w:rPr>
        <w:t>,</w:t>
      </w:r>
      <w:r w:rsidR="00EC4E46" w:rsidRPr="009A7163">
        <w:rPr>
          <w:bCs/>
        </w:rPr>
        <w:t xml:space="preserve"> but </w:t>
      </w:r>
      <w:r w:rsidR="00815513" w:rsidRPr="009A7163">
        <w:rPr>
          <w:bCs/>
        </w:rPr>
        <w:t xml:space="preserve">my research </w:t>
      </w:r>
      <w:r w:rsidR="00EC4E46" w:rsidRPr="009A7163">
        <w:rPr>
          <w:bCs/>
        </w:rPr>
        <w:t xml:space="preserve">complemented </w:t>
      </w:r>
      <w:r w:rsidR="00815513" w:rsidRPr="009A7163">
        <w:rPr>
          <w:bCs/>
        </w:rPr>
        <w:t xml:space="preserve">the </w:t>
      </w:r>
      <w:r w:rsidR="006035D5" w:rsidRPr="009A7163">
        <w:rPr>
          <w:bCs/>
        </w:rPr>
        <w:t>implementation</w:t>
      </w:r>
      <w:r w:rsidR="00815513" w:rsidRPr="009A7163">
        <w:rPr>
          <w:bCs/>
        </w:rPr>
        <w:t xml:space="preserve"> of it</w:t>
      </w:r>
      <w:r w:rsidR="00EC4E46" w:rsidRPr="009A7163">
        <w:rPr>
          <w:bCs/>
        </w:rPr>
        <w:t>)</w:t>
      </w:r>
      <w:r w:rsidR="003F0465" w:rsidRPr="009A7163">
        <w:rPr>
          <w:bCs/>
        </w:rPr>
        <w:t>.</w:t>
      </w:r>
      <w:r w:rsidR="00EC4E46" w:rsidRPr="009A7163">
        <w:rPr>
          <w:bCs/>
        </w:rPr>
        <w:t xml:space="preserve"> </w:t>
      </w:r>
      <w:r w:rsidR="003F0465" w:rsidRPr="009A7163">
        <w:rPr>
          <w:bCs/>
        </w:rPr>
        <w:t>T</w:t>
      </w:r>
      <w:r w:rsidR="00EC4E46" w:rsidRPr="009A7163">
        <w:rPr>
          <w:bCs/>
        </w:rPr>
        <w:t>his conscious raising element</w:t>
      </w:r>
      <w:r w:rsidR="00E83A88" w:rsidRPr="009A7163">
        <w:rPr>
          <w:bCs/>
        </w:rPr>
        <w:t xml:space="preserve"> will be discussed in the chapters t</w:t>
      </w:r>
      <w:r w:rsidR="003F0465" w:rsidRPr="009A7163">
        <w:rPr>
          <w:bCs/>
        </w:rPr>
        <w:t>hat follow.</w:t>
      </w:r>
      <w:r w:rsidR="007E3297" w:rsidRPr="009A7163">
        <w:rPr>
          <w:rFonts w:eastAsiaTheme="minorHAnsi"/>
        </w:rPr>
        <w:t xml:space="preserve"> Expert interviews were </w:t>
      </w:r>
      <w:r w:rsidR="00E83A88" w:rsidRPr="009A7163">
        <w:rPr>
          <w:rFonts w:eastAsiaTheme="minorHAnsi"/>
        </w:rPr>
        <w:t xml:space="preserve">also </w:t>
      </w:r>
      <w:r w:rsidR="007E3297" w:rsidRPr="009A7163">
        <w:rPr>
          <w:rFonts w:eastAsiaTheme="minorHAnsi"/>
        </w:rPr>
        <w:t xml:space="preserve">carried out with cooperative </w:t>
      </w:r>
      <w:r w:rsidR="00D52A23" w:rsidRPr="009A7163">
        <w:rPr>
          <w:rFonts w:eastAsiaTheme="minorHAnsi"/>
        </w:rPr>
        <w:t>leaders, cooperative</w:t>
      </w:r>
      <w:r w:rsidR="003F0465" w:rsidRPr="009A7163">
        <w:rPr>
          <w:rFonts w:eastAsiaTheme="minorHAnsi"/>
        </w:rPr>
        <w:t xml:space="preserve"> employees</w:t>
      </w:r>
      <w:r w:rsidR="00D52A23" w:rsidRPr="009A7163">
        <w:rPr>
          <w:rFonts w:eastAsiaTheme="minorHAnsi"/>
        </w:rPr>
        <w:t xml:space="preserve">, </w:t>
      </w:r>
      <w:r w:rsidR="007E3297" w:rsidRPr="009A7163">
        <w:rPr>
          <w:rFonts w:eastAsiaTheme="minorHAnsi"/>
        </w:rPr>
        <w:t xml:space="preserve">buyers and a variety of key women from different </w:t>
      </w:r>
      <w:r w:rsidR="003F0465" w:rsidRPr="009A7163">
        <w:rPr>
          <w:rFonts w:eastAsiaTheme="minorHAnsi"/>
        </w:rPr>
        <w:t>Nicaraguan</w:t>
      </w:r>
      <w:r w:rsidR="007E3297" w:rsidRPr="009A7163">
        <w:rPr>
          <w:rFonts w:eastAsiaTheme="minorHAnsi"/>
        </w:rPr>
        <w:t xml:space="preserve"> feminist movements.</w:t>
      </w:r>
      <w:r w:rsidR="00DB6206" w:rsidRPr="009A7163">
        <w:rPr>
          <w:rFonts w:eastAsiaTheme="minorHAnsi"/>
        </w:rPr>
        <w:t xml:space="preserve"> </w:t>
      </w:r>
    </w:p>
    <w:p w14:paraId="27D6ED42" w14:textId="0F6BA3F1" w:rsidR="007F2991" w:rsidRPr="009A7163" w:rsidRDefault="00DB6206" w:rsidP="00AA0675">
      <w:pPr>
        <w:widowControl w:val="0"/>
        <w:autoSpaceDE w:val="0"/>
        <w:autoSpaceDN w:val="0"/>
        <w:adjustRightInd w:val="0"/>
        <w:spacing w:after="240" w:line="360" w:lineRule="auto"/>
        <w:ind w:firstLine="720"/>
        <w:jc w:val="both"/>
        <w:rPr>
          <w:shd w:val="clear" w:color="auto" w:fill="FFFFFF"/>
        </w:rPr>
      </w:pPr>
      <w:r w:rsidRPr="009A7163">
        <w:rPr>
          <w:shd w:val="clear" w:color="auto" w:fill="FFFFFF"/>
        </w:rPr>
        <w:t xml:space="preserve">The benefit of </w:t>
      </w:r>
      <w:r w:rsidR="00976C0C" w:rsidRPr="009A7163">
        <w:rPr>
          <w:shd w:val="clear" w:color="auto" w:fill="FFFFFF"/>
        </w:rPr>
        <w:t>fund</w:t>
      </w:r>
      <w:r w:rsidRPr="009A7163">
        <w:rPr>
          <w:shd w:val="clear" w:color="auto" w:fill="FFFFFF"/>
        </w:rPr>
        <w:t>ing</w:t>
      </w:r>
      <w:r w:rsidR="00976C0C" w:rsidRPr="009A7163">
        <w:rPr>
          <w:shd w:val="clear" w:color="auto" w:fill="FFFFFF"/>
        </w:rPr>
        <w:t xml:space="preserve"> under the CASE studentship with ESRC and BSI </w:t>
      </w:r>
      <w:r w:rsidRPr="009A7163">
        <w:rPr>
          <w:shd w:val="clear" w:color="auto" w:fill="FFFFFF"/>
        </w:rPr>
        <w:t>was that it made</w:t>
      </w:r>
      <w:r w:rsidR="00976C0C" w:rsidRPr="009A7163">
        <w:rPr>
          <w:shd w:val="clear" w:color="auto" w:fill="FFFFFF"/>
        </w:rPr>
        <w:t xml:space="preserve"> the process iterative and always focused on impact and its relevance for BSI and other companies looking to recognise and value women’s unpaid work. In this sense, it had elements of action research.</w:t>
      </w:r>
      <w:r w:rsidR="007B1183" w:rsidRPr="009A7163">
        <w:rPr>
          <w:shd w:val="clear" w:color="auto" w:fill="FFFFFF"/>
        </w:rPr>
        <w:t xml:space="preserve"> Furthermore, an agreement was made with BSI </w:t>
      </w:r>
      <w:r w:rsidR="003F0465" w:rsidRPr="009A7163">
        <w:rPr>
          <w:shd w:val="clear" w:color="auto" w:fill="FFFFFF"/>
        </w:rPr>
        <w:t>to</w:t>
      </w:r>
      <w:r w:rsidR="007B1183" w:rsidRPr="009A7163">
        <w:rPr>
          <w:shd w:val="clear" w:color="auto" w:fill="FFFFFF"/>
        </w:rPr>
        <w:t xml:space="preserve"> translate</w:t>
      </w:r>
      <w:r w:rsidR="003F0465" w:rsidRPr="009A7163">
        <w:rPr>
          <w:shd w:val="clear" w:color="auto" w:fill="FFFFFF"/>
        </w:rPr>
        <w:t xml:space="preserve"> the results of the research</w:t>
      </w:r>
      <w:r w:rsidR="007B1183" w:rsidRPr="009A7163">
        <w:rPr>
          <w:shd w:val="clear" w:color="auto" w:fill="FFFFFF"/>
        </w:rPr>
        <w:t xml:space="preserve"> into </w:t>
      </w:r>
      <w:r w:rsidR="00BA6789" w:rsidRPr="009A7163">
        <w:rPr>
          <w:shd w:val="clear" w:color="auto" w:fill="FFFFFF"/>
        </w:rPr>
        <w:t xml:space="preserve">relevant </w:t>
      </w:r>
      <w:r w:rsidR="007B1183" w:rsidRPr="009A7163">
        <w:rPr>
          <w:shd w:val="clear" w:color="auto" w:fill="FFFFFF"/>
        </w:rPr>
        <w:t>analysis and tools that can be used by the business sector.</w:t>
      </w:r>
      <w:r w:rsidR="00976C0C" w:rsidRPr="009A7163">
        <w:t xml:space="preserve"> </w:t>
      </w:r>
      <w:r w:rsidR="009F59E0" w:rsidRPr="009A7163">
        <w:rPr>
          <w:shd w:val="clear" w:color="auto" w:fill="FFFFFF"/>
        </w:rPr>
        <w:t>D</w:t>
      </w:r>
      <w:r w:rsidR="00976C0C" w:rsidRPr="009A7163">
        <w:rPr>
          <w:shd w:val="clear" w:color="auto" w:fill="FFFFFF"/>
        </w:rPr>
        <w:t>uring the period of my research</w:t>
      </w:r>
      <w:r w:rsidRPr="009A7163">
        <w:rPr>
          <w:shd w:val="clear" w:color="auto" w:fill="FFFFFF"/>
        </w:rPr>
        <w:t>,</w:t>
      </w:r>
      <w:r w:rsidR="00976C0C" w:rsidRPr="009A7163">
        <w:rPr>
          <w:shd w:val="clear" w:color="auto" w:fill="FFFFFF"/>
        </w:rPr>
        <w:t xml:space="preserve"> there has been an ever-growing wave of interest in women’s unpaid work</w:t>
      </w:r>
      <w:r w:rsidR="003F0465" w:rsidRPr="009A7163">
        <w:rPr>
          <w:shd w:val="clear" w:color="auto" w:fill="FFFFFF"/>
        </w:rPr>
        <w:t>,</w:t>
      </w:r>
      <w:r w:rsidR="00976C0C" w:rsidRPr="009A7163">
        <w:rPr>
          <w:shd w:val="clear" w:color="auto" w:fill="FFFFFF"/>
        </w:rPr>
        <w:t xml:space="preserve"> and I have been part of an emerging group of researchers examining Unpaid Care Work and WEE (</w:t>
      </w:r>
      <w:r w:rsidR="00A16E8E" w:rsidRPr="009A7163">
        <w:rPr>
          <w:shd w:val="clear" w:color="auto" w:fill="FFFFFF"/>
        </w:rPr>
        <w:t>s</w:t>
      </w:r>
      <w:r w:rsidR="002D7CA1" w:rsidRPr="009A7163">
        <w:rPr>
          <w:shd w:val="clear" w:color="auto" w:fill="FFFFFF"/>
        </w:rPr>
        <w:t>ee Maestre and Thorpe, 2016)</w:t>
      </w:r>
      <w:r w:rsidR="00A16E8E" w:rsidRPr="009A7163">
        <w:rPr>
          <w:shd w:val="clear" w:color="auto" w:fill="FFFFFF"/>
        </w:rPr>
        <w:t>.</w:t>
      </w:r>
      <w:r w:rsidR="002D7CA1" w:rsidRPr="009A7163">
        <w:rPr>
          <w:rStyle w:val="FootnoteReference"/>
          <w:shd w:val="clear" w:color="auto" w:fill="FFFFFF"/>
        </w:rPr>
        <w:footnoteReference w:id="29"/>
      </w:r>
      <w:r w:rsidRPr="009A7163">
        <w:rPr>
          <w:shd w:val="clear" w:color="auto" w:fill="FFFFFF"/>
        </w:rPr>
        <w:t xml:space="preserve"> This </w:t>
      </w:r>
      <w:r w:rsidR="00976C0C" w:rsidRPr="009A7163">
        <w:rPr>
          <w:shd w:val="clear" w:color="auto" w:fill="FFFFFF"/>
        </w:rPr>
        <w:t>BSI case study has generated a lot of interest</w:t>
      </w:r>
      <w:r w:rsidR="003F0465" w:rsidRPr="009A7163">
        <w:rPr>
          <w:shd w:val="clear" w:color="auto" w:fill="FFFFFF"/>
        </w:rPr>
        <w:t>.</w:t>
      </w:r>
      <w:r w:rsidRPr="009A7163">
        <w:rPr>
          <w:shd w:val="clear" w:color="auto" w:fill="FFFFFF"/>
        </w:rPr>
        <w:t xml:space="preserve"> </w:t>
      </w:r>
      <w:r w:rsidR="003F0465" w:rsidRPr="009A7163">
        <w:rPr>
          <w:shd w:val="clear" w:color="auto" w:fill="FFFFFF"/>
        </w:rPr>
        <w:t>T</w:t>
      </w:r>
      <w:r w:rsidRPr="009A7163">
        <w:rPr>
          <w:shd w:val="clear" w:color="auto" w:fill="FFFFFF"/>
        </w:rPr>
        <w:t>hus</w:t>
      </w:r>
      <w:r w:rsidR="003F0465" w:rsidRPr="009A7163">
        <w:rPr>
          <w:shd w:val="clear" w:color="auto" w:fill="FFFFFF"/>
        </w:rPr>
        <w:t>,</w:t>
      </w:r>
      <w:r w:rsidRPr="009A7163">
        <w:rPr>
          <w:shd w:val="clear" w:color="auto" w:fill="FFFFFF"/>
        </w:rPr>
        <w:t xml:space="preserve"> while I was conducting research, I attended a number of events, forums, conferences, online courses and working groups.</w:t>
      </w:r>
      <w:r w:rsidR="00976C0C" w:rsidRPr="009A7163">
        <w:rPr>
          <w:shd w:val="clear" w:color="auto" w:fill="FFFFFF"/>
        </w:rPr>
        <w:t xml:space="preserve"> The research and pricing model have placed </w:t>
      </w:r>
      <w:r w:rsidR="00E53461" w:rsidRPr="009A7163">
        <w:rPr>
          <w:shd w:val="clear" w:color="auto" w:fill="FFFFFF"/>
        </w:rPr>
        <w:t>UCW</w:t>
      </w:r>
      <w:r w:rsidR="00976C0C" w:rsidRPr="009A7163">
        <w:rPr>
          <w:shd w:val="clear" w:color="auto" w:fill="FFFFFF"/>
        </w:rPr>
        <w:t xml:space="preserve"> on the agenda not only locally</w:t>
      </w:r>
      <w:r w:rsidR="00E53461" w:rsidRPr="009A7163">
        <w:rPr>
          <w:shd w:val="clear" w:color="auto" w:fill="FFFFFF"/>
        </w:rPr>
        <w:t>,</w:t>
      </w:r>
      <w:r w:rsidR="00976C0C" w:rsidRPr="009A7163">
        <w:rPr>
          <w:shd w:val="clear" w:color="auto" w:fill="FFFFFF"/>
        </w:rPr>
        <w:t xml:space="preserve"> but internationally. Lastly</w:t>
      </w:r>
      <w:r w:rsidRPr="009A7163">
        <w:rPr>
          <w:shd w:val="clear" w:color="auto" w:fill="FFFFFF"/>
        </w:rPr>
        <w:t>,</w:t>
      </w:r>
      <w:r w:rsidR="00976C0C" w:rsidRPr="009A7163">
        <w:rPr>
          <w:shd w:val="clear" w:color="auto" w:fill="FFFFFF"/>
        </w:rPr>
        <w:t xml:space="preserve"> the research benefitted from </w:t>
      </w:r>
      <w:r w:rsidR="003F0465" w:rsidRPr="009A7163">
        <w:rPr>
          <w:shd w:val="clear" w:color="auto" w:fill="FFFFFF"/>
        </w:rPr>
        <w:t xml:space="preserve">both my linguistic </w:t>
      </w:r>
      <w:r w:rsidR="00976C0C" w:rsidRPr="009A7163">
        <w:rPr>
          <w:shd w:val="clear" w:color="auto" w:fill="FFFFFF"/>
        </w:rPr>
        <w:t>expertise</w:t>
      </w:r>
      <w:r w:rsidR="003F0465" w:rsidRPr="009A7163">
        <w:rPr>
          <w:shd w:val="clear" w:color="auto" w:fill="FFFFFF"/>
        </w:rPr>
        <w:t xml:space="preserve">, as well as my </w:t>
      </w:r>
      <w:r w:rsidR="00976C0C" w:rsidRPr="009A7163">
        <w:rPr>
          <w:shd w:val="clear" w:color="auto" w:fill="FFFFFF"/>
        </w:rPr>
        <w:t xml:space="preserve">experience in the environment outlined </w:t>
      </w:r>
      <w:r w:rsidR="00380F1F" w:rsidRPr="009A7163">
        <w:rPr>
          <w:shd w:val="clear" w:color="auto" w:fill="FFFFFF"/>
        </w:rPr>
        <w:t>above</w:t>
      </w:r>
      <w:r w:rsidR="007F2991" w:rsidRPr="009A7163">
        <w:rPr>
          <w:shd w:val="clear" w:color="auto" w:fill="FFFFFF"/>
        </w:rPr>
        <w:t>.</w:t>
      </w:r>
    </w:p>
    <w:p w14:paraId="78D95057" w14:textId="4C35F7D6" w:rsidR="00237889" w:rsidRPr="009A7163" w:rsidRDefault="002579C3" w:rsidP="006F2FAF">
      <w:pPr>
        <w:pStyle w:val="Heading2"/>
      </w:pPr>
      <w:bookmarkStart w:id="15" w:name="_Toc526819251"/>
      <w:r>
        <w:rPr>
          <w:shd w:val="clear" w:color="auto" w:fill="FFFFFF"/>
          <w:lang w:val="en-GB"/>
        </w:rPr>
        <w:t>1.9</w:t>
      </w:r>
      <w:r w:rsidR="006E4E01" w:rsidRPr="009A7163">
        <w:rPr>
          <w:shd w:val="clear" w:color="auto" w:fill="FFFFFF"/>
          <w:lang w:val="en-GB"/>
        </w:rPr>
        <w:t xml:space="preserve">  </w:t>
      </w:r>
      <w:r w:rsidR="00FB6530" w:rsidRPr="009A7163">
        <w:rPr>
          <w:shd w:val="clear" w:color="auto" w:fill="FFFFFF"/>
          <w:lang w:val="en-GB"/>
        </w:rPr>
        <w:t>Research</w:t>
      </w:r>
      <w:r w:rsidR="00821A53" w:rsidRPr="009A7163">
        <w:t xml:space="preserve"> </w:t>
      </w:r>
      <w:r w:rsidR="00DB6206" w:rsidRPr="009A7163">
        <w:t>S</w:t>
      </w:r>
      <w:r w:rsidR="00821A53" w:rsidRPr="009A7163">
        <w:t>i</w:t>
      </w:r>
      <w:r w:rsidR="00237889" w:rsidRPr="009A7163">
        <w:t>te</w:t>
      </w:r>
      <w:bookmarkEnd w:id="15"/>
    </w:p>
    <w:p w14:paraId="6C327D21" w14:textId="2F7CFC7D" w:rsidR="0018113B" w:rsidRPr="009A7163" w:rsidRDefault="0018113B" w:rsidP="00E35FFE">
      <w:pPr>
        <w:spacing w:line="360" w:lineRule="auto"/>
        <w:ind w:firstLine="720"/>
        <w:jc w:val="both"/>
      </w:pPr>
      <w:r w:rsidRPr="009A7163">
        <w:t>While the primary reason that Nicaragua was selected for this study was because it is home to the initiative, there are several other compelling reasons why Nicaragua is an ideal place to study unpaid work, FT and women’s empowerment. As a major producer of FT coffee and as a country where 24.9% of the population is estimated to live in poverty and 6.4% in extreme poverty (INIDE, 2016)</w:t>
      </w:r>
      <w:r w:rsidR="00380F1F" w:rsidRPr="009A7163">
        <w:t>,</w:t>
      </w:r>
      <w:r w:rsidRPr="009A7163">
        <w:rPr>
          <w:rStyle w:val="FootnoteReference"/>
        </w:rPr>
        <w:footnoteReference w:id="30"/>
      </w:r>
      <w:r w:rsidR="00380F1F" w:rsidRPr="009A7163">
        <w:t xml:space="preserve"> </w:t>
      </w:r>
      <w:r w:rsidRPr="009A7163">
        <w:t xml:space="preserve">FT has been seen as a </w:t>
      </w:r>
      <w:r w:rsidRPr="009A7163">
        <w:lastRenderedPageBreak/>
        <w:t xml:space="preserve">strategy to support disadvantaged cooperatives and farmers as well as foster gender equality. FT certification has operated since its inception as a formal certification system in the mid-1990s (Levi and Linton, 2003, pp. 415–16) and the ties between the Nicaraguan cooperatives, which have their roots in the Nicaraguan Revolution (1979–1990), and the FT movement are particularly strong. It was estimated, for example, </w:t>
      </w:r>
      <w:r w:rsidR="001A5414" w:rsidRPr="009A7163">
        <w:t>‘</w:t>
      </w:r>
      <w:r w:rsidRPr="009A7163">
        <w:t>in 20</w:t>
      </w:r>
      <w:r w:rsidR="006443EA" w:rsidRPr="009A7163">
        <w:t>06</w:t>
      </w:r>
      <w:r w:rsidRPr="009A7163">
        <w:t>, more than 15% of the coffee farmers in Nicaragua were connected to FLO-certified farms</w:t>
      </w:r>
      <w:r w:rsidR="001A5414" w:rsidRPr="009A7163">
        <w:t>’</w:t>
      </w:r>
      <w:r w:rsidRPr="009A7163">
        <w:t xml:space="preserve"> (Bacon, 2010, p. 57).</w:t>
      </w:r>
      <w:r w:rsidR="006443EA" w:rsidRPr="009A7163">
        <w:t xml:space="preserve"> Nicaragua continues to be a lead country in FT volumes and sales</w:t>
      </w:r>
      <w:r w:rsidR="0092375B" w:rsidRPr="009A7163">
        <w:t>.</w:t>
      </w:r>
      <w:r w:rsidR="00380F1F" w:rsidRPr="009A7163">
        <w:rPr>
          <w:rStyle w:val="FootnoteReference"/>
        </w:rPr>
        <w:footnoteReference w:id="31"/>
      </w:r>
      <w:r w:rsidR="00E25995" w:rsidRPr="009A7163">
        <w:t xml:space="preserve"> </w:t>
      </w:r>
      <w:r w:rsidRPr="009A7163">
        <w:t>The rapid growth of FT cooperatives is attributed to the Sandinista government-led agrarian reforms implemented during the Revolution that reshaped landownership patterns and raised political consciousness in Nicaragua (Bacon, 2010, p. 53). The majority of FT cooperatives have dynamic, socially-motivated leaders who are practiced in effecting change. In particular the three leading FT cooperatives have female managers who are nationally and internationally recogn</w:t>
      </w:r>
      <w:r w:rsidR="00793320" w:rsidRPr="009A7163">
        <w:t>ise</w:t>
      </w:r>
      <w:r w:rsidRPr="009A7163">
        <w:t>d leaders in FT (Bacon, 2008)</w:t>
      </w:r>
      <w:r w:rsidR="00380F1F" w:rsidRPr="009A7163">
        <w:t>,</w:t>
      </w:r>
      <w:r w:rsidRPr="009A7163">
        <w:t xml:space="preserve"> and </w:t>
      </w:r>
      <w:r w:rsidR="00380F1F" w:rsidRPr="009A7163">
        <w:t xml:space="preserve">they </w:t>
      </w:r>
      <w:r w:rsidRPr="009A7163">
        <w:t>have led innovative initiatives to promote women’s participation in cooperatives and increase women’s access to productive resources (IMC, 2009).</w:t>
      </w:r>
    </w:p>
    <w:p w14:paraId="67F7569E" w14:textId="63411E96" w:rsidR="0018113B" w:rsidRPr="009A7163" w:rsidRDefault="0018113B" w:rsidP="00AA0675">
      <w:pPr>
        <w:pStyle w:val="NormalWeb"/>
        <w:spacing w:before="0" w:beforeAutospacing="0" w:after="240" w:afterAutospacing="0" w:line="360" w:lineRule="auto"/>
        <w:ind w:firstLine="720"/>
        <w:jc w:val="both"/>
      </w:pPr>
      <w:r w:rsidRPr="009A7163">
        <w:t>Yet despite strong female leadership in the cooperatives and initiatives to strengthen gender inequality, persistent inequalities remain. This is attributed to a broad range of factors, including uneven gender relationships and unequal compensation for women’s work (Bacon, 2008); women’s burdens of domestic and care giving work limits participation (Hanson el al</w:t>
      </w:r>
      <w:r w:rsidR="00380F1F" w:rsidRPr="009A7163">
        <w:t>.</w:t>
      </w:r>
      <w:r w:rsidRPr="009A7163">
        <w:t>, 2012, p.</w:t>
      </w:r>
      <w:r w:rsidR="00380F1F" w:rsidRPr="009A7163">
        <w:t xml:space="preserve"> </w:t>
      </w:r>
      <w:r w:rsidRPr="009A7163">
        <w:t>171)</w:t>
      </w:r>
      <w:r w:rsidR="00380F1F" w:rsidRPr="009A7163">
        <w:t>;</w:t>
      </w:r>
      <w:r w:rsidRPr="009A7163">
        <w:t xml:space="preserve"> limited access to land and productive resources (Ruppell, 2013</w:t>
      </w:r>
      <w:r w:rsidR="00380F1F" w:rsidRPr="009A7163">
        <w:t>,</w:t>
      </w:r>
      <w:r w:rsidRPr="009A7163">
        <w:t xml:space="preserve"> p.</w:t>
      </w:r>
      <w:r w:rsidR="00380F1F" w:rsidRPr="009A7163">
        <w:t xml:space="preserve"> </w:t>
      </w:r>
      <w:r w:rsidRPr="009A7163">
        <w:t>40; Hanson el al</w:t>
      </w:r>
      <w:r w:rsidR="00380F1F" w:rsidRPr="009A7163">
        <w:t>.</w:t>
      </w:r>
      <w:r w:rsidRPr="009A7163">
        <w:t>, 2012</w:t>
      </w:r>
      <w:r w:rsidR="00380F1F" w:rsidRPr="009A7163">
        <w:t>;</w:t>
      </w:r>
      <w:r w:rsidRPr="009A7163">
        <w:t xml:space="preserve"> Wing-sea-Lung, 2011); limited participation in decision making in cooperatives and sense of ownership (</w:t>
      </w:r>
      <w:r w:rsidR="002D7CA1" w:rsidRPr="009A7163">
        <w:t>C</w:t>
      </w:r>
      <w:r w:rsidRPr="009A7163">
        <w:t>ecile van haut</w:t>
      </w:r>
      <w:r w:rsidR="002D7CA1" w:rsidRPr="009A7163">
        <w:t>, 2015</w:t>
      </w:r>
      <w:r w:rsidRPr="009A7163">
        <w:t>)</w:t>
      </w:r>
      <w:r w:rsidR="003F0465" w:rsidRPr="009A7163">
        <w:t>; a</w:t>
      </w:r>
      <w:r w:rsidRPr="009A7163">
        <w:t xml:space="preserve"> lack of enabling and safe spaces (Hanson et al</w:t>
      </w:r>
      <w:r w:rsidR="00380F1F" w:rsidRPr="009A7163">
        <w:t>.</w:t>
      </w:r>
      <w:r w:rsidRPr="009A7163">
        <w:t>, 2012, p.</w:t>
      </w:r>
      <w:r w:rsidR="00380F1F" w:rsidRPr="009A7163">
        <w:t xml:space="preserve"> </w:t>
      </w:r>
      <w:r w:rsidRPr="009A7163">
        <w:t xml:space="preserve">174); no clear definition of gender equity at different organizational levels and a lack of gender </w:t>
      </w:r>
      <w:r w:rsidRPr="009A7163">
        <w:lastRenderedPageBreak/>
        <w:t>mainstreaming at cooperative level (Hanson et al., 2012, p.</w:t>
      </w:r>
      <w:r w:rsidR="00770F86" w:rsidRPr="009A7163">
        <w:t xml:space="preserve"> </w:t>
      </w:r>
      <w:r w:rsidRPr="009A7163">
        <w:t>172)</w:t>
      </w:r>
      <w:r w:rsidR="00770F86" w:rsidRPr="009A7163">
        <w:t>;</w:t>
      </w:r>
      <w:r w:rsidRPr="009A7163">
        <w:t xml:space="preserve"> and traditional cultural factors (Utting, 2005) and norms that leave intact traditional gender dynamics that are male-centred and </w:t>
      </w:r>
      <w:r w:rsidRPr="009A7163">
        <w:rPr>
          <w:i/>
        </w:rPr>
        <w:t>machista</w:t>
      </w:r>
      <w:r w:rsidRPr="009A7163">
        <w:t xml:space="preserve"> (male chauvinist).</w:t>
      </w:r>
      <w:r w:rsidRPr="009A7163">
        <w:rPr>
          <w:rFonts w:ascii="AdvPS6F00" w:hAnsi="AdvPS6F00" w:cstheme="minorBidi"/>
          <w:sz w:val="20"/>
          <w:szCs w:val="20"/>
          <w:lang w:eastAsia="en-US"/>
        </w:rPr>
        <w:t xml:space="preserve"> </w:t>
      </w:r>
      <w:r w:rsidRPr="009A7163">
        <w:t xml:space="preserve">These are exacerbated by high rates of male alcoholism (Bacon, 2008). The increasing number of women-only FT coffee organizations in Nicaragua, such as </w:t>
      </w:r>
      <w:r w:rsidRPr="009A7163">
        <w:rPr>
          <w:iCs/>
        </w:rPr>
        <w:t>Las Hermanas</w:t>
      </w:r>
      <w:r w:rsidRPr="009A7163">
        <w:rPr>
          <w:i/>
          <w:iCs/>
        </w:rPr>
        <w:t xml:space="preserve"> </w:t>
      </w:r>
      <w:r w:rsidRPr="009A7163">
        <w:rPr>
          <w:iCs/>
        </w:rPr>
        <w:t xml:space="preserve">(The Sisters) </w:t>
      </w:r>
      <w:r w:rsidRPr="009A7163">
        <w:t xml:space="preserve">and </w:t>
      </w:r>
      <w:r w:rsidRPr="009A7163">
        <w:rPr>
          <w:iCs/>
        </w:rPr>
        <w:t>Fundación Entre Mujeres</w:t>
      </w:r>
      <w:r w:rsidRPr="009A7163">
        <w:rPr>
          <w:i/>
          <w:iCs/>
        </w:rPr>
        <w:t xml:space="preserve"> </w:t>
      </w:r>
      <w:r w:rsidRPr="009A7163">
        <w:rPr>
          <w:iCs/>
        </w:rPr>
        <w:t>(Foundation Between Women</w:t>
      </w:r>
      <w:r w:rsidR="006E20AF" w:rsidRPr="009A7163">
        <w:rPr>
          <w:iCs/>
        </w:rPr>
        <w:t>, or FEM</w:t>
      </w:r>
      <w:r w:rsidRPr="009A7163">
        <w:rPr>
          <w:iCs/>
        </w:rPr>
        <w:t xml:space="preserve">), </w:t>
      </w:r>
      <w:r w:rsidRPr="009A7163">
        <w:t xml:space="preserve">is a trend that suggests the present FT system is not adequately protecting and promoting gender equity within the cooperatives (Wing-sea Lung, 2011, p. 19). </w:t>
      </w:r>
      <w:r w:rsidR="00770F86" w:rsidRPr="009A7163">
        <w:t>As Wing-sea Lung (2011) point</w:t>
      </w:r>
      <w:r w:rsidR="00E53461" w:rsidRPr="009A7163">
        <w:t>s</w:t>
      </w:r>
      <w:r w:rsidR="00770F86" w:rsidRPr="009A7163">
        <w:t xml:space="preserve"> out, a</w:t>
      </w:r>
      <w:r w:rsidRPr="009A7163">
        <w:t xml:space="preserve">lthough </w:t>
      </w:r>
      <w:r w:rsidR="001A5414" w:rsidRPr="009A7163">
        <w:t>‘</w:t>
      </w:r>
      <w:r w:rsidRPr="009A7163">
        <w:t>greater efforts have been taken to reduce gender discrimination within the Nicaraguan coffee trade than in the rest of Latin America, gender equity remains one of the foremost issues to be addressed by cooperatives across Nicaragua</w:t>
      </w:r>
      <w:r w:rsidR="001A5414" w:rsidRPr="009A7163">
        <w:t>’</w:t>
      </w:r>
      <w:r w:rsidRPr="009A7163">
        <w:t xml:space="preserve"> </w:t>
      </w:r>
      <w:r w:rsidR="003F0465" w:rsidRPr="009A7163">
        <w:t>(</w:t>
      </w:r>
      <w:r w:rsidRPr="009A7163">
        <w:t xml:space="preserve">p. 112). Thus, in sum, Nicaragua is unique case. Its historical ties to FT are deep, yet it exhibits a certain paradox: </w:t>
      </w:r>
      <w:r w:rsidR="003F0465" w:rsidRPr="009A7163">
        <w:t>D</w:t>
      </w:r>
      <w:r w:rsidRPr="009A7163">
        <w:t xml:space="preserve">espite the fact that women have strong leadership roles in FT cooperatives and have implemented initiatives to foster gender equality among producers, these efforts have not been able to successfully reverse entrenched cultural norms that maintain traditional gender norms that privilege men vis-à-vis women. </w:t>
      </w:r>
    </w:p>
    <w:p w14:paraId="6631AECC" w14:textId="34571F08" w:rsidR="000E70C7" w:rsidRPr="009A7163" w:rsidRDefault="002579C3" w:rsidP="006F2FAF">
      <w:pPr>
        <w:pStyle w:val="Heading2"/>
        <w:rPr>
          <w:shd w:val="clear" w:color="auto" w:fill="FFFFFF"/>
        </w:rPr>
      </w:pPr>
      <w:bookmarkStart w:id="16" w:name="_Toc526819252"/>
      <w:r>
        <w:rPr>
          <w:shd w:val="clear" w:color="auto" w:fill="FFFFFF"/>
        </w:rPr>
        <w:t>1.10</w:t>
      </w:r>
      <w:r w:rsidR="006E4E01" w:rsidRPr="009A7163">
        <w:rPr>
          <w:shd w:val="clear" w:color="auto" w:fill="FFFFFF"/>
        </w:rPr>
        <w:t xml:space="preserve">  </w:t>
      </w:r>
      <w:r w:rsidR="000E70C7" w:rsidRPr="009A7163">
        <w:rPr>
          <w:shd w:val="clear" w:color="auto" w:fill="FFFFFF"/>
        </w:rPr>
        <w:t>Chapter Overview</w:t>
      </w:r>
      <w:bookmarkEnd w:id="16"/>
    </w:p>
    <w:p w14:paraId="1B0BA792" w14:textId="543F47E4" w:rsidR="000E70C7" w:rsidRPr="009A7163" w:rsidRDefault="000E70C7">
      <w:pPr>
        <w:spacing w:line="360" w:lineRule="auto"/>
        <w:jc w:val="both"/>
      </w:pPr>
      <w:r w:rsidRPr="009A7163">
        <w:tab/>
        <w:t xml:space="preserve">Following this introductory chapter, </w:t>
      </w:r>
      <w:r w:rsidR="00B44AC2" w:rsidRPr="009A7163">
        <w:t>Chapter Two</w:t>
      </w:r>
      <w:r w:rsidRPr="009A7163">
        <w:t xml:space="preserve"> provides </w:t>
      </w:r>
      <w:r w:rsidR="005453FA" w:rsidRPr="009A7163">
        <w:t>the theoretical underpinnings of the study.</w:t>
      </w:r>
      <w:r w:rsidR="00E45C64" w:rsidRPr="009A7163">
        <w:t xml:space="preserve"> The chapter will </w:t>
      </w:r>
      <w:r w:rsidR="0000765E" w:rsidRPr="009A7163">
        <w:t>provide an overview o</w:t>
      </w:r>
      <w:r w:rsidR="00770F86" w:rsidRPr="009A7163">
        <w:t>f</w:t>
      </w:r>
      <w:r w:rsidR="0000765E" w:rsidRPr="009A7163">
        <w:t xml:space="preserve"> the literature on </w:t>
      </w:r>
      <w:r w:rsidR="00E53461" w:rsidRPr="009A7163">
        <w:t>UCW</w:t>
      </w:r>
      <w:r w:rsidR="0000765E" w:rsidRPr="009A7163">
        <w:t>, empowerment</w:t>
      </w:r>
      <w:r w:rsidR="00770F86" w:rsidRPr="009A7163">
        <w:t xml:space="preserve"> and WEE,</w:t>
      </w:r>
      <w:r w:rsidR="0000765E" w:rsidRPr="009A7163">
        <w:t xml:space="preserve"> social norms</w:t>
      </w:r>
      <w:r w:rsidR="00A16E8E" w:rsidRPr="009A7163">
        <w:t>,</w:t>
      </w:r>
      <w:r w:rsidR="0000765E" w:rsidRPr="009A7163">
        <w:t xml:space="preserve"> and FT and gender. </w:t>
      </w:r>
    </w:p>
    <w:p w14:paraId="0A752178" w14:textId="45267F4C" w:rsidR="000E70C7" w:rsidRPr="009A7163" w:rsidRDefault="00B44AC2" w:rsidP="00B17488">
      <w:pPr>
        <w:spacing w:line="360" w:lineRule="auto"/>
        <w:ind w:firstLine="720"/>
        <w:jc w:val="both"/>
      </w:pPr>
      <w:r w:rsidRPr="009A7163">
        <w:t>Chapter Three</w:t>
      </w:r>
      <w:r w:rsidR="000E70C7" w:rsidRPr="009A7163">
        <w:t xml:space="preserve"> presents the method of the study. Beginning with a discussion of a mixed-methods feminist approach and the principles that guided my study, the chapter continues with an overview of the research design. </w:t>
      </w:r>
      <w:r w:rsidR="00380F1F" w:rsidRPr="009A7163">
        <w:t>This is followed by</w:t>
      </w:r>
      <w:r w:rsidR="000E70C7" w:rsidRPr="009A7163">
        <w:t xml:space="preserve"> a description of the pilot study </w:t>
      </w:r>
      <w:r w:rsidR="00380F1F" w:rsidRPr="009A7163">
        <w:t>and</w:t>
      </w:r>
      <w:r w:rsidR="000E70C7" w:rsidRPr="009A7163">
        <w:t xml:space="preserve"> the methods of data collection and analysis in detail. The chapter then </w:t>
      </w:r>
      <w:r w:rsidR="00770F86" w:rsidRPr="009A7163">
        <w:t xml:space="preserve">discusses </w:t>
      </w:r>
      <w:r w:rsidR="000E70C7" w:rsidRPr="009A7163">
        <w:t xml:space="preserve">ethical considerations and issues of trustworthiness before closing with the limitations of the study and </w:t>
      </w:r>
      <w:r w:rsidR="00380F1F" w:rsidRPr="009A7163">
        <w:t xml:space="preserve">the </w:t>
      </w:r>
      <w:r w:rsidR="000E70C7" w:rsidRPr="009A7163">
        <w:t xml:space="preserve">attempts </w:t>
      </w:r>
      <w:r w:rsidR="00380F1F" w:rsidRPr="009A7163">
        <w:t xml:space="preserve">made </w:t>
      </w:r>
      <w:r w:rsidR="000E70C7" w:rsidRPr="009A7163">
        <w:t>to mitigate these.</w:t>
      </w:r>
    </w:p>
    <w:p w14:paraId="6FA76E2A" w14:textId="70EE713B" w:rsidR="00386E55" w:rsidRPr="009A7163" w:rsidRDefault="00B44AC2">
      <w:pPr>
        <w:spacing w:line="360" w:lineRule="auto"/>
        <w:ind w:firstLine="720"/>
        <w:jc w:val="both"/>
      </w:pPr>
      <w:r w:rsidRPr="009A7163">
        <w:t>Chapter Four</w:t>
      </w:r>
      <w:r w:rsidR="00386E55" w:rsidRPr="009A7163">
        <w:t xml:space="preserve"> provides </w:t>
      </w:r>
      <w:r w:rsidR="007F115D" w:rsidRPr="009A7163">
        <w:t>contextual framing of this thesis a</w:t>
      </w:r>
      <w:r w:rsidR="00770F86" w:rsidRPr="009A7163">
        <w:t xml:space="preserve">nd provides </w:t>
      </w:r>
      <w:r w:rsidR="007F115D" w:rsidRPr="009A7163">
        <w:t>details about the case studies</w:t>
      </w:r>
      <w:r w:rsidR="00386E55" w:rsidRPr="009A7163">
        <w:t xml:space="preserve">. The chapter begins by introducing the reader to </w:t>
      </w:r>
      <w:r w:rsidR="007F115D" w:rsidRPr="009A7163">
        <w:t xml:space="preserve">gender and development </w:t>
      </w:r>
      <w:r w:rsidR="00744435" w:rsidRPr="009A7163">
        <w:t xml:space="preserve">in </w:t>
      </w:r>
      <w:r w:rsidR="00386E55" w:rsidRPr="009A7163">
        <w:t xml:space="preserve">Nicaragua and </w:t>
      </w:r>
      <w:r w:rsidR="000974D4" w:rsidRPr="009A7163">
        <w:t>then goes on to present the case studies and the crop related to the case study</w:t>
      </w:r>
      <w:r w:rsidR="00386E55" w:rsidRPr="009A7163">
        <w:t xml:space="preserve">. Each case study explored in this thesis (sesame and coffee) is presented and discussed as well as the cooperatives and key buyers related to each case study. The chapter ends by providing information on how the pricing scheme works for </w:t>
      </w:r>
      <w:r w:rsidR="00380F1F" w:rsidRPr="009A7163">
        <w:t xml:space="preserve">the </w:t>
      </w:r>
      <w:r w:rsidR="00386E55" w:rsidRPr="009A7163">
        <w:t>cooperative in each of the case studies.</w:t>
      </w:r>
    </w:p>
    <w:p w14:paraId="26CEFA4C" w14:textId="45FF7BF6" w:rsidR="00A16E8E" w:rsidRPr="009A7163" w:rsidRDefault="000E70C7">
      <w:pPr>
        <w:spacing w:line="360" w:lineRule="auto"/>
        <w:ind w:firstLine="720"/>
        <w:jc w:val="both"/>
      </w:pPr>
      <w:r w:rsidRPr="009A7163">
        <w:lastRenderedPageBreak/>
        <w:t xml:space="preserve">Chapters </w:t>
      </w:r>
      <w:r w:rsidR="00E53461" w:rsidRPr="009A7163">
        <w:t>Five, Six, Seven, and Eight</w:t>
      </w:r>
      <w:r w:rsidRPr="009A7163">
        <w:t xml:space="preserve"> present the data collected in the study and a discussion of the findings. </w:t>
      </w:r>
      <w:r w:rsidR="00B44AC2" w:rsidRPr="009A7163">
        <w:t>Chapter Five</w:t>
      </w:r>
      <w:r w:rsidRPr="009A7163">
        <w:t xml:space="preserve"> is a detailed discussion that explore</w:t>
      </w:r>
      <w:r w:rsidR="00386E55" w:rsidRPr="009A7163">
        <w:t>s</w:t>
      </w:r>
      <w:r w:rsidRPr="009A7163">
        <w:t xml:space="preserve"> how women’s unpaid work can be defined, measured</w:t>
      </w:r>
      <w:r w:rsidR="00386E55" w:rsidRPr="009A7163">
        <w:t>,</w:t>
      </w:r>
      <w:r w:rsidRPr="009A7163">
        <w:t xml:space="preserve"> and priced. </w:t>
      </w:r>
      <w:r w:rsidR="00B44AC2" w:rsidRPr="009A7163">
        <w:t>Chapter Six</w:t>
      </w:r>
      <w:r w:rsidRPr="009A7163">
        <w:t xml:space="preserve"> discusses the family distribution of paid and unpaid labour and time use in and among sesame and coffee farmers</w:t>
      </w:r>
      <w:r w:rsidR="00386E55" w:rsidRPr="009A7163">
        <w:t xml:space="preserve"> as per collected data.</w:t>
      </w:r>
      <w:r w:rsidRPr="009A7163">
        <w:t xml:space="preserve"> </w:t>
      </w:r>
      <w:r w:rsidR="00B44AC2" w:rsidRPr="009A7163">
        <w:t>Chapter Seven</w:t>
      </w:r>
      <w:r w:rsidRPr="009A7163">
        <w:t xml:space="preserve"> looks at which factors</w:t>
      </w:r>
      <w:r w:rsidR="00386E55" w:rsidRPr="009A7163">
        <w:t xml:space="preserve"> influence the time use of the families that participated in the study</w:t>
      </w:r>
      <w:r w:rsidR="00380F1F" w:rsidRPr="009A7163">
        <w:t>, particularly</w:t>
      </w:r>
      <w:r w:rsidRPr="009A7163">
        <w:t xml:space="preserve"> how social norms define time use, </w:t>
      </w:r>
      <w:r w:rsidR="003F0465" w:rsidRPr="009A7163">
        <w:t xml:space="preserve">the </w:t>
      </w:r>
      <w:r w:rsidRPr="009A7163">
        <w:t>distribution of paid and unpaid labour, gender roles</w:t>
      </w:r>
      <w:r w:rsidR="00380F1F" w:rsidRPr="009A7163">
        <w:t>,</w:t>
      </w:r>
      <w:r w:rsidRPr="009A7163">
        <w:t xml:space="preserve"> and empowerment in and among coffee and sesame producers who participated in the study. </w:t>
      </w:r>
      <w:r w:rsidR="00B44AC2" w:rsidRPr="009A7163">
        <w:t>Chapter Eight</w:t>
      </w:r>
      <w:r w:rsidRPr="009A7163">
        <w:t xml:space="preserve"> presents the stud</w:t>
      </w:r>
      <w:r w:rsidR="00734E18" w:rsidRPr="009A7163">
        <w:t>y’s definition of empowerment</w:t>
      </w:r>
      <w:r w:rsidR="00380F1F" w:rsidRPr="009A7163">
        <w:t>.</w:t>
      </w:r>
      <w:r w:rsidRPr="009A7163">
        <w:t xml:space="preserve"> </w:t>
      </w:r>
      <w:r w:rsidR="00380F1F" w:rsidRPr="009A7163">
        <w:t>I</w:t>
      </w:r>
      <w:r w:rsidRPr="009A7163">
        <w:t>t then goes on briefly describe the goals of the initiative in each case study in relation to empowerment. This is followed by a discussion of whether the goals were met and by a presentation of fieldwork data showing examples of where the goals have been met and then the issues and contentions in the implementation of the initiative vis-à-vis the wider goals of achieving empowerment.</w:t>
      </w:r>
    </w:p>
    <w:p w14:paraId="3E49843F" w14:textId="35CEAFC3" w:rsidR="006E20AF" w:rsidRPr="009A7163" w:rsidRDefault="000E70C7" w:rsidP="006F2FAF">
      <w:pPr>
        <w:spacing w:line="360" w:lineRule="auto"/>
        <w:ind w:firstLine="720"/>
        <w:jc w:val="both"/>
        <w:sectPr w:rsidR="006E20AF" w:rsidRPr="009A7163" w:rsidSect="00CB5642">
          <w:pgSz w:w="11900" w:h="16840"/>
          <w:pgMar w:top="1440" w:right="1440" w:bottom="1440" w:left="2160" w:header="720" w:footer="720" w:gutter="0"/>
          <w:cols w:space="720"/>
          <w:docGrid w:linePitch="360"/>
        </w:sectPr>
      </w:pPr>
      <w:r w:rsidRPr="009A7163">
        <w:t xml:space="preserve">Finally, </w:t>
      </w:r>
      <w:r w:rsidR="00B44AC2" w:rsidRPr="009A7163">
        <w:t>Chapter Nine</w:t>
      </w:r>
      <w:r w:rsidRPr="009A7163">
        <w:t xml:space="preserve"> details </w:t>
      </w:r>
      <w:r w:rsidR="00386E55" w:rsidRPr="009A7163">
        <w:t xml:space="preserve">the </w:t>
      </w:r>
      <w:r w:rsidRPr="009A7163">
        <w:t xml:space="preserve">conclusions </w:t>
      </w:r>
      <w:r w:rsidR="00386E55" w:rsidRPr="009A7163">
        <w:t xml:space="preserve">of </w:t>
      </w:r>
      <w:r w:rsidRPr="009A7163">
        <w:t xml:space="preserve">this study, which follow the research questions and their </w:t>
      </w:r>
      <w:r w:rsidR="00380F1F" w:rsidRPr="009A7163">
        <w:t xml:space="preserve">respective </w:t>
      </w:r>
      <w:r w:rsidRPr="009A7163">
        <w:t xml:space="preserve">chapters in this thesis </w:t>
      </w:r>
      <w:r w:rsidR="00E53461" w:rsidRPr="009A7163">
        <w:t>(explored in Chapter Five through Eight)</w:t>
      </w:r>
      <w:r w:rsidRPr="009A7163">
        <w:t>. It presents four overarching key messages, conclusions and recommendations. This discussion is followed by a final reflection on the study. It closes with several recommendations for areas of future research and policy recommendations for buyers and pricing models.</w:t>
      </w:r>
    </w:p>
    <w:p w14:paraId="01815EA1" w14:textId="5539A694" w:rsidR="001C443C" w:rsidRPr="009A7163" w:rsidRDefault="00FA2392" w:rsidP="00293176">
      <w:pPr>
        <w:pStyle w:val="Heading1"/>
      </w:pPr>
      <w:bookmarkStart w:id="17" w:name="_Toc526819253"/>
      <w:r w:rsidRPr="009A7163">
        <w:rPr>
          <w:sz w:val="28"/>
        </w:rPr>
        <w:lastRenderedPageBreak/>
        <w:t>Chapter Two: A Review of the Literature on Unpaid Work, Women’s Empowerment and Fair Trade</w:t>
      </w:r>
      <w:bookmarkEnd w:id="17"/>
    </w:p>
    <w:p w14:paraId="5B17F039" w14:textId="77777777" w:rsidR="001C443C" w:rsidRPr="009A7163" w:rsidRDefault="001C443C" w:rsidP="00293176">
      <w:pPr>
        <w:ind w:firstLine="720"/>
        <w:jc w:val="both"/>
      </w:pPr>
    </w:p>
    <w:p w14:paraId="68779D40" w14:textId="77777777" w:rsidR="006E20AF" w:rsidRPr="009A7163" w:rsidRDefault="006E20AF" w:rsidP="00293176">
      <w:pPr>
        <w:ind w:firstLine="720"/>
        <w:jc w:val="both"/>
      </w:pPr>
    </w:p>
    <w:p w14:paraId="61BA707C" w14:textId="688B731F" w:rsidR="001C443C" w:rsidRPr="009A7163" w:rsidRDefault="001C443C" w:rsidP="00293176">
      <w:pPr>
        <w:pStyle w:val="Heading2"/>
        <w:rPr>
          <w:lang w:val="en-GB"/>
        </w:rPr>
      </w:pPr>
      <w:bookmarkStart w:id="18" w:name="_Toc526819254"/>
      <w:r w:rsidRPr="009A7163">
        <w:rPr>
          <w:lang w:val="en-GB"/>
        </w:rPr>
        <w:t>2.1  Introduction</w:t>
      </w:r>
      <w:bookmarkEnd w:id="18"/>
    </w:p>
    <w:p w14:paraId="487A2747" w14:textId="05903DCC" w:rsidR="001C443C" w:rsidRPr="009A7163" w:rsidRDefault="001C443C" w:rsidP="001C443C">
      <w:pPr>
        <w:spacing w:line="360" w:lineRule="auto"/>
        <w:ind w:firstLine="720"/>
        <w:jc w:val="both"/>
      </w:pPr>
      <w:r w:rsidRPr="009A7163">
        <w:t>As one male participant remarked in a focus group in my research</w:t>
      </w:r>
      <w:r w:rsidR="003F0465" w:rsidRPr="009A7163">
        <w:t>,</w:t>
      </w:r>
      <w:r w:rsidRPr="009A7163">
        <w:t xml:space="preserve"> ‘women’s work has no limits’ (Focus Group Men, Achuapa, February 6, 2015). The idea that women’s work never stops was a message that was repeated a number of times during the fieldwork by men and women participants. It was stated both as an assumed part of women’s role which goes unquestioned and also as a means to justify how hard it would be to quantify and therein put a value/cost on women’s work. This led on to discussions within that same focus group of whose responsibility it is to pay for this work. The assertion that women’s work is ‘endless’ (Focus Group Women, La Pita-San Ramon, March 5, 2015) illustrates the challenge for definitions of work and for also methodologies that look to value it. The issue of accounting for unpaid work has been debated since the mid 1980’s (Hoskyns and Rai, 2007),</w:t>
      </w:r>
      <w:r w:rsidRPr="009A7163">
        <w:rPr>
          <w:vertAlign w:val="superscript"/>
        </w:rPr>
        <w:footnoteReference w:id="32"/>
      </w:r>
      <w:r w:rsidRPr="009A7163">
        <w:t xml:space="preserve"> as well as its definitions. More broadly, the debates includes arguments to broaden definitions around work (Waring, 2004). </w:t>
      </w:r>
    </w:p>
    <w:p w14:paraId="1141ADA8" w14:textId="6317C9CD" w:rsidR="001C443C" w:rsidRPr="009A7163" w:rsidRDefault="001C443C" w:rsidP="001C443C">
      <w:pPr>
        <w:spacing w:line="360" w:lineRule="auto"/>
        <w:ind w:firstLine="720"/>
        <w:jc w:val="both"/>
      </w:pPr>
      <w:r w:rsidRPr="009A7163">
        <w:t>Unpaid work has only recently been framed as a ‘major human’s rights issue’ by the United Nations (Sepulveda Carmona, 2013) and entered the development discourse as an urgent concern since the introduction of the Sustainable Development Goals (SDGs). The topic has since received endorsement from Bill and Melinda Gates (</w:t>
      </w:r>
      <w:r w:rsidR="00FC5D47" w:rsidRPr="009A7163">
        <w:t>s</w:t>
      </w:r>
      <w:r w:rsidRPr="009A7163">
        <w:t>ee Bill and Melinda Gates, 2016) and the World Bank, among others. Only in the last few years have social movements such as Fair Trade (FT) begun to acknowledge the importance of recognising women’s unpaid work and linking women’s role in agriculture to sustainability (</w:t>
      </w:r>
      <w:r w:rsidR="00873A6E" w:rsidRPr="009A7163">
        <w:t>s</w:t>
      </w:r>
      <w:r w:rsidRPr="009A7163">
        <w:t>ee Equal Harvest, 2015) and in some cases linking it to building resilient households (Butler, 2014). The increasing interest in women’s unpaid work has led to a number of policy reports (UNHLP, 2016)</w:t>
      </w:r>
      <w:r w:rsidRPr="009A7163">
        <w:rPr>
          <w:vertAlign w:val="superscript"/>
        </w:rPr>
        <w:footnoteReference w:id="33"/>
      </w:r>
      <w:r w:rsidRPr="009A7163">
        <w:t xml:space="preserve"> and recommendations on </w:t>
      </w:r>
      <w:r w:rsidRPr="009A7163">
        <w:lastRenderedPageBreak/>
        <w:t>how to ‘accelerate women’s economic empowerment’ (World Bank, 2017). This has been echoed in business reports by ethical trading companies, think tanks and trade organizations with recommendations on how best to minimise the gender gap in agriculture and ‘accelerate gender equity’ (CQI, 2015; see also SCAA</w:t>
      </w:r>
      <w:r w:rsidR="00873A6E" w:rsidRPr="009A7163">
        <w:t>,</w:t>
      </w:r>
      <w:r w:rsidRPr="009A7163">
        <w:t xml:space="preserve"> 2015 and TWIN, 2013). Unpaid care work </w:t>
      </w:r>
      <w:r w:rsidR="000D1EC1" w:rsidRPr="009A7163">
        <w:t xml:space="preserve">(UCW) </w:t>
      </w:r>
      <w:r w:rsidRPr="009A7163">
        <w:t xml:space="preserve">has also begun to filter into the language of corporate social responsibility and, as Johnstone-Louis (2017) claim, stating that the CSR landscape is changing: ‘[C]orporate support for women’s entrepreneurship spans a remarkable range of industries and takes multiple forms’ (p. 2) and unpaid work is just beginning to feature in this landscape (p. 8). Discussions linking women’s unpaid work to women’s economic empowerment (WEE) are now common (Caprapro and Rhodes, 2017), as are proposals to transform our approach to care and unpaid work via what is reference to as the Triple R framework (Recognise, Reduce, Redistribute </w:t>
      </w:r>
      <w:r w:rsidR="000D1EC1" w:rsidRPr="009A7163">
        <w:t>UCW</w:t>
      </w:r>
      <w:r w:rsidRPr="009A7163">
        <w:t>) (Elson, 2008).</w:t>
      </w:r>
      <w:r w:rsidRPr="009A7163">
        <w:rPr>
          <w:vertAlign w:val="superscript"/>
        </w:rPr>
        <w:footnoteReference w:id="34"/>
      </w:r>
      <w:r w:rsidRPr="009A7163">
        <w:t xml:space="preserve"> It is in this context that the initiative is located and what follow</w:t>
      </w:r>
      <w:r w:rsidR="00FC5D47" w:rsidRPr="009A7163">
        <w:t>s</w:t>
      </w:r>
      <w:r w:rsidRPr="009A7163">
        <w:t xml:space="preserve"> in this chapter is a review of scholarly literature related to the story so far and the key points mentioned above.</w:t>
      </w:r>
    </w:p>
    <w:p w14:paraId="1FAFB7DC" w14:textId="7E1503C2" w:rsidR="001C443C" w:rsidRPr="009A7163" w:rsidRDefault="001C443C" w:rsidP="00293176">
      <w:pPr>
        <w:spacing w:after="240" w:line="360" w:lineRule="auto"/>
        <w:ind w:firstLine="720"/>
        <w:jc w:val="both"/>
      </w:pPr>
      <w:r w:rsidRPr="009A7163">
        <w:t xml:space="preserve">As explained in </w:t>
      </w:r>
      <w:r w:rsidR="00B44AC2" w:rsidRPr="009A7163">
        <w:t>Chapter One</w:t>
      </w:r>
      <w:r w:rsidRPr="009A7163">
        <w:t xml:space="preserve">, there is no known pricing model like the one </w:t>
      </w:r>
      <w:r w:rsidR="000D1EC1" w:rsidRPr="009A7163">
        <w:t xml:space="preserve">the </w:t>
      </w:r>
      <w:r w:rsidRPr="009A7163">
        <w:t>B</w:t>
      </w:r>
      <w:r w:rsidR="000D1EC1" w:rsidRPr="009A7163">
        <w:t xml:space="preserve">ody </w:t>
      </w:r>
      <w:r w:rsidRPr="009A7163">
        <w:t>S</w:t>
      </w:r>
      <w:r w:rsidR="000D1EC1" w:rsidRPr="009A7163">
        <w:t xml:space="preserve">hop </w:t>
      </w:r>
      <w:r w:rsidRPr="009A7163">
        <w:t>I</w:t>
      </w:r>
      <w:r w:rsidR="000D1EC1" w:rsidRPr="009A7163">
        <w:t>nternational (BSI)</w:t>
      </w:r>
      <w:r w:rsidRPr="009A7163">
        <w:t xml:space="preserve"> pioneered in Nicaragua, which put a value on and paid for the recognition of women’s unpaid work in an attempt to reconcile the contradiction between unpaid/paid work, male/female and seen/unseen. This recognition of women’s unpaid work is paid as part of the product price for sesame and coffee and the structure of its payment is via a revolving savings and credit fund which the women access, the aim of which is to empower women. The initiative beg</w:t>
      </w:r>
      <w:r w:rsidR="00FC5D47" w:rsidRPr="009A7163">
        <w:t>a</w:t>
      </w:r>
      <w:r w:rsidRPr="009A7163">
        <w:t>n before unpaid work was mainstreamed and prior to the wave of literature on the subject o</w:t>
      </w:r>
      <w:r w:rsidR="00FC5D47" w:rsidRPr="009A7163">
        <w:t>f</w:t>
      </w:r>
      <w:r w:rsidRPr="009A7163">
        <w:t xml:space="preserve"> </w:t>
      </w:r>
      <w:r w:rsidR="000D1EC1" w:rsidRPr="009A7163">
        <w:t>UCW</w:t>
      </w:r>
      <w:r w:rsidRPr="009A7163">
        <w:t xml:space="preserve"> and WEE in supply chains and market systems (see Thorpe et al., 2016). This thesis, therein, interrogates the links between acknowledging </w:t>
      </w:r>
      <w:r w:rsidR="000D1EC1" w:rsidRPr="009A7163">
        <w:t>UCW</w:t>
      </w:r>
      <w:r w:rsidRPr="009A7163">
        <w:t xml:space="preserve"> in a supply chain with the vision of empowering the women via a WEE initiative. In light of this, the chapter will review the literature on these subjects as a means to situate the study. </w:t>
      </w:r>
    </w:p>
    <w:p w14:paraId="332D44BF" w14:textId="16B1343E" w:rsidR="001C443C" w:rsidRPr="009A7163" w:rsidRDefault="001C443C" w:rsidP="00293176">
      <w:pPr>
        <w:pStyle w:val="Heading2"/>
        <w:rPr>
          <w:b w:val="0"/>
        </w:rPr>
      </w:pPr>
      <w:bookmarkStart w:id="19" w:name="_Toc526819255"/>
      <w:r w:rsidRPr="009A7163">
        <w:t>2.2  Unpaid Care Work and Reimagining Economies</w:t>
      </w:r>
      <w:bookmarkEnd w:id="19"/>
    </w:p>
    <w:p w14:paraId="6AB31459" w14:textId="14EEB942" w:rsidR="001C443C" w:rsidRPr="009A7163" w:rsidRDefault="001C443C" w:rsidP="001C443C">
      <w:pPr>
        <w:spacing w:line="360" w:lineRule="auto"/>
        <w:ind w:firstLine="720"/>
        <w:jc w:val="both"/>
      </w:pPr>
      <w:r w:rsidRPr="009A7163">
        <w:t>Despite a recent increase of women entering paid work, evidence shows that ‘by and large, women remain responsible for a great deal of the unpaid work that ensure the survival and care of their families over time’ (Kabeer, 2012</w:t>
      </w:r>
      <w:r w:rsidR="00392BDC">
        <w:t>a</w:t>
      </w:r>
      <w:r w:rsidRPr="009A7163">
        <w:t xml:space="preserve">, p. 16). Regardless of </w:t>
      </w:r>
      <w:r w:rsidRPr="009A7163">
        <w:lastRenderedPageBreak/>
        <w:t>their share of the income</w:t>
      </w:r>
      <w:r w:rsidR="0026485C" w:rsidRPr="009A7163">
        <w:t>,</w:t>
      </w:r>
      <w:r w:rsidRPr="009A7163">
        <w:t xml:space="preserve"> women perform ‘the ‘lion’s share of unpaid care work, and they also stay poor because they do so’ (Sepulveda Carmona, 2013, p. 5). Unpaid work compromises of care of people, household tasks (</w:t>
      </w:r>
      <w:r w:rsidR="0026485C" w:rsidRPr="009A7163">
        <w:t xml:space="preserve">e.g., </w:t>
      </w:r>
      <w:r w:rsidRPr="009A7163">
        <w:t>cleaning, collecting water, fuel and firewood) and expenditure saving activities (</w:t>
      </w:r>
      <w:r w:rsidR="0026485C" w:rsidRPr="009A7163">
        <w:t xml:space="preserve">e.g., </w:t>
      </w:r>
      <w:r w:rsidRPr="009A7163">
        <w:t xml:space="preserve">food production, livestock care and farming). Women work longer hours than men in both developed and developing countries (Sepulveda Carmona, 2013, p. 5) and do more </w:t>
      </w:r>
      <w:r w:rsidR="000D1EC1" w:rsidRPr="009A7163">
        <w:t>UCW</w:t>
      </w:r>
      <w:r w:rsidRPr="009A7163">
        <w:t>, ‘giving rise to the phenomenon of “time poverty”’ (Kabeer, 2012</w:t>
      </w:r>
      <w:r w:rsidR="00392BDC">
        <w:t>a</w:t>
      </w:r>
      <w:r w:rsidRPr="009A7163">
        <w:t>, p. 16). The issues of persistent gender inequalities in relation to work and time poverty is of particular relevance to the study</w:t>
      </w:r>
      <w:r w:rsidR="0026485C" w:rsidRPr="009A7163">
        <w:t>,</w:t>
      </w:r>
      <w:r w:rsidRPr="009A7163">
        <w:t xml:space="preserve"> as the initiative recognises women’s unpaid work via a fund that promotes </w:t>
      </w:r>
      <w:r w:rsidR="0026485C" w:rsidRPr="009A7163">
        <w:t>WEE</w:t>
      </w:r>
      <w:r w:rsidRPr="009A7163">
        <w:t xml:space="preserve">. </w:t>
      </w:r>
    </w:p>
    <w:p w14:paraId="732086AD" w14:textId="21D30EE6" w:rsidR="001C443C" w:rsidRPr="009A7163" w:rsidRDefault="001C443C" w:rsidP="001C443C">
      <w:pPr>
        <w:spacing w:line="360" w:lineRule="auto"/>
        <w:ind w:firstLine="720"/>
        <w:jc w:val="both"/>
      </w:pPr>
      <w:r w:rsidRPr="009A7163">
        <w:t>The resilience of the gender division of unpaid work and its effects on women’s well-being has been well documented. In a UN report by the former Special Rapporteur on Extreme Poverty and Human Rights Sepulveda Carmona, she argue</w:t>
      </w:r>
      <w:r w:rsidR="000D1EC1" w:rsidRPr="009A7163">
        <w:t>s that,</w:t>
      </w:r>
      <w:r w:rsidRPr="009A7163">
        <w:t xml:space="preserve"> ‘The difficulties, intensity and gendered distribution of unpaid care work create and perpetuate unequal rights enjoyment and gender inequality, and cause human rights violations</w:t>
      </w:r>
      <w:r w:rsidR="00873A6E" w:rsidRPr="009A7163">
        <w:t>'</w:t>
      </w:r>
      <w:r w:rsidRPr="009A7163">
        <w:t xml:space="preserve"> (</w:t>
      </w:r>
      <w:r w:rsidR="000D1EC1" w:rsidRPr="009A7163">
        <w:t xml:space="preserve">Carmona, </w:t>
      </w:r>
      <w:r w:rsidRPr="009A7163">
        <w:t>2013, p. 4), and further</w:t>
      </w:r>
      <w:r w:rsidR="00BE1B9B" w:rsidRPr="009A7163">
        <w:t xml:space="preserve"> state</w:t>
      </w:r>
      <w:r w:rsidR="000D1EC1" w:rsidRPr="009A7163">
        <w:t>s</w:t>
      </w:r>
      <w:r w:rsidR="00BE1B9B" w:rsidRPr="009A7163">
        <w:t xml:space="preserve"> that, </w:t>
      </w:r>
      <w:r w:rsidRPr="009A7163">
        <w:t>‘It is hard to think of a human right that is not potentially affected in some way by the unequal distribution and difficulty of unpaid care work’ (</w:t>
      </w:r>
      <w:r w:rsidR="000D1EC1" w:rsidRPr="009A7163">
        <w:t>ibid,</w:t>
      </w:r>
      <w:r w:rsidRPr="009A7163">
        <w:t xml:space="preserve"> p. 8)</w:t>
      </w:r>
      <w:r w:rsidR="0026485C" w:rsidRPr="009A7163">
        <w:t>.</w:t>
      </w:r>
      <w:r w:rsidR="008007CC" w:rsidRPr="009A7163">
        <w:rPr>
          <w:rStyle w:val="FootnoteReference"/>
        </w:rPr>
        <w:footnoteReference w:id="35"/>
      </w:r>
      <w:r w:rsidRPr="009A7163">
        <w:t xml:space="preserve"> This has been echoed by scholars who have drawn attention to consequences of the multiple burdens of these on women. In the literature, these consequences have been referred to by different authors as the double burden of paid and unpaid work (Zaidi et al., 2017, p. 1); the triple burden, which refers to community and organizational labour particularly cited in literature on Latin America (Gonda, 2014; Lyon et al., 2016); and the fourth shift, which includes paid work, household work, childcare and then the nightshift when women satisfy their husband’s sexual needs (Castells, 2000). Other types of work have recently gained attention in both scholarly and online spaces (e.g., news, blogs, reports), and these relate to the inequalities of women’s unpaid work and their responsibility for the mental organizational of work (e.g., managing the household) and emotional labour related to unpaid work</w:t>
      </w:r>
      <w:r w:rsidR="0026485C" w:rsidRPr="009A7163">
        <w:t>,</w:t>
      </w:r>
      <w:r w:rsidRPr="009A7163">
        <w:t xml:space="preserve"> which creates extra burdens for women and their time. </w:t>
      </w:r>
    </w:p>
    <w:p w14:paraId="41DB8DB7" w14:textId="4F9E4A8F" w:rsidR="001C443C" w:rsidRPr="009A7163" w:rsidRDefault="001C443C" w:rsidP="001C443C">
      <w:pPr>
        <w:spacing w:line="360" w:lineRule="auto"/>
        <w:ind w:firstLine="720"/>
        <w:jc w:val="both"/>
      </w:pPr>
      <w:r w:rsidRPr="009A7163">
        <w:lastRenderedPageBreak/>
        <w:t>Whilst there is little scholarly literature on the idea of the mental or managerial organisational work in households, this unpaid and typically invisible work has gained recent interest in online publications following a publication of a French feminist comic that aptly illustrated the concept of the ‘mental load’.</w:t>
      </w:r>
      <w:r w:rsidRPr="009A7163">
        <w:rPr>
          <w:vertAlign w:val="superscript"/>
        </w:rPr>
        <w:footnoteReference w:id="36"/>
      </w:r>
      <w:r w:rsidRPr="009A7163">
        <w:t xml:space="preserve"> Another reference to this extra ‘mental’ work that women perform has been referenced in a study by Gomez and Orozco Perez (2016) on </w:t>
      </w:r>
      <w:r w:rsidR="000D1EC1" w:rsidRPr="009A7163">
        <w:t>UCW</w:t>
      </w:r>
      <w:r w:rsidRPr="009A7163">
        <w:t xml:space="preserve"> in Nicaragua whereby the authors mention all the work that the women have to do in order to manage the household and anticipate unforeseen crisis. They stated that the mental work of unpaid work includes all of ‘the work to plan, organize, supervise and evaluate to see if all the work has been done and done well’ (Gomez and Orozco Perez, 2016, p. 137). </w:t>
      </w:r>
    </w:p>
    <w:p w14:paraId="1ED86A7E" w14:textId="224F84DA" w:rsidR="001C443C" w:rsidRPr="009A7163" w:rsidRDefault="001C443C" w:rsidP="001C443C">
      <w:pPr>
        <w:spacing w:line="360" w:lineRule="auto"/>
        <w:ind w:firstLine="720"/>
        <w:jc w:val="both"/>
      </w:pPr>
      <w:r w:rsidRPr="009A7163">
        <w:t xml:space="preserve">An additional concept related to mental load or mental work that has likewise received little attention is that of emotional work and its relation to unpaid work. Emotional labour was a concept first introduced by Hochschild in </w:t>
      </w:r>
      <w:r w:rsidRPr="009A7163">
        <w:rPr>
          <w:i/>
        </w:rPr>
        <w:t xml:space="preserve">The Managed Heart </w:t>
      </w:r>
      <w:r w:rsidRPr="009A7163">
        <w:t>(1983), which focused primarily on the manipulation and modifying of emotions in the workplace based on ‘feeling rules’ in order to positively influence a work</w:t>
      </w:r>
      <w:r w:rsidR="0026485C" w:rsidRPr="009A7163">
        <w:t>-</w:t>
      </w:r>
      <w:r w:rsidRPr="009A7163">
        <w:t>based situation. Following on from this study of emotional labour, Erickson (2005) in her seminal article, ‘Why Emotion Work Matters: Sex, Gender and The Division of Household Labour’, argued that, ‘[S]cholars have made a number of advancements in the understanding of the gendered division of labor over the past three decades. Despite these inroads, examinations of how emotion work may contribute to this literature remains scarce’ (p. 347). In her study of 335 employed and married parents, Erickson found not only that women undertake the most emotion-related work and unpaid work (childcare and household work), but that this was linked to gender construction and not sex. Erickson (2005, p. 348) state</w:t>
      </w:r>
      <w:r w:rsidR="000D1EC1" w:rsidRPr="009A7163">
        <w:t>s</w:t>
      </w:r>
      <w:r w:rsidRPr="009A7163">
        <w:t xml:space="preserve">: </w:t>
      </w:r>
    </w:p>
    <w:p w14:paraId="6F7A2269" w14:textId="77777777" w:rsidR="001C443C" w:rsidRPr="009A7163" w:rsidRDefault="001C443C" w:rsidP="00293176">
      <w:pPr>
        <w:spacing w:after="180"/>
        <w:ind w:left="720"/>
        <w:jc w:val="both"/>
      </w:pPr>
      <w:r w:rsidRPr="009A7163">
        <w:t xml:space="preserve">The results suggest that including work in studies of household labor provides new insights into the gendered meaning and allocation of family work tasks…The finding that emotion work was more closely linked to the construction of gender than were housework or childcare provides evidence that emotion work matters, especially to our efforts to discern how </w:t>
      </w:r>
      <w:r w:rsidRPr="009A7163">
        <w:rPr>
          <w:i/>
        </w:rPr>
        <w:t xml:space="preserve">gender </w:t>
      </w:r>
      <w:r w:rsidRPr="009A7163">
        <w:t>influences the meaning and allocation of family work. (author’s emphasis)</w:t>
      </w:r>
    </w:p>
    <w:p w14:paraId="3B8710A7" w14:textId="59278EC2" w:rsidR="001C443C" w:rsidRPr="009A7163" w:rsidRDefault="001C443C" w:rsidP="001C443C">
      <w:pPr>
        <w:spacing w:line="360" w:lineRule="auto"/>
        <w:ind w:firstLine="720"/>
        <w:jc w:val="both"/>
      </w:pPr>
      <w:r w:rsidRPr="009A7163">
        <w:t>Erickson (2005, p. 349) conclud</w:t>
      </w:r>
      <w:r w:rsidR="000D1EC1" w:rsidRPr="009A7163">
        <w:t>s</w:t>
      </w:r>
      <w:r w:rsidRPr="009A7163">
        <w:t xml:space="preserve"> by s</w:t>
      </w:r>
      <w:r w:rsidR="000D1EC1" w:rsidRPr="009A7163">
        <w:t>tat</w:t>
      </w:r>
      <w:r w:rsidRPr="009A7163">
        <w:t xml:space="preserve">ing: </w:t>
      </w:r>
    </w:p>
    <w:p w14:paraId="4796AFE8" w14:textId="77777777" w:rsidR="001C443C" w:rsidRPr="009A7163" w:rsidRDefault="001C443C" w:rsidP="00293176">
      <w:pPr>
        <w:spacing w:after="180"/>
        <w:ind w:left="720"/>
        <w:jc w:val="both"/>
      </w:pPr>
      <w:r w:rsidRPr="009A7163">
        <w:t xml:space="preserve">The time and energy required to provide emotional support to others must be reconceptualised as an important aspect of the </w:t>
      </w:r>
      <w:r w:rsidRPr="009A7163">
        <w:rPr>
          <w:i/>
        </w:rPr>
        <w:t>work</w:t>
      </w:r>
      <w:r w:rsidRPr="009A7163">
        <w:t xml:space="preserve"> that takes place in families. These efforts have commonly been overlooked because they have tended to be characterized as reflections of interpersonal intimacy or love. Such a </w:t>
      </w:r>
      <w:r w:rsidRPr="009A7163">
        <w:lastRenderedPageBreak/>
        <w:t xml:space="preserve">conceptualization parallels the once conventional view of housework and childcare that existed prior to those tasks being reconceptualised as part of a work role other than components of a female role (e.g. Oakley, 1974). </w:t>
      </w:r>
    </w:p>
    <w:p w14:paraId="7AE73DEE" w14:textId="7F756984" w:rsidR="001C443C" w:rsidRPr="009A7163" w:rsidRDefault="001C443C" w:rsidP="001C443C">
      <w:pPr>
        <w:spacing w:line="360" w:lineRule="auto"/>
        <w:ind w:firstLine="720"/>
        <w:jc w:val="both"/>
      </w:pPr>
      <w:r w:rsidRPr="009A7163">
        <w:t>Discussions on women’s multiple burdens has led to arguments that seek to address the root cause of such burdens in the area of unpaid work. Shirin Rai a</w:t>
      </w:r>
      <w:r w:rsidR="00392BDC">
        <w:t>nd Catherine Hoskyns (2007</w:t>
      </w:r>
      <w:r w:rsidR="00176580">
        <w:t>, 2010</w:t>
      </w:r>
      <w:r w:rsidRPr="009A7163">
        <w:t>)</w:t>
      </w:r>
      <w:r w:rsidRPr="009A7163">
        <w:rPr>
          <w:vertAlign w:val="superscript"/>
        </w:rPr>
        <w:footnoteReference w:id="37"/>
      </w:r>
      <w:r w:rsidRPr="009A7163">
        <w:t xml:space="preserve"> were the first to name and characterise what occurs as ‘depletion’ in the area of social reproduction. Hoskyns and Rai (2007) define the depletion of resources as:</w:t>
      </w:r>
    </w:p>
    <w:p w14:paraId="143FCDD2" w14:textId="7A2B0583" w:rsidR="001C443C" w:rsidRPr="009A7163" w:rsidRDefault="001C443C" w:rsidP="00293176">
      <w:pPr>
        <w:spacing w:after="180"/>
        <w:ind w:left="720"/>
        <w:jc w:val="both"/>
      </w:pPr>
      <w:r w:rsidRPr="009A7163">
        <w:t>…refer[ing] to the fact that social reproduction requires renewal and replenishment otherwise it suffers depreciation. Depreciation is widely recognized in the case of machinery, capital goods and natural resources but not on the whole for human inputs. Unrecognized depletion is a major cause of stress for unpaid workers.</w:t>
      </w:r>
      <w:r w:rsidR="005F5F5A" w:rsidRPr="009A7163">
        <w:t xml:space="preserve"> (p. 311)</w:t>
      </w:r>
    </w:p>
    <w:p w14:paraId="6EC7BC97" w14:textId="222513D5" w:rsidR="001C443C" w:rsidRPr="009A7163" w:rsidRDefault="001C443C" w:rsidP="001C443C">
      <w:pPr>
        <w:spacing w:line="360" w:lineRule="auto"/>
        <w:ind w:firstLine="720"/>
        <w:jc w:val="both"/>
      </w:pPr>
      <w:r w:rsidRPr="009A7163">
        <w:t>They visualised this in a diagram (s</w:t>
      </w:r>
      <w:r w:rsidR="005C5C8E" w:rsidRPr="009A7163">
        <w:t>ee Appendix C</w:t>
      </w:r>
      <w:r w:rsidRPr="009A7163">
        <w:t xml:space="preserve">) that depicts depletion as leaving the system when they argued that it is in fact integral to sustaining the system (Rai et al., 2010, p. 16). The concept of depletion is highly relevant for this investigation for several reasons. First, recognising depletion can be a powerful tool for understanding the consequences of not taking into account the value of unpaid care work for national economies as well as the harm that can be done in the doing unpaid work at both a systemic and individual level. Depletion of resources can, as Rai and Hoskyns (2007, p. 7) argue, be reversed by mitigation, replenishment and transformation. This argument </w:t>
      </w:r>
      <w:r w:rsidR="0026485C" w:rsidRPr="009A7163">
        <w:t xml:space="preserve">was </w:t>
      </w:r>
      <w:r w:rsidRPr="009A7163">
        <w:t xml:space="preserve">explored with the initiative. The </w:t>
      </w:r>
      <w:r w:rsidR="0026485C" w:rsidRPr="009A7163">
        <w:t xml:space="preserve">goal of the </w:t>
      </w:r>
      <w:r w:rsidRPr="009A7163">
        <w:t xml:space="preserve">fund for women’s unpaid work </w:t>
      </w:r>
      <w:r w:rsidR="0026485C" w:rsidRPr="009A7163">
        <w:t xml:space="preserve">is to </w:t>
      </w:r>
      <w:r w:rsidRPr="009A7163">
        <w:t>improv</w:t>
      </w:r>
      <w:r w:rsidR="0026485C" w:rsidRPr="009A7163">
        <w:t>e</w:t>
      </w:r>
      <w:r w:rsidRPr="009A7163">
        <w:t xml:space="preserve"> the gender balance and increas</w:t>
      </w:r>
      <w:r w:rsidR="0026485C" w:rsidRPr="009A7163">
        <w:t>e</w:t>
      </w:r>
      <w:r w:rsidRPr="009A7163">
        <w:t xml:space="preserve"> WEE, which could be seen as some form of replenishment to a depletion of resources. However, of particular interest for this study and for other supply chains </w:t>
      </w:r>
      <w:r w:rsidR="005A3FA0" w:rsidRPr="009A7163">
        <w:t>is</w:t>
      </w:r>
      <w:r w:rsidRPr="009A7163">
        <w:t xml:space="preserve"> to identify how much depletion occurs in the supply chain (prior to and post intervention) and if the level of depletion has changed due to the initiative, i.e., has the initiative reduced depletion or increased stress. Whilst my investigation did not measure depletion specifically, it is an area that warrants more research and in particular in the areas of strategies for mitigation and replenishment with </w:t>
      </w:r>
      <w:r w:rsidR="000D1EC1" w:rsidRPr="009A7163">
        <w:t>UCW</w:t>
      </w:r>
      <w:r w:rsidRPr="009A7163">
        <w:t xml:space="preserve"> in supply chains. </w:t>
      </w:r>
    </w:p>
    <w:p w14:paraId="7F9ADBBF" w14:textId="037686FC" w:rsidR="001C443C" w:rsidRPr="009A7163" w:rsidRDefault="001C443C" w:rsidP="001C443C">
      <w:pPr>
        <w:spacing w:line="360" w:lineRule="auto"/>
        <w:ind w:firstLine="720"/>
        <w:jc w:val="both"/>
      </w:pPr>
      <w:r w:rsidRPr="009A7163">
        <w:t xml:space="preserve">Accounting for and measuring women’s unpaid work is a contentious issue, as unpaid work (mainly but not exclusively done by women) remains the largest single area of economic activity not included in the United Nations System of National </w:t>
      </w:r>
      <w:r w:rsidRPr="009A7163">
        <w:lastRenderedPageBreak/>
        <w:t>Accounts (SNA) and not seen as part of the gross domestic product (GDP) of any country. What is or is not included in national accounts, and therefore counted as production, is established by the SNA, which sets out by common agreement how national accounts should be constructed across the different countries of the world. The SNA, revised in 1993, made an important extension to include in production all goods produced in the home in whatever way and for whatever purpose. It also included fetching water and gathering fuel for self-consumption as production. This revision did not, however, extend to domestic services in the home – preparation of meals, for example, or child care. The reasons given were the following:</w:t>
      </w:r>
    </w:p>
    <w:p w14:paraId="72ED27FE" w14:textId="77777777" w:rsidR="001C443C" w:rsidRPr="009A7163" w:rsidRDefault="001C443C" w:rsidP="00293176">
      <w:pPr>
        <w:spacing w:after="180"/>
        <w:ind w:left="720"/>
        <w:jc w:val="both"/>
      </w:pPr>
      <w:r w:rsidRPr="009A7163">
        <w:t>The rationale given for this choice was threefold: (i) unpaid care services have limited repercussions on the rest of the economy; (ii) it is difficult to impute monetary values to unpaid care services; and (iii) the inclusion of unpaid care services will have adverse effects on the usefulness of the accounts for macroeconomic analysis and policy purposes and disturb the historical trends. (Ravazi, 2007, p. 5)</w:t>
      </w:r>
    </w:p>
    <w:p w14:paraId="0F2433FC" w14:textId="703AA058" w:rsidR="001C443C" w:rsidRPr="009A7163" w:rsidRDefault="001C443C" w:rsidP="001C443C">
      <w:pPr>
        <w:spacing w:line="360" w:lineRule="auto"/>
        <w:ind w:firstLine="720"/>
        <w:jc w:val="both"/>
        <w:rPr>
          <w:b/>
          <w:bCs/>
        </w:rPr>
      </w:pPr>
      <w:r w:rsidRPr="009A7163">
        <w:t>Yet, as the last two reasons show, these activities were considered to be too hard to measure and value and, furthermore, their inclusion would upset the structure and purpose of national accounts (UNSD, 1993). Hoskyns and Rai (2007) conclude that the methodological issues that prevented unpaid care from inclusion in the SNA ‘have either been solved or could be solved relatively easily if there were a consensus to do so’ (p. 304), but there appear ‘few signs of any political readiness to revise the SNA accordingly’ (Eybend and Fontana, 2011, p. 4). This is an example of what Eyben (2012) call</w:t>
      </w:r>
      <w:r w:rsidR="000D1EC1" w:rsidRPr="009A7163">
        <w:t>s</w:t>
      </w:r>
      <w:r w:rsidRPr="009A7163">
        <w:t xml:space="preserve"> system bias and strategic ignorance.</w:t>
      </w:r>
      <w:r w:rsidRPr="009A7163">
        <w:rPr>
          <w:vertAlign w:val="superscript"/>
        </w:rPr>
        <w:footnoteReference w:id="38"/>
      </w:r>
      <w:r w:rsidRPr="009A7163">
        <w:t xml:space="preserve"> She define</w:t>
      </w:r>
      <w:r w:rsidR="000D1EC1" w:rsidRPr="009A7163">
        <w:t>s</w:t>
      </w:r>
      <w:r w:rsidRPr="009A7163">
        <w:t xml:space="preserve"> </w:t>
      </w:r>
      <w:r w:rsidRPr="009A7163">
        <w:rPr>
          <w:bCs/>
        </w:rPr>
        <w:t>system bias i</w:t>
      </w:r>
      <w:r w:rsidR="000D1EC1" w:rsidRPr="009A7163">
        <w:rPr>
          <w:bCs/>
        </w:rPr>
        <w:t>n the following</w:t>
      </w:r>
      <w:r w:rsidRPr="009A7163">
        <w:rPr>
          <w:b/>
          <w:bCs/>
        </w:rPr>
        <w:t>:</w:t>
      </w:r>
    </w:p>
    <w:p w14:paraId="7AEB15FF" w14:textId="77777777" w:rsidR="001C443C" w:rsidRPr="009A7163" w:rsidRDefault="001C443C" w:rsidP="00293176">
      <w:pPr>
        <w:spacing w:after="180"/>
        <w:ind w:left="720"/>
        <w:jc w:val="both"/>
      </w:pPr>
      <w:r w:rsidRPr="009A7163">
        <w:t>When care’s invisibility is challenged the burden of proof is thrown back onto the challenger. System bias is sustained by evidence-based policy’s circular logic with an argument that runs if there were sound evidence that is adequately communicated, then decision-makers would of course take note and respond. And thus if they have ignored the evidence the implication is that it is awed and/or poorly communicated. (Eyben, 2013, p. 2)</w:t>
      </w:r>
    </w:p>
    <w:p w14:paraId="27B7D478" w14:textId="181A3220" w:rsidR="001C443C" w:rsidRPr="009A7163" w:rsidRDefault="001C443C" w:rsidP="001C443C">
      <w:pPr>
        <w:spacing w:line="360" w:lineRule="auto"/>
        <w:ind w:firstLine="720"/>
        <w:jc w:val="both"/>
      </w:pPr>
      <w:r w:rsidRPr="009A7163">
        <w:rPr>
          <w:bCs/>
        </w:rPr>
        <w:t>Furthemore, Eyben (2013) define</w:t>
      </w:r>
      <w:r w:rsidR="000D1EC1" w:rsidRPr="009A7163">
        <w:rPr>
          <w:bCs/>
        </w:rPr>
        <w:t>s</w:t>
      </w:r>
      <w:r w:rsidRPr="009A7163">
        <w:rPr>
          <w:bCs/>
        </w:rPr>
        <w:t xml:space="preserve"> strategic ignorance</w:t>
      </w:r>
      <w:r w:rsidRPr="009A7163">
        <w:t xml:space="preserve"> as when ‘the discourse of evidence-based policy-making nullifies the possibility of admitting to strategic </w:t>
      </w:r>
      <w:r w:rsidRPr="009A7163">
        <w:lastRenderedPageBreak/>
        <w:t>ignorance of inconvenient truths. These are truths that would oblige a reassessment of policy priorities and budgets and might even challenge one’s understanding of how the world works’ (p. 2). Despite this exclusion in national accounts, it led to two developments: First, the introduction of Household Satellite Accounts (HSA) developed by some countries and which would be separate from national accounts but compatible with them. This caused a new interest in methodology both for time measurement and valuation in order to influence policy, in particular time use studies were used to value time and its contribution to GDP (see Budlender, 2010). Second, the development of time use surveys (TUS)</w:t>
      </w:r>
      <w:r w:rsidR="005A0835" w:rsidRPr="009A7163">
        <w:t>,</w:t>
      </w:r>
      <w:r w:rsidRPr="009A7163">
        <w:t xml:space="preserve"> the </w:t>
      </w:r>
      <w:r w:rsidR="005A0835" w:rsidRPr="009A7163">
        <w:t xml:space="preserve">primary </w:t>
      </w:r>
      <w:r w:rsidRPr="009A7163">
        <w:t xml:space="preserve">object </w:t>
      </w:r>
      <w:r w:rsidR="005A0835" w:rsidRPr="009A7163">
        <w:t xml:space="preserve">of which </w:t>
      </w:r>
      <w:r w:rsidRPr="009A7163">
        <w:t>was to examine how people use their time</w:t>
      </w:r>
      <w:r w:rsidR="005A0835" w:rsidRPr="009A7163">
        <w:t>,</w:t>
      </w:r>
      <w:r w:rsidRPr="009A7163">
        <w:t xml:space="preserve"> but not give it any monetary value. This led to significant time use studies around the world and in particular in Central and Latin America. </w:t>
      </w:r>
    </w:p>
    <w:p w14:paraId="525ECABF" w14:textId="1D6641B8" w:rsidR="001C443C" w:rsidRPr="009A7163" w:rsidRDefault="001C443C" w:rsidP="001C443C">
      <w:pPr>
        <w:spacing w:line="360" w:lineRule="auto"/>
        <w:ind w:firstLine="720"/>
        <w:jc w:val="both"/>
      </w:pPr>
      <w:r w:rsidRPr="009A7163">
        <w:t>In Nicaragua, there have been two national TUS to date,</w:t>
      </w:r>
      <w:r w:rsidRPr="009A7163">
        <w:rPr>
          <w:vertAlign w:val="superscript"/>
        </w:rPr>
        <w:footnoteReference w:id="39"/>
      </w:r>
      <w:r w:rsidRPr="009A7163">
        <w:t xml:space="preserve"> as well as another study on the political and social economy of care in Nicaragua (see Martínez Franzoni, 2008). The latter explores care through the care ‘diamond’</w:t>
      </w:r>
      <w:r w:rsidRPr="009A7163">
        <w:rPr>
          <w:vertAlign w:val="superscript"/>
        </w:rPr>
        <w:footnoteReference w:id="40"/>
      </w:r>
      <w:r w:rsidRPr="009A7163">
        <w:t xml:space="preserve"> and whereby Martínez Franzoni  concluded that Nicaragua’s welfare regime is characterised by its informal and ‘familiars</w:t>
      </w:r>
      <w:r w:rsidR="00F02752" w:rsidRPr="009A7163">
        <w:t>t</w:t>
      </w:r>
      <w:r w:rsidRPr="009A7163">
        <w:t>’ nature’ whereby ‘in terms of resource allocation</w:t>
      </w:r>
      <w:r w:rsidR="00C60D98" w:rsidRPr="009A7163">
        <w:t>,</w:t>
      </w:r>
      <w:r w:rsidRPr="009A7163">
        <w:t xml:space="preserve"> families absorb the deficiencies of the labour market and of public policy and occupy a central role as productive units and as social protection networks, in addition to performing the domestic work and providing the care needed for social reproduction’ (Martínez Franzoni, 2008, p. </w:t>
      </w:r>
      <w:r w:rsidR="00C37FF5" w:rsidRPr="009A7163">
        <w:t>30</w:t>
      </w:r>
      <w:r w:rsidRPr="009A7163">
        <w:t xml:space="preserve">). This is an important point for the study as it gives an insight of the role of the family and the lack of state welfare. In relation to </w:t>
      </w:r>
      <w:r w:rsidR="007A079F" w:rsidRPr="009A7163">
        <w:t>TUS</w:t>
      </w:r>
      <w:r w:rsidRPr="009A7163">
        <w:t>, the first TUS was conducted by the nongovernmental organization, Fundación Internacional para el Desafío Económico Global (</w:t>
      </w:r>
      <w:r w:rsidR="00BE1B9B" w:rsidRPr="009A7163">
        <w:t xml:space="preserve">International Foundation for Global Economic Challenges, or </w:t>
      </w:r>
      <w:r w:rsidRPr="009A7163">
        <w:t>FIDEG), in 1995–1996 (</w:t>
      </w:r>
      <w:r w:rsidR="005A0835" w:rsidRPr="009A7163">
        <w:t>s</w:t>
      </w:r>
      <w:r w:rsidRPr="009A7163">
        <w:t xml:space="preserve">ee FIDEG, 1997). FIDEG </w:t>
      </w:r>
      <w:r w:rsidR="00BE1B9B" w:rsidRPr="009A7163">
        <w:t xml:space="preserve">(1997) </w:t>
      </w:r>
      <w:r w:rsidRPr="009A7163">
        <w:t>state</w:t>
      </w:r>
      <w:r w:rsidR="00BE1B9B" w:rsidRPr="009A7163">
        <w:t>d</w:t>
      </w:r>
      <w:r w:rsidRPr="009A7163">
        <w:t xml:space="preserve"> in the introduction to the study that in ‘the early 1990s they [FIDEG] decided to rise to the challenge of </w:t>
      </w:r>
      <w:r w:rsidRPr="009A7163">
        <w:lastRenderedPageBreak/>
        <w:t>vis</w:t>
      </w:r>
      <w:r w:rsidR="00BE1B9B" w:rsidRPr="009A7163">
        <w:t>i</w:t>
      </w:r>
      <w:r w:rsidRPr="009A7163">
        <w:t>bilising women’s work in the national economy, aware that this invisibili</w:t>
      </w:r>
      <w:r w:rsidR="00BE1B9B" w:rsidRPr="009A7163">
        <w:t>s</w:t>
      </w:r>
      <w:r w:rsidRPr="009A7163">
        <w:t xml:space="preserve">ation accentuated the inequalities of women in access to the opportunities offered by economic and social development’ (p. 66). They conducted surveys in 6,028 households in rural and urban areas. </w:t>
      </w:r>
      <w:r w:rsidR="00BE1B9B" w:rsidRPr="009A7163">
        <w:t>FIDEG (1997)</w:t>
      </w:r>
      <w:r w:rsidRPr="009A7163">
        <w:t xml:space="preserve"> argue</w:t>
      </w:r>
      <w:r w:rsidR="007A079F" w:rsidRPr="009A7163">
        <w:t>s</w:t>
      </w:r>
      <w:r w:rsidRPr="009A7163">
        <w:t xml:space="preserve"> that:</w:t>
      </w:r>
    </w:p>
    <w:p w14:paraId="1994E259" w14:textId="06235A1B" w:rsidR="001C443C" w:rsidRPr="009A7163" w:rsidRDefault="001C443C" w:rsidP="00293176">
      <w:pPr>
        <w:spacing w:after="180"/>
        <w:ind w:left="720"/>
        <w:jc w:val="both"/>
      </w:pPr>
      <w:r w:rsidRPr="009A7163">
        <w:t xml:space="preserve">In the case of Nicaragua, it is difficult to separate the productive functions of the households from the reproductive. Hence, the undervaluation or omission of the economic contribution of the people is much more marked. For example, in the case of labor supply in the rural sector, undervaluation is more acute, since it is common to confuse the economically active population with the inactive ones, as is the specific case of women and young people and children, whose contribution to the productive tasks of the farm and parcel is not negligible, as will be seen later, but in most cases do not receive remuneration for these activities. In the same way, since not all rural production is sold in the market, an important part is for the self-consumption of the peasant families, the added value of these family units is practically omitted from the calculation of the national accounts. </w:t>
      </w:r>
      <w:r w:rsidR="007A079F" w:rsidRPr="009A7163">
        <w:t>(p. 67)</w:t>
      </w:r>
    </w:p>
    <w:p w14:paraId="4266BBF2" w14:textId="76F3FD9E" w:rsidR="0034053F" w:rsidRPr="009A7163" w:rsidRDefault="001C443C" w:rsidP="001C443C">
      <w:pPr>
        <w:spacing w:line="360" w:lineRule="auto"/>
        <w:ind w:firstLine="720"/>
        <w:jc w:val="both"/>
      </w:pPr>
      <w:r w:rsidRPr="009A7163">
        <w:t xml:space="preserve">This early study of time use is of utmost relevance to this study as they highlight the arbitrary nature of defining unpaid work in rural areas and also the interconnectedness between the households, the economy and sustainability. FIDEG </w:t>
      </w:r>
      <w:r w:rsidR="0034053F" w:rsidRPr="009A7163">
        <w:t>(</w:t>
      </w:r>
      <w:r w:rsidR="00454CAE" w:rsidRPr="009A7163">
        <w:t>2003)</w:t>
      </w:r>
      <w:r w:rsidR="0034053F" w:rsidRPr="009A7163">
        <w:t xml:space="preserve"> </w:t>
      </w:r>
      <w:r w:rsidRPr="009A7163">
        <w:t>argue</w:t>
      </w:r>
      <w:r w:rsidR="007A079F" w:rsidRPr="009A7163">
        <w:t>s</w:t>
      </w:r>
      <w:r w:rsidRPr="009A7163">
        <w:t xml:space="preserve">: </w:t>
      </w:r>
    </w:p>
    <w:p w14:paraId="57D60F2C" w14:textId="71D3DBF0" w:rsidR="0034053F" w:rsidRPr="009A7163" w:rsidRDefault="001C443C" w:rsidP="00293176">
      <w:pPr>
        <w:spacing w:after="180"/>
        <w:ind w:left="720"/>
        <w:jc w:val="both"/>
      </w:pPr>
      <w:r w:rsidRPr="009A7163">
        <w:t>In summary, it can be pointed out that the difference between economic and non-economic activities is artificial in countries such as Nicaragua where women, men, children and the elderly carry out activities to ensure the survival of the family and production units. Most of these activities are carried out outside the market system</w:t>
      </w:r>
      <w:r w:rsidR="0034053F" w:rsidRPr="009A7163">
        <w:t>.</w:t>
      </w:r>
      <w:r w:rsidRPr="009A7163">
        <w:t xml:space="preserve"> (p. 68)</w:t>
      </w:r>
    </w:p>
    <w:p w14:paraId="17E1B1C5" w14:textId="77777777" w:rsidR="0034053F" w:rsidRPr="009A7163" w:rsidRDefault="001C443C" w:rsidP="00293176">
      <w:pPr>
        <w:spacing w:line="360" w:lineRule="auto"/>
        <w:jc w:val="both"/>
      </w:pPr>
      <w:r w:rsidRPr="009A7163">
        <w:t>Of particular interest, the study found that</w:t>
      </w:r>
      <w:r w:rsidR="0034053F" w:rsidRPr="009A7163">
        <w:t>,</w:t>
      </w:r>
      <w:r w:rsidRPr="009A7163">
        <w:t xml:space="preserve"> </w:t>
      </w:r>
    </w:p>
    <w:p w14:paraId="455C13B6" w14:textId="0C35C0CF" w:rsidR="0034053F" w:rsidRPr="009A7163" w:rsidRDefault="0034053F" w:rsidP="00293176">
      <w:pPr>
        <w:spacing w:after="180"/>
        <w:ind w:left="720"/>
        <w:jc w:val="both"/>
      </w:pPr>
      <w:r w:rsidRPr="009A7163">
        <w:t>…</w:t>
      </w:r>
      <w:r w:rsidR="001C443C" w:rsidRPr="009A7163">
        <w:t>more than a third of the production of two of the main export products (coffee and sesame) is generated by the work of women and on average, the contribution of women as a function of the time devoted to the production of a coffee and sesame varies from 25% to 35%, respectively</w:t>
      </w:r>
      <w:r w:rsidRPr="009A7163">
        <w:t>.</w:t>
      </w:r>
      <w:r w:rsidR="001C443C" w:rsidRPr="009A7163">
        <w:t xml:space="preserve"> (</w:t>
      </w:r>
      <w:r w:rsidR="007A079F" w:rsidRPr="009A7163">
        <w:t xml:space="preserve">FIDEG, 2003, </w:t>
      </w:r>
      <w:r w:rsidR="001C443C" w:rsidRPr="009A7163">
        <w:t>p. 73)</w:t>
      </w:r>
    </w:p>
    <w:p w14:paraId="7FBC2574" w14:textId="607C0E63" w:rsidR="001C443C" w:rsidRPr="009A7163" w:rsidRDefault="001C443C" w:rsidP="00293176">
      <w:pPr>
        <w:spacing w:line="360" w:lineRule="auto"/>
        <w:jc w:val="both"/>
      </w:pPr>
      <w:r w:rsidRPr="009A7163">
        <w:t xml:space="preserve">This echoes Hoskyns initial figure which stated that women’s contribution was 22% (Butler, 2013). The study by FIDEG </w:t>
      </w:r>
      <w:r w:rsidR="0034053F" w:rsidRPr="009A7163">
        <w:t>(</w:t>
      </w:r>
      <w:r w:rsidR="00454CAE" w:rsidRPr="009A7163">
        <w:t>2003)</w:t>
      </w:r>
      <w:r w:rsidR="0034053F" w:rsidRPr="009A7163">
        <w:t xml:space="preserve"> </w:t>
      </w:r>
      <w:r w:rsidRPr="009A7163">
        <w:t>argue</w:t>
      </w:r>
      <w:r w:rsidR="007A079F" w:rsidRPr="009A7163">
        <w:t>s</w:t>
      </w:r>
      <w:r w:rsidRPr="009A7163">
        <w:t xml:space="preserve"> that women’s work in rural areas makes significant contributions to the production of exportable goods</w:t>
      </w:r>
      <w:r w:rsidR="002679DA" w:rsidRPr="009A7163">
        <w:t>;</w:t>
      </w:r>
      <w:r w:rsidRPr="009A7163">
        <w:t xml:space="preserve"> however</w:t>
      </w:r>
      <w:r w:rsidR="002679DA" w:rsidRPr="009A7163">
        <w:t>,</w:t>
      </w:r>
      <w:r w:rsidRPr="009A7163">
        <w:t xml:space="preserve"> it concluded that whilst women contributed to export production, this did not guarantee them from benefiting from economic incentive policies </w:t>
      </w:r>
      <w:r w:rsidR="002679DA" w:rsidRPr="009A7163">
        <w:t xml:space="preserve">implemented </w:t>
      </w:r>
      <w:r w:rsidRPr="009A7163">
        <w:t xml:space="preserve">in the last few years </w:t>
      </w:r>
      <w:r w:rsidR="002679DA" w:rsidRPr="009A7163">
        <w:t>to</w:t>
      </w:r>
      <w:r w:rsidRPr="009A7163">
        <w:t xml:space="preserve"> stimulate production. This is because women are largely seen as season</w:t>
      </w:r>
      <w:r w:rsidR="002679DA" w:rsidRPr="009A7163">
        <w:t>al</w:t>
      </w:r>
      <w:r w:rsidRPr="009A7163">
        <w:t xml:space="preserve"> workers and not involved in decision making</w:t>
      </w:r>
      <w:r w:rsidR="002679DA" w:rsidRPr="009A7163">
        <w:t>,</w:t>
      </w:r>
      <w:r w:rsidRPr="009A7163">
        <w:t xml:space="preserve"> which is reflected in their extremely low participation in the commercialization of these goods (</w:t>
      </w:r>
      <w:r w:rsidR="007A079F" w:rsidRPr="009A7163">
        <w:t xml:space="preserve">ibid, </w:t>
      </w:r>
      <w:r w:rsidRPr="009A7163">
        <w:t>p. 75). The study culminates with a calculation of women’s contribution to GDP</w:t>
      </w:r>
      <w:r w:rsidR="002679DA" w:rsidRPr="009A7163">
        <w:t>,</w:t>
      </w:r>
      <w:r w:rsidRPr="009A7163">
        <w:t xml:space="preserve"> which FIDEG estimate</w:t>
      </w:r>
      <w:r w:rsidR="002679DA" w:rsidRPr="009A7163">
        <w:t>d</w:t>
      </w:r>
      <w:r w:rsidRPr="009A7163">
        <w:t xml:space="preserve"> to be </w:t>
      </w:r>
      <w:r w:rsidRPr="009A7163">
        <w:lastRenderedPageBreak/>
        <w:t>35.64% (</w:t>
      </w:r>
      <w:r w:rsidR="0034053F" w:rsidRPr="009A7163">
        <w:t xml:space="preserve">FIDEG, </w:t>
      </w:r>
      <w:r w:rsidR="00454CAE" w:rsidRPr="009A7163">
        <w:t>2003</w:t>
      </w:r>
      <w:r w:rsidR="002679DA" w:rsidRPr="009A7163">
        <w:t>,</w:t>
      </w:r>
      <w:r w:rsidR="0034053F" w:rsidRPr="009A7163">
        <w:t xml:space="preserve"> </w:t>
      </w:r>
      <w:r w:rsidRPr="009A7163">
        <w:t>p. 80). These calculations</w:t>
      </w:r>
      <w:r w:rsidR="002679DA" w:rsidRPr="009A7163">
        <w:t>,</w:t>
      </w:r>
      <w:r w:rsidRPr="009A7163">
        <w:t xml:space="preserve"> as well as the argument </w:t>
      </w:r>
      <w:r w:rsidR="002679DA" w:rsidRPr="009A7163">
        <w:t>for</w:t>
      </w:r>
      <w:r w:rsidRPr="009A7163">
        <w:t xml:space="preserve"> women’s importan</w:t>
      </w:r>
      <w:r w:rsidR="002679DA" w:rsidRPr="009A7163">
        <w:t>ce</w:t>
      </w:r>
      <w:r w:rsidRPr="009A7163">
        <w:t xml:space="preserve"> to national exports and GDP</w:t>
      </w:r>
      <w:r w:rsidR="002679DA" w:rsidRPr="009A7163">
        <w:t>,</w:t>
      </w:r>
      <w:r w:rsidRPr="009A7163">
        <w:t xml:space="preserve"> is important for this study.</w:t>
      </w:r>
    </w:p>
    <w:p w14:paraId="6FF5CB06" w14:textId="5E4C8F54" w:rsidR="001C443C" w:rsidRPr="009A7163" w:rsidRDefault="001C443C" w:rsidP="001C443C">
      <w:pPr>
        <w:spacing w:line="360" w:lineRule="auto"/>
        <w:ind w:firstLine="720"/>
        <w:jc w:val="both"/>
      </w:pPr>
      <w:r w:rsidRPr="009A7163">
        <w:t>The second TUS undertaken in Nicaragua was conducted in 1998 by the Instituto Nacional de Estadísticas y Censos (</w:t>
      </w:r>
      <w:r w:rsidR="0034053F" w:rsidRPr="009A7163">
        <w:t xml:space="preserve">National Institute of Statistics and Census, or </w:t>
      </w:r>
      <w:r w:rsidRPr="009A7163">
        <w:t>INEC), the official government statistical agency, as a module of the Encuesta Nacional de Hogares sobre Medición de Niveles de Vida (</w:t>
      </w:r>
      <w:r w:rsidR="0034053F" w:rsidRPr="009A7163">
        <w:t xml:space="preserve">National Standard of Living Household Survey, or </w:t>
      </w:r>
      <w:r w:rsidRPr="009A7163">
        <w:t>EMNV)</w:t>
      </w:r>
      <w:r w:rsidR="0034053F" w:rsidRPr="009A7163">
        <w:t>.</w:t>
      </w:r>
      <w:r w:rsidRPr="009A7163">
        <w:rPr>
          <w:vertAlign w:val="superscript"/>
        </w:rPr>
        <w:footnoteReference w:id="41"/>
      </w:r>
      <w:r w:rsidRPr="009A7163">
        <w:t xml:space="preserve"> Espinosa Gonzalez (2010)</w:t>
      </w:r>
      <w:r w:rsidR="0034053F" w:rsidRPr="009A7163">
        <w:t>,</w:t>
      </w:r>
      <w:r w:rsidRPr="009A7163">
        <w:t xml:space="preserve"> in her analysis of the 1998 National Standard of Living Survey</w:t>
      </w:r>
      <w:r w:rsidR="002679DA" w:rsidRPr="009A7163">
        <w:t xml:space="preserve"> data</w:t>
      </w:r>
      <w:r w:rsidRPr="009A7163">
        <w:t xml:space="preserve"> (which included a section on time use)</w:t>
      </w:r>
      <w:r w:rsidR="0034053F" w:rsidRPr="009A7163">
        <w:t xml:space="preserve">, </w:t>
      </w:r>
      <w:r w:rsidR="007A079F" w:rsidRPr="009A7163">
        <w:t>drew an</w:t>
      </w:r>
      <w:r w:rsidRPr="009A7163">
        <w:t xml:space="preserve"> interesting conclusion</w:t>
      </w:r>
      <w:r w:rsidR="0034053F" w:rsidRPr="009A7163">
        <w:t>:</w:t>
      </w:r>
    </w:p>
    <w:p w14:paraId="437A96FF" w14:textId="76112640" w:rsidR="001C443C" w:rsidRPr="009A7163" w:rsidRDefault="001C443C" w:rsidP="00293176">
      <w:pPr>
        <w:spacing w:after="180"/>
        <w:ind w:left="720"/>
        <w:jc w:val="both"/>
      </w:pPr>
      <w:r w:rsidRPr="009A7163">
        <w:t>One surprising finding was the small time spent by men and women on care of person. Given the age structure of the Nicaraguan population and the almost non-existent supply of care services, whether public or market, this suggests that a large proportion of younger people care for themselves. To the ethical problems, of respect for and promotion of the rights of the child that this situation raises, are added the new capacities demanded of the labour force. This does not simply concern training in the use of new technologies, but also new personal and emotional skills to enable rapid adaptation to the changes caused by globalisation. In other words, generational reproduction requires more care work than before to avoid exclusion. (p. 249)</w:t>
      </w:r>
    </w:p>
    <w:p w14:paraId="50FF8B2E" w14:textId="6D53795B" w:rsidR="001C443C" w:rsidRPr="009A7163" w:rsidRDefault="001C443C" w:rsidP="00293176">
      <w:pPr>
        <w:spacing w:line="360" w:lineRule="auto"/>
        <w:jc w:val="both"/>
      </w:pPr>
      <w:r w:rsidRPr="009A7163">
        <w:t>This is of particular importance to this study in relation to</w:t>
      </w:r>
      <w:r w:rsidR="002679DA" w:rsidRPr="009A7163">
        <w:t xml:space="preserve"> </w:t>
      </w:r>
      <w:r w:rsidRPr="009A7163">
        <w:t>wom</w:t>
      </w:r>
      <w:r w:rsidR="002679DA" w:rsidRPr="009A7163">
        <w:t>e</w:t>
      </w:r>
      <w:r w:rsidRPr="009A7163">
        <w:t>n who take on new economic roles derived from the fund and the effect that this may have on other members of the household</w:t>
      </w:r>
      <w:r w:rsidR="002679DA" w:rsidRPr="009A7163">
        <w:t>,</w:t>
      </w:r>
      <w:r w:rsidRPr="009A7163">
        <w:t xml:space="preserve"> </w:t>
      </w:r>
      <w:r w:rsidR="002679DA" w:rsidRPr="009A7163">
        <w:t xml:space="preserve">particularly </w:t>
      </w:r>
      <w:r w:rsidRPr="009A7163">
        <w:t>younger girls who may take on their unpaid work as a result and for younger members of the family who receive less</w:t>
      </w:r>
      <w:r w:rsidR="002679DA" w:rsidRPr="009A7163">
        <w:t xml:space="preserve"> or no</w:t>
      </w:r>
      <w:r w:rsidRPr="009A7163">
        <w:t xml:space="preserve"> direct care from the women involved in the initiative. This reflection leads onto the importance of considering intersectionality and a proposal to take ‘a relational approach to care’ (Eyben and Fontana, 2011, p. 6). Eyben and Fontana </w:t>
      </w:r>
      <w:r w:rsidR="0034053F" w:rsidRPr="009A7163">
        <w:t xml:space="preserve">(2011) </w:t>
      </w:r>
      <w:r w:rsidRPr="009A7163">
        <w:t>argue that:</w:t>
      </w:r>
    </w:p>
    <w:p w14:paraId="768B35AE" w14:textId="70AE959A" w:rsidR="001C443C" w:rsidRPr="009A7163" w:rsidRDefault="001C443C" w:rsidP="00293176">
      <w:pPr>
        <w:spacing w:after="180"/>
        <w:ind w:left="720"/>
        <w:jc w:val="both"/>
      </w:pPr>
      <w:r w:rsidRPr="009A7163">
        <w:t xml:space="preserve">A relational approach has several advantages in making the case for care. First it takes a gender perspective – the social construction of relations – rather than employing women as the category of analysis (Elson 1995). This helps avoid essentialist reductionism and throws into relief other kinds of relations, such as those based on class or race, that also shape the giving and receiving of care. The relational approach helps us enquire into the ideologies of how work is understood and allocated, and enables us to deconstruct some deeply entrenched notions in development policy and practice concerning care (Lind 2009). A second advantage is that it allows us to think about market behaviour as both shaping and being shaped by broader structures of social relations. </w:t>
      </w:r>
      <w:r w:rsidR="007A079F" w:rsidRPr="009A7163">
        <w:t>(p. 6)</w:t>
      </w:r>
    </w:p>
    <w:p w14:paraId="55974979" w14:textId="1124D66F" w:rsidR="001C443C" w:rsidRPr="009A7163" w:rsidRDefault="001C443C" w:rsidP="001C443C">
      <w:pPr>
        <w:spacing w:line="360" w:lineRule="auto"/>
        <w:ind w:firstLine="720"/>
        <w:jc w:val="both"/>
      </w:pPr>
      <w:r w:rsidRPr="009A7163">
        <w:t xml:space="preserve">This idea of a taking a relational approach to care is in opposition to viewing the economy as self-contained and autonomous sphere, which as Eyben and Fontana </w:t>
      </w:r>
      <w:r w:rsidR="0034053F" w:rsidRPr="009A7163">
        <w:lastRenderedPageBreak/>
        <w:t xml:space="preserve">(2011) </w:t>
      </w:r>
      <w:r w:rsidRPr="009A7163">
        <w:t xml:space="preserve">argue is ‘an abstraction premised on extreme methodological individualism and excludes much of the relational activity associated with the sustenance of human wellbeing’ (p. 7). Gibson-Graham (1996) and Cameron and Gibson-Graham (2003) argued for developing different representations of economic identity and different narratives of economic development. </w:t>
      </w:r>
      <w:r w:rsidR="0034053F" w:rsidRPr="009A7163">
        <w:t>Gibson-Graham (1996)</w:t>
      </w:r>
      <w:r w:rsidRPr="009A7163">
        <w:t xml:space="preserve"> elaborate:</w:t>
      </w:r>
    </w:p>
    <w:p w14:paraId="27EA8B23" w14:textId="20B79885" w:rsidR="001C443C" w:rsidRPr="009A7163" w:rsidRDefault="001C443C" w:rsidP="00293176">
      <w:pPr>
        <w:spacing w:after="180"/>
        <w:ind w:left="720"/>
        <w:jc w:val="both"/>
      </w:pPr>
      <w:r w:rsidRPr="009A7163">
        <w:t>Our interest is in developing alternative ways of thinking economy outside of dominant capitalocentric</w:t>
      </w:r>
      <w:r w:rsidR="008D71B5" w:rsidRPr="009A7163">
        <w:t xml:space="preserve"> </w:t>
      </w:r>
      <w:r w:rsidRPr="009A7163">
        <w:t>conceptions. Such conceptions position non-capitalist economic activities with respect to capitalist economic activities in the same way that woman is positioned with respect to man in a phallocentric symbolic order—as the same as, a complement of, opposite to (and we have added contained within) the dominant term</w:t>
      </w:r>
      <w:r w:rsidR="0034053F" w:rsidRPr="009A7163">
        <w:t>.</w:t>
      </w:r>
      <w:r w:rsidR="007A079F" w:rsidRPr="009A7163">
        <w:t xml:space="preserve"> (p. 35)</w:t>
      </w:r>
    </w:p>
    <w:p w14:paraId="6BE891EF" w14:textId="71EDEB0B" w:rsidR="001C443C" w:rsidRPr="009A7163" w:rsidRDefault="001C443C" w:rsidP="001C443C">
      <w:pPr>
        <w:spacing w:line="360" w:lineRule="auto"/>
        <w:ind w:firstLine="720"/>
        <w:jc w:val="both"/>
      </w:pPr>
      <w:r w:rsidRPr="009A7163">
        <w:t xml:space="preserve">Cameron and Gibson-Graham (2003) </w:t>
      </w:r>
      <w:r w:rsidR="007A079F" w:rsidRPr="009A7163">
        <w:t>argue</w:t>
      </w:r>
      <w:r w:rsidRPr="009A7163">
        <w:t xml:space="preserve"> for alternative concepts of the economy which deconstruct the economy</w:t>
      </w:r>
      <w:r w:rsidR="0034053F" w:rsidRPr="009A7163">
        <w:t>, stating:</w:t>
      </w:r>
      <w:r w:rsidRPr="009A7163">
        <w:t xml:space="preserve"> ‘Feminist rethinkings have responded to the exclusion of feminised activities from the economy by challenging and shifting the boundary between what is considered economic and non-economic’ (p. 146)</w:t>
      </w:r>
      <w:r w:rsidR="0034053F" w:rsidRPr="009A7163">
        <w:t>,</w:t>
      </w:r>
      <w:r w:rsidRPr="009A7163">
        <w:t xml:space="preserve"> which reinforces binary opposites</w:t>
      </w:r>
      <w:r w:rsidR="0034053F" w:rsidRPr="009A7163">
        <w:t>. They</w:t>
      </w:r>
      <w:r w:rsidRPr="009A7163">
        <w:t xml:space="preserve"> later warn:</w:t>
      </w:r>
    </w:p>
    <w:p w14:paraId="54335DF5" w14:textId="0A90F047" w:rsidR="001C443C" w:rsidRPr="009A7163" w:rsidRDefault="001C443C" w:rsidP="00293176">
      <w:pPr>
        <w:spacing w:after="180"/>
        <w:ind w:left="720"/>
        <w:jc w:val="both"/>
      </w:pPr>
      <w:r w:rsidRPr="009A7163">
        <w:t xml:space="preserve">Feminism has produced a representation that aligns the feminine with domestic production/ the sphere of reproduction/the gift economy/the economy of care, but that separates this and opposes it in some way to the market or the sphere of production that is aligned with the masculine. Each part of the whole tends to be seen as distinct and arranged in opposition to the other. The strategy of ‘completing’ the economy has implications for emancipatory and transformative projects like feminism and left </w:t>
      </w:r>
      <w:r w:rsidR="00E609F0" w:rsidRPr="009A7163">
        <w:t>politics. (</w:t>
      </w:r>
      <w:r w:rsidR="0034053F" w:rsidRPr="009A7163">
        <w:t xml:space="preserve">Cameron and Gibson-Graham, </w:t>
      </w:r>
      <w:r w:rsidRPr="009A7163">
        <w:t>2003, p. 149</w:t>
      </w:r>
      <w:r w:rsidR="0034053F" w:rsidRPr="009A7163">
        <w:t>–</w:t>
      </w:r>
      <w:r w:rsidRPr="009A7163">
        <w:t xml:space="preserve">50). </w:t>
      </w:r>
    </w:p>
    <w:p w14:paraId="76A0D335" w14:textId="4A4E1F46" w:rsidR="002B739D" w:rsidRPr="009A7163" w:rsidRDefault="002B739D" w:rsidP="008D71B5">
      <w:pPr>
        <w:spacing w:line="360" w:lineRule="auto"/>
        <w:ind w:firstLine="720"/>
        <w:jc w:val="both"/>
      </w:pPr>
      <w:r w:rsidRPr="009A7163">
        <w:t>Cameron and Gibson-Graham (2006)</w:t>
      </w:r>
      <w:r w:rsidR="001C443C" w:rsidRPr="009A7163">
        <w:t xml:space="preserve"> argue for a deconstruction of the economy and in particular that we take care in how we discursively represent the economy, stressing: </w:t>
      </w:r>
      <w:r w:rsidR="00DE462D" w:rsidRPr="009A7163">
        <w:t>‘</w:t>
      </w:r>
      <w:r w:rsidR="001C443C" w:rsidRPr="009A7163">
        <w:t>The way we represent capitalism (as all-encompassing and pervasive, or as uneven, fragile, and less extensive than imagined) has an important impact on the way we imagine, act, and claim new spaces of intervention. For us, post-structuralism has offered a less singular and solid analysis of power and thus more room to maneuvere’ (p. 74)</w:t>
      </w:r>
      <w:r w:rsidRPr="009A7163">
        <w:t>,</w:t>
      </w:r>
      <w:r w:rsidR="001C443C" w:rsidRPr="009A7163">
        <w:t xml:space="preserve"> and</w:t>
      </w:r>
      <w:r w:rsidRPr="009A7163">
        <w:t xml:space="preserve"> further state,</w:t>
      </w:r>
      <w:r w:rsidR="001C443C" w:rsidRPr="009A7163">
        <w:t xml:space="preserve"> </w:t>
      </w:r>
    </w:p>
    <w:p w14:paraId="38FEC530" w14:textId="23ED1847" w:rsidR="002B739D" w:rsidRPr="009A7163" w:rsidRDefault="001C443C" w:rsidP="007A3A29">
      <w:pPr>
        <w:spacing w:after="180"/>
        <w:ind w:left="720"/>
        <w:jc w:val="both"/>
      </w:pPr>
      <w:r w:rsidRPr="009A7163">
        <w:t>Without our knowing it, it appears that our feminist actions (which we believed to be contributing to progressive social transformation) have contributed to the even greater structural hold of capitalism over our lives - to an economic agenda ‘pleasing’ to international capital. What is the image of power that underlies such an interpretation of events? It seems to be one in which power is predominantly distributed to capital. (ibid)</w:t>
      </w:r>
    </w:p>
    <w:p w14:paraId="51A85BA4" w14:textId="19D8CA94" w:rsidR="001C443C" w:rsidRPr="009A7163" w:rsidRDefault="001C443C" w:rsidP="008D71B5">
      <w:pPr>
        <w:spacing w:line="360" w:lineRule="auto"/>
        <w:ind w:firstLine="720"/>
        <w:jc w:val="both"/>
      </w:pPr>
      <w:r w:rsidRPr="009A7163">
        <w:t xml:space="preserve">The notion of challenging notions of the economy and challenging the power of the economic also echoes arguments for approaches to the economy which emphasise </w:t>
      </w:r>
      <w:r w:rsidRPr="009A7163">
        <w:lastRenderedPageBreak/>
        <w:t>the ‘sustainability of life’ as a guiding principle (</w:t>
      </w:r>
      <w:r w:rsidR="00C86759" w:rsidRPr="009A7163">
        <w:t>s</w:t>
      </w:r>
      <w:r w:rsidRPr="009A7163">
        <w:t>ee Carrasco, 2001</w:t>
      </w:r>
      <w:r w:rsidR="003E7A75" w:rsidRPr="009A7163">
        <w:t>, and</w:t>
      </w:r>
      <w:r w:rsidRPr="009A7163">
        <w:t xml:space="preserve"> Orozco Perez, 2003)</w:t>
      </w:r>
      <w:r w:rsidRPr="009A7163">
        <w:rPr>
          <w:vertAlign w:val="superscript"/>
        </w:rPr>
        <w:footnoteReference w:id="42"/>
      </w:r>
      <w:r w:rsidR="00CF3622" w:rsidRPr="009A7163">
        <w:t xml:space="preserve">and </w:t>
      </w:r>
      <w:r w:rsidRPr="009A7163">
        <w:t>a ‘people centred economy’ (Fontana, 2011)</w:t>
      </w:r>
      <w:r w:rsidR="00CF3622" w:rsidRPr="009A7163">
        <w:t>.</w:t>
      </w:r>
      <w:r w:rsidRPr="009A7163">
        <w:t xml:space="preserve"> </w:t>
      </w:r>
      <w:r w:rsidR="00CF3622" w:rsidRPr="009A7163">
        <w:t>Finally, related to these is</w:t>
      </w:r>
      <w:r w:rsidRPr="009A7163">
        <w:t xml:space="preserve"> the argument for ‘Caring for Wellbeing’ w</w:t>
      </w:r>
      <w:r w:rsidR="00CF3622" w:rsidRPr="009A7163">
        <w:t>hich Eyben and Fon</w:t>
      </w:r>
      <w:r w:rsidR="00832ECF" w:rsidRPr="009A7163">
        <w:t>tana</w:t>
      </w:r>
      <w:r w:rsidR="00CF3622" w:rsidRPr="009A7163">
        <w:t xml:space="preserve"> (2011) describe in the following:</w:t>
      </w:r>
      <w:r w:rsidRPr="009A7163">
        <w:t xml:space="preserve"> ‘In sum, it is the economy that needs to become caring not care that needs to become like the market’ (p. 12)</w:t>
      </w:r>
      <w:r w:rsidR="00C86759" w:rsidRPr="009A7163">
        <w:t>.</w:t>
      </w:r>
      <w:r w:rsidRPr="009A7163">
        <w:t xml:space="preserve"> </w:t>
      </w:r>
    </w:p>
    <w:p w14:paraId="42D08209" w14:textId="424DA6D1" w:rsidR="001C443C" w:rsidRPr="009A7163" w:rsidRDefault="001C443C">
      <w:pPr>
        <w:spacing w:after="240" w:line="360" w:lineRule="auto"/>
        <w:ind w:firstLine="720"/>
        <w:jc w:val="both"/>
      </w:pPr>
      <w:r w:rsidRPr="009A7163">
        <w:t>This new call for a people</w:t>
      </w:r>
      <w:r w:rsidR="002679DA" w:rsidRPr="009A7163">
        <w:t>-</w:t>
      </w:r>
      <w:r w:rsidRPr="009A7163">
        <w:t>centred and more caring economy is a crucial consideration for endeavours that focus on women’s empowerment being ‘smart economics’ (a phrase coined by The World Bank). The World Bank’s ‘Gender Equality as Smart Economics’ fiscal action plan for 2007</w:t>
      </w:r>
      <w:r w:rsidR="002679DA" w:rsidRPr="009A7163">
        <w:t>–</w:t>
      </w:r>
      <w:r w:rsidRPr="009A7163">
        <w:t>2010 starts with this quote by The Economist: ‘Forget China, India and the Internet: Economic growth is drive by women</w:t>
      </w:r>
      <w:r w:rsidR="002679DA" w:rsidRPr="009A7163">
        <w:t>’</w:t>
      </w:r>
      <w:r w:rsidRPr="009A7163">
        <w:t xml:space="preserve"> (World Bank, 2006). In an earlier report they argue </w:t>
      </w:r>
      <w:r w:rsidR="002679DA" w:rsidRPr="009A7163">
        <w:t xml:space="preserve">that, </w:t>
      </w:r>
      <w:r w:rsidRPr="009A7163">
        <w:t>‘Investing in women is critical for poverty reduction. It speeds economic development by raising productivity and promoting the more efficient use of resources; it produces significant social returns, improving child survival and reducing fertility, and it has considerable intergenerational pay-offs</w:t>
      </w:r>
      <w:r w:rsidR="002679DA" w:rsidRPr="009A7163">
        <w:t>’</w:t>
      </w:r>
      <w:r w:rsidRPr="009A7163">
        <w:t xml:space="preserve"> (World Bank, 1995</w:t>
      </w:r>
      <w:r w:rsidR="002679DA" w:rsidRPr="009A7163">
        <w:t>, p.</w:t>
      </w:r>
      <w:r w:rsidRPr="009A7163">
        <w:t xml:space="preserve"> 22) The arguments around investing in women</w:t>
      </w:r>
      <w:r w:rsidR="002679DA" w:rsidRPr="009A7163">
        <w:t>,</w:t>
      </w:r>
      <w:r w:rsidRPr="009A7163">
        <w:t xml:space="preserve"> as Fontana</w:t>
      </w:r>
      <w:r w:rsidR="002679DA" w:rsidRPr="009A7163">
        <w:t xml:space="preserve"> (2009)</w:t>
      </w:r>
      <w:r w:rsidRPr="009A7163">
        <w:t xml:space="preserve"> argue</w:t>
      </w:r>
      <w:r w:rsidR="00CF3622" w:rsidRPr="009A7163">
        <w:t>s</w:t>
      </w:r>
      <w:r w:rsidR="002679DA" w:rsidRPr="009A7163">
        <w:t>,</w:t>
      </w:r>
      <w:r w:rsidRPr="009A7163">
        <w:t xml:space="preserve"> ignore the ‘fundamental gender inequalities associated with the unpaid work of household maintenance and sustenance of society on which the market economy depends’ (p. 1). This next section will explore </w:t>
      </w:r>
      <w:r w:rsidR="00DC0701" w:rsidRPr="009A7163">
        <w:t>WEE</w:t>
      </w:r>
      <w:r w:rsidRPr="009A7163">
        <w:t xml:space="preserve"> and how</w:t>
      </w:r>
      <w:r w:rsidR="00DC0701" w:rsidRPr="009A7163">
        <w:t>,</w:t>
      </w:r>
      <w:r w:rsidRPr="009A7163">
        <w:t xml:space="preserve"> like in the example of The World Bank</w:t>
      </w:r>
      <w:r w:rsidR="00DC0701" w:rsidRPr="009A7163">
        <w:t>, WEE</w:t>
      </w:r>
      <w:r w:rsidRPr="009A7163">
        <w:t xml:space="preserve"> has become detached from the broader goals of women’s empowerment.</w:t>
      </w:r>
    </w:p>
    <w:p w14:paraId="54197CD8" w14:textId="62F0FEE6" w:rsidR="001C443C" w:rsidRPr="009A7163" w:rsidRDefault="001C443C" w:rsidP="00293176">
      <w:pPr>
        <w:pStyle w:val="Heading2"/>
        <w:rPr>
          <w:lang w:val="en-GB"/>
        </w:rPr>
      </w:pPr>
      <w:bookmarkStart w:id="20" w:name="_Toc526819256"/>
      <w:r w:rsidRPr="009A7163">
        <w:rPr>
          <w:lang w:val="en-GB"/>
        </w:rPr>
        <w:t>2.3  Women’s Empowerment and Women’s Economic Empowerment</w:t>
      </w:r>
      <w:bookmarkEnd w:id="20"/>
      <w:r w:rsidRPr="009A7163">
        <w:rPr>
          <w:lang w:val="en-GB"/>
        </w:rPr>
        <w:t xml:space="preserve"> </w:t>
      </w:r>
    </w:p>
    <w:p w14:paraId="70D741AF" w14:textId="440EF208" w:rsidR="001C443C" w:rsidRPr="009A7163" w:rsidRDefault="001C443C" w:rsidP="00293176">
      <w:pPr>
        <w:spacing w:after="240" w:line="360" w:lineRule="auto"/>
        <w:ind w:firstLine="720"/>
        <w:jc w:val="both"/>
      </w:pPr>
      <w:r w:rsidRPr="009A7163">
        <w:t xml:space="preserve">The question of whether economic versus non-economic empowerment is a false dichotomy is one that has been posed recently (Kabeer, 2017). Scholarship and debates suggest that the two concepts of empowerment have become separated, which has led to a recent trend of focusing solely on WEE. Understanding the difference between women’s empowerment and WEE requires examining earlier </w:t>
      </w:r>
      <w:r w:rsidRPr="009A7163">
        <w:lastRenderedPageBreak/>
        <w:t xml:space="preserve">conceptualizations of women’s empowerment and the factors that led to the rise of WEE as a dominant discourse. </w:t>
      </w:r>
    </w:p>
    <w:p w14:paraId="0CFFC0E7" w14:textId="77777777" w:rsidR="001C443C" w:rsidRPr="009A7163" w:rsidRDefault="001C443C" w:rsidP="00293176">
      <w:pPr>
        <w:pStyle w:val="Heading3"/>
      </w:pPr>
      <w:bookmarkStart w:id="21" w:name="_Toc526819257"/>
      <w:r w:rsidRPr="009A7163">
        <w:t>2.3.1  Tracing Women’s Empowerment</w:t>
      </w:r>
      <w:bookmarkEnd w:id="21"/>
      <w:r w:rsidRPr="009A7163">
        <w:t xml:space="preserve"> </w:t>
      </w:r>
    </w:p>
    <w:p w14:paraId="4A9807CD" w14:textId="0CFC99A7" w:rsidR="001C443C" w:rsidRPr="009A7163" w:rsidRDefault="001C443C" w:rsidP="001C443C">
      <w:pPr>
        <w:spacing w:line="360" w:lineRule="auto"/>
        <w:ind w:firstLine="720"/>
        <w:jc w:val="both"/>
      </w:pPr>
      <w:r w:rsidRPr="009A7163">
        <w:t>Kabeer (2012</w:t>
      </w:r>
      <w:r w:rsidR="00A4153B" w:rsidRPr="009A7163">
        <w:t>b</w:t>
      </w:r>
      <w:r w:rsidRPr="009A7163">
        <w:t>) argue</w:t>
      </w:r>
      <w:r w:rsidR="00CF3622" w:rsidRPr="009A7163">
        <w:t>s</w:t>
      </w:r>
      <w:r w:rsidR="00DC0701" w:rsidRPr="009A7163">
        <w:t xml:space="preserve"> that</w:t>
      </w:r>
      <w:r w:rsidRPr="009A7163">
        <w:t xml:space="preserve"> ‘while concerns with women’s empowerment have their roots in grass roots mobilisations, feminist scholars helped to move these concerns onto the gender and development agenda’ (p. 5). It was in the late 1970s and 1980s that empowerment emerged as a way to challenge patriarch</w:t>
      </w:r>
      <w:r w:rsidR="00DC0701" w:rsidRPr="009A7163">
        <w:t>y</w:t>
      </w:r>
      <w:r w:rsidR="000F54BE" w:rsidRPr="009A7163">
        <w:t xml:space="preserve"> </w:t>
      </w:r>
      <w:r w:rsidRPr="009A7163">
        <w:t>and was linked to an emerging feminist and radical discourse credited to the feminist movement in the Global South (Calves, 2009). The contributions of these feminist scholars (Agarwal, 1994</w:t>
      </w:r>
      <w:r w:rsidR="00DC0701" w:rsidRPr="009A7163">
        <w:t>;</w:t>
      </w:r>
      <w:r w:rsidRPr="009A7163">
        <w:t xml:space="preserve"> Batliwala, 1993</w:t>
      </w:r>
      <w:r w:rsidR="00DC0701" w:rsidRPr="009A7163">
        <w:t>;</w:t>
      </w:r>
      <w:r w:rsidRPr="009A7163">
        <w:t xml:space="preserve"> Kabeer, 1994</w:t>
      </w:r>
      <w:r w:rsidR="00DC0701" w:rsidRPr="009A7163">
        <w:t>;</w:t>
      </w:r>
      <w:r w:rsidRPr="009A7163">
        <w:t xml:space="preserve"> Rowlands, 1997) argued that unequal power relations affected women’s capacity to participate and influence in developmental process as well as other processes</w:t>
      </w:r>
      <w:r w:rsidR="00DC0701" w:rsidRPr="009A7163">
        <w:t>.</w:t>
      </w:r>
      <w:r w:rsidRPr="009A7163">
        <w:t xml:space="preserve"> </w:t>
      </w:r>
      <w:r w:rsidR="00DC0701" w:rsidRPr="009A7163">
        <w:t>T</w:t>
      </w:r>
      <w:r w:rsidRPr="009A7163">
        <w:t xml:space="preserve">hey further drew attention to the means of which women could challenge these constraints at an individual and collective level. Empowerment was ‘the process of challenging existing power relations and of gaining greater control over the sources of power’ (Batliwala, 1994, p. 13). </w:t>
      </w:r>
    </w:p>
    <w:p w14:paraId="457031EB" w14:textId="5D373A23" w:rsidR="001C443C" w:rsidRPr="009A7163" w:rsidRDefault="001C443C" w:rsidP="001C443C">
      <w:pPr>
        <w:spacing w:line="360" w:lineRule="auto"/>
        <w:ind w:firstLine="720"/>
        <w:jc w:val="both"/>
      </w:pPr>
      <w:r w:rsidRPr="009A7163">
        <w:t>The contributions of these scholars were varied and still prove valuable to our understandings today and particularly to this study. The key characteristics of their definition of empowerment can be summarised by four key features. Firstly, there was a focus on women’s subjectivity and consciousness as fundamental part of change, this is what Rowlands refers to as ‘power within’. Rowlands (1997, p. 16) compares empowerment to Freire (197</w:t>
      </w:r>
      <w:r w:rsidR="00996767" w:rsidRPr="009A7163">
        <w:t>5</w:t>
      </w:r>
      <w:r w:rsidRPr="009A7163">
        <w:t xml:space="preserve">) idea of conscientization, whereby the later centers on individuals becoming subjects in their own lives that is an understanding of their circumstances and the social environment that leads to action. The gain </w:t>
      </w:r>
      <w:r w:rsidR="00DC0701" w:rsidRPr="009A7163">
        <w:t xml:space="preserve">in </w:t>
      </w:r>
      <w:r w:rsidRPr="009A7163">
        <w:t>critical consciousness was related to undoing the effects of internalised oppression. This link to oppression goes back to the work of Freire. This ‘inner transformation’ was argued to be essential to the formulation of choices, which became another key characteristic of definitions of empowerment at this time. The argument was that women should be able to define self-interest and choice, and consider themselves as not only able but entitled to make choices (Kabeer, 2001; Nussbaum 2000; Rowlands 1995; A. Sen, 1999; G. Sen, 1993), which is essential for challenging the status quo (Kabeer, 2011).</w:t>
      </w:r>
    </w:p>
    <w:p w14:paraId="03D39765" w14:textId="518B93C2" w:rsidR="00DC0701" w:rsidRPr="009A7163" w:rsidRDefault="001C443C" w:rsidP="00254D9D">
      <w:pPr>
        <w:spacing w:line="360" w:lineRule="auto"/>
        <w:ind w:firstLine="720"/>
        <w:jc w:val="both"/>
      </w:pPr>
      <w:r w:rsidRPr="009A7163">
        <w:t xml:space="preserve">Secondly, feminist scholars emphasised ‘the importance of valued resources (material, human as well as social) to women’s capacity to exercise greater control over key aspects of their lives and to participate in the wider societies (‘the power to’)’ </w:t>
      </w:r>
      <w:r w:rsidRPr="009A7163">
        <w:lastRenderedPageBreak/>
        <w:t>(Kabeer, 2012</w:t>
      </w:r>
      <w:r w:rsidR="00A4153B" w:rsidRPr="009A7163">
        <w:t>b</w:t>
      </w:r>
      <w:r w:rsidRPr="009A7163">
        <w:t>, p. 6)</w:t>
      </w:r>
      <w:r w:rsidR="00DC0701" w:rsidRPr="009A7163">
        <w:t>.</w:t>
      </w:r>
      <w:r w:rsidRPr="009A7163">
        <w:t xml:space="preserve"> They analysed gender in terms of the inequalities of power and privilege that characterised the relations between men and women across the world. While these power relations were manifested in daily life as inequalities in resources, capabilities and opportunities at the individual level, the apparent resilience of these inequalities reflected their historically entrenched nature, their pervasiveness in all spheres of life and their internalization by both dominant and subordinate group</w:t>
      </w:r>
      <w:r w:rsidR="00DC0701" w:rsidRPr="009A7163">
        <w:t>s</w:t>
      </w:r>
      <w:r w:rsidRPr="009A7163">
        <w:t xml:space="preserve"> (Kabeer, 2017)</w:t>
      </w:r>
      <w:r w:rsidR="00DC0701" w:rsidRPr="009A7163">
        <w:t>. S</w:t>
      </w:r>
      <w:r w:rsidRPr="009A7163">
        <w:t>pecifically, as Kabeer (2017) argue</w:t>
      </w:r>
      <w:r w:rsidR="005113F0" w:rsidRPr="009A7163">
        <w:t>s</w:t>
      </w:r>
      <w:r w:rsidR="00DC0701" w:rsidRPr="009A7163">
        <w:t>,</w:t>
      </w:r>
      <w:r w:rsidRPr="009A7163">
        <w:t xml:space="preserve"> they examined how gender inequalities were rooted in larger structures that govern valuable resources and how these structures are naturalised over time. Furthermore, the politically engaged feminist scholars of this time contended that these inequalities are repeated and enforced in and between the domestic and public domain</w:t>
      </w:r>
      <w:r w:rsidR="00DC0701" w:rsidRPr="009A7163">
        <w:t>,</w:t>
      </w:r>
      <w:r w:rsidRPr="009A7163">
        <w:t xml:space="preserve"> whereby gender divisions of roles and resources in the family are reflections of society. So domestic ideologies are in fact gender ideologies that are reproduced and reinforced in different spheres. They explored how these inequalities at both material and ideological levels become so ingrained</w:t>
      </w:r>
      <w:r w:rsidR="00DC0701" w:rsidRPr="009A7163">
        <w:t>,</w:t>
      </w:r>
      <w:r w:rsidRPr="009A7163">
        <w:t xml:space="preserve"> like the concept of (‘doxa’)</w:t>
      </w:r>
      <w:r w:rsidR="00DC0701" w:rsidRPr="009A7163">
        <w:t>,</w:t>
      </w:r>
      <w:r w:rsidRPr="009A7163">
        <w:t xml:space="preserve"> that they were as much about one’s sense of identity and perceived place in the world</w:t>
      </w:r>
      <w:r w:rsidR="00DC0701" w:rsidRPr="009A7163">
        <w:t xml:space="preserve"> and </w:t>
      </w:r>
      <w:r w:rsidRPr="009A7163">
        <w:t xml:space="preserve">social hierarchy as they were about material inequalities (Kabeer, 2017). </w:t>
      </w:r>
    </w:p>
    <w:p w14:paraId="10ADA9BB" w14:textId="3344708A" w:rsidR="0007571D" w:rsidRPr="009A7163" w:rsidRDefault="001C443C" w:rsidP="001C443C">
      <w:pPr>
        <w:spacing w:line="360" w:lineRule="auto"/>
        <w:ind w:firstLine="720"/>
        <w:jc w:val="both"/>
      </w:pPr>
      <w:r w:rsidRPr="009A7163">
        <w:t xml:space="preserve">The third feature of these definitions of empowerment emphasised the importance of collective action in order to understand and deconstruct the institutionalised injustices of gender inequalities that they face and to come together to fight this. This collective action was in Rowlands terms ‘the power with’. This is </w:t>
      </w:r>
      <w:r w:rsidR="00DC0701" w:rsidRPr="009A7163">
        <w:t xml:space="preserve">of </w:t>
      </w:r>
      <w:r w:rsidRPr="009A7163">
        <w:t xml:space="preserve">particular relevance to this research since the literature on unpaid work acknowledges that the burden of unpaid work on women is a structural problem and not just an issue that should be relegated and dealt with in the house. </w:t>
      </w:r>
      <w:r w:rsidR="00D5377B" w:rsidRPr="009A7163">
        <w:t>Furthermore,</w:t>
      </w:r>
      <w:r w:rsidRPr="009A7163">
        <w:t xml:space="preserve"> as Batliwala (1993) argue</w:t>
      </w:r>
      <w:r w:rsidR="005113F0" w:rsidRPr="009A7163">
        <w:t>s</w:t>
      </w:r>
      <w:r w:rsidR="00DC0701" w:rsidRPr="009A7163">
        <w:t>,</w:t>
      </w:r>
      <w:r w:rsidRPr="009A7163">
        <w:t xml:space="preserve"> change needs to </w:t>
      </w:r>
      <w:r w:rsidR="00DC0701" w:rsidRPr="009A7163">
        <w:t>be offered</w:t>
      </w:r>
      <w:r w:rsidRPr="009A7163">
        <w:t xml:space="preserve"> at three levels: </w:t>
      </w:r>
      <w:r w:rsidR="00DC0701" w:rsidRPr="009A7163">
        <w:t xml:space="preserve">1) </w:t>
      </w:r>
      <w:r w:rsidRPr="009A7163">
        <w:t>through questioning the structures</w:t>
      </w:r>
      <w:r w:rsidR="00DC0701" w:rsidRPr="009A7163">
        <w:t xml:space="preserve"> and</w:t>
      </w:r>
      <w:r w:rsidRPr="009A7163">
        <w:t xml:space="preserve"> ideologies that justify inequality</w:t>
      </w:r>
      <w:r w:rsidR="00DC0701" w:rsidRPr="009A7163">
        <w:t>, 2)</w:t>
      </w:r>
      <w:r w:rsidRPr="009A7163">
        <w:t xml:space="preserve"> by changing the means and control of resources and </w:t>
      </w:r>
      <w:r w:rsidR="00DC0701" w:rsidRPr="009A7163">
        <w:t xml:space="preserve">3) </w:t>
      </w:r>
      <w:r w:rsidRPr="009A7163">
        <w:t>by transforming the structures and institutions that reinforce and maintain existing power systems (</w:t>
      </w:r>
      <w:r w:rsidR="00DC0701" w:rsidRPr="009A7163">
        <w:t>e.g.,</w:t>
      </w:r>
      <w:r w:rsidRPr="009A7163">
        <w:t xml:space="preserve"> family, the state, the market, education and media</w:t>
      </w:r>
      <w:r w:rsidR="005113F0" w:rsidRPr="009A7163">
        <w:t>).</w:t>
      </w:r>
    </w:p>
    <w:p w14:paraId="6A27BA19" w14:textId="44EE8587" w:rsidR="0007571D" w:rsidRPr="009A7163" w:rsidRDefault="001C443C" w:rsidP="001C443C">
      <w:pPr>
        <w:spacing w:line="360" w:lineRule="auto"/>
        <w:ind w:firstLine="720"/>
        <w:jc w:val="both"/>
      </w:pPr>
      <w:r w:rsidRPr="009A7163">
        <w:t>The fourth and last of these conceptualizations recognised that women were not a homogenous group and that women experienced other inequalities (</w:t>
      </w:r>
      <w:r w:rsidR="0007571D" w:rsidRPr="009A7163">
        <w:t xml:space="preserve">e.g., </w:t>
      </w:r>
      <w:r w:rsidRPr="009A7163">
        <w:t>class, caste, race) that intersected with their gender inequality. Molyneux</w:t>
      </w:r>
      <w:r w:rsidR="0007571D" w:rsidRPr="009A7163">
        <w:t>’s</w:t>
      </w:r>
      <w:r w:rsidRPr="009A7163">
        <w:t xml:space="preserve"> (1985) argument for practical and strategic needs spoke to these differences</w:t>
      </w:r>
      <w:r w:rsidR="0007571D" w:rsidRPr="009A7163">
        <w:t>, as well as</w:t>
      </w:r>
      <w:r w:rsidRPr="009A7163">
        <w:t xml:space="preserve"> the commonalities of injustice that women face. Women’s practical needs were contextual and based on their roles and responsibilities in a socio-economic hierarchy</w:t>
      </w:r>
      <w:r w:rsidR="0007571D" w:rsidRPr="009A7163">
        <w:t>,</w:t>
      </w:r>
      <w:r w:rsidRPr="009A7163">
        <w:t xml:space="preserve"> and their strategic </w:t>
      </w:r>
      <w:r w:rsidRPr="009A7163">
        <w:lastRenderedPageBreak/>
        <w:t>interests were about the structures of constraints and ways to address shared experiences of oppression. Moser (1989) define</w:t>
      </w:r>
      <w:r w:rsidR="005113F0" w:rsidRPr="009A7163">
        <w:t>s</w:t>
      </w:r>
      <w:r w:rsidRPr="009A7163">
        <w:t xml:space="preserve"> different typologies of gender needs: </w:t>
      </w:r>
    </w:p>
    <w:p w14:paraId="3C2E75ED" w14:textId="108E267B" w:rsidR="001C443C" w:rsidRPr="009A7163" w:rsidRDefault="0007571D" w:rsidP="007A3A29">
      <w:pPr>
        <w:spacing w:after="240"/>
        <w:ind w:left="720"/>
        <w:jc w:val="both"/>
      </w:pPr>
      <w:r w:rsidRPr="009A7163">
        <w:t>[S]</w:t>
      </w:r>
      <w:r w:rsidR="001C443C" w:rsidRPr="009A7163">
        <w:t>trategic gender needs are those needs which are formulated from the analysis of women’s subordination to men, and deriving out of this the strategic gender interest identified for an alternative, more equal, and satisfactory organization of society than that which exists at present in terms of both the structure and nature of relationships between men and women…In contrast, practical gender needs are those needs that are formulated from the concrete conditions women experience, in their engendered position within the sexual division of labour, and deriving out of this their practical gender interests for human survival. Unlike strategic gender needs, practical gender needs are formulated directly by women in these positions, rather than through external interventions. Practical needs, therefore, are usually a response to an immediate perceived necessity that is identified by women within a specific context</w:t>
      </w:r>
      <w:r w:rsidRPr="009A7163">
        <w:t>.</w:t>
      </w:r>
      <w:r w:rsidR="001C443C" w:rsidRPr="009A7163">
        <w:t xml:space="preserve"> (p. 1803</w:t>
      </w:r>
      <w:r w:rsidRPr="009A7163">
        <w:t>)</w:t>
      </w:r>
    </w:p>
    <w:p w14:paraId="7DE7B756" w14:textId="3D480863" w:rsidR="001C443C" w:rsidRPr="009A7163" w:rsidRDefault="001C443C">
      <w:pPr>
        <w:spacing w:after="240" w:line="360" w:lineRule="auto"/>
        <w:ind w:firstLine="720"/>
        <w:jc w:val="both"/>
      </w:pPr>
      <w:r w:rsidRPr="009A7163">
        <w:t>Three important insights on empowerment came out of this period: first, empowerment is about changing relations – not just about people gaining more confidence; second, empowerment is relational; and, third, empowerment is a process (Cornwall, 2014, p. 3). Empowerment was understood as a gradual and forward-moving process and far from being linear, predictable or easy (VeneKlassen and Miller, 2002). This later led some academics to conceptualise empowerment as pathways (see Cornwall, 2014).</w:t>
      </w:r>
      <w:r w:rsidRPr="009A7163">
        <w:rPr>
          <w:vertAlign w:val="superscript"/>
        </w:rPr>
        <w:footnoteReference w:id="43"/>
      </w:r>
      <w:r w:rsidRPr="009A7163">
        <w:t xml:space="preserve">  Some have criticised early definitions for their lack of focus on men and the possibilities of working with them (Chant, 2000; Cornwall 2000)</w:t>
      </w:r>
      <w:r w:rsidR="002E7219" w:rsidRPr="009A7163">
        <w:t xml:space="preserve">. Others, like the </w:t>
      </w:r>
      <w:r w:rsidRPr="009A7163">
        <w:t>article ‘Men-streaming gender? Questions for gender and development policy in the twenty-first century’ (Chant and Gutmann, 2002)</w:t>
      </w:r>
      <w:r w:rsidR="005113F0" w:rsidRPr="009A7163">
        <w:t>,</w:t>
      </w:r>
      <w:r w:rsidRPr="009A7163">
        <w:t xml:space="preserve"> </w:t>
      </w:r>
      <w:r w:rsidR="002E7219" w:rsidRPr="009A7163">
        <w:t xml:space="preserve">argue </w:t>
      </w:r>
      <w:r w:rsidRPr="009A7163">
        <w:t>that ‘men as a gendered category in a feminist sense – involving unequal power relations between men and women and between men – have rarely been drawn into development programmes in any substantial way’ (</w:t>
      </w:r>
      <w:r w:rsidR="005113F0" w:rsidRPr="009A7163">
        <w:t xml:space="preserve">ibid, </w:t>
      </w:r>
      <w:r w:rsidRPr="009A7163">
        <w:t xml:space="preserve">p. 269). </w:t>
      </w:r>
      <w:r w:rsidR="002E7219" w:rsidRPr="009A7163">
        <w:t>Yet o</w:t>
      </w:r>
      <w:r w:rsidRPr="009A7163">
        <w:t xml:space="preserve">thers have highlighted the dominance of ‘heterosexual family’ </w:t>
      </w:r>
      <w:r w:rsidR="002E7219" w:rsidRPr="009A7163">
        <w:t>two</w:t>
      </w:r>
      <w:r w:rsidRPr="009A7163">
        <w:t>-parent template underlying these early conceptualizations</w:t>
      </w:r>
      <w:r w:rsidR="002E7219" w:rsidRPr="009A7163">
        <w:t xml:space="preserve">. </w:t>
      </w:r>
      <w:r w:rsidRPr="009A7163">
        <w:t>Recent criticisms have also highlighted the focus ‘on the normative dimensions of development programmes, and, in particular on the implicit or explicit heteronormativity that lies at the heart of the development industry’ (Griffin, 2006</w:t>
      </w:r>
      <w:r w:rsidR="00C86759" w:rsidRPr="009A7163">
        <w:t>,</w:t>
      </w:r>
      <w:r w:rsidRPr="009A7163">
        <w:t xml:space="preserve"> cited in Cornwall, 2008, p. 2; see also Bedford, 2005).</w:t>
      </w:r>
    </w:p>
    <w:p w14:paraId="3D714F89" w14:textId="77777777" w:rsidR="001C443C" w:rsidRPr="009A7163" w:rsidRDefault="001C443C" w:rsidP="00293176">
      <w:pPr>
        <w:pStyle w:val="Heading3"/>
      </w:pPr>
      <w:bookmarkStart w:id="22" w:name="_Toc526819258"/>
      <w:r w:rsidRPr="009A7163">
        <w:lastRenderedPageBreak/>
        <w:t>2.3.2  Women’s Empowerment Mainstreamed</w:t>
      </w:r>
      <w:bookmarkEnd w:id="22"/>
    </w:p>
    <w:p w14:paraId="3F0506D2" w14:textId="41B655EE" w:rsidR="001C443C" w:rsidRPr="009A7163" w:rsidRDefault="001C443C" w:rsidP="001C443C">
      <w:pPr>
        <w:spacing w:line="360" w:lineRule="auto"/>
        <w:ind w:firstLine="720"/>
        <w:jc w:val="both"/>
      </w:pPr>
      <w:r w:rsidRPr="009A7163">
        <w:t xml:space="preserve">By the mid-1990s, the empowerment concept had </w:t>
      </w:r>
      <w:r w:rsidR="005113F0" w:rsidRPr="009A7163">
        <w:t xml:space="preserve">been </w:t>
      </w:r>
      <w:r w:rsidRPr="009A7163">
        <w:t xml:space="preserve">institutionalised </w:t>
      </w:r>
      <w:r w:rsidR="005113F0" w:rsidRPr="009A7163">
        <w:t xml:space="preserve">in the </w:t>
      </w:r>
      <w:r w:rsidRPr="009A7163">
        <w:t>discourse on women in development (Calves, 2009)</w:t>
      </w:r>
      <w:r w:rsidR="002E7219" w:rsidRPr="009A7163">
        <w:t>,</w:t>
      </w:r>
      <w:r w:rsidRPr="009A7163">
        <w:t xml:space="preserve"> as gender equality became a focus of development policy</w:t>
      </w:r>
      <w:r w:rsidRPr="009A7163">
        <w:rPr>
          <w:b/>
        </w:rPr>
        <w:t xml:space="preserve">. </w:t>
      </w:r>
      <w:r w:rsidRPr="009A7163">
        <w:t>It was not long before gender equity concerns began to enter the mainstream and the language of empowerment had become mainstreamed in development (Freidmann, 1992; Kabeer, 1991, 2001; Sen 1993)</w:t>
      </w:r>
      <w:r w:rsidR="002E7219" w:rsidRPr="009A7163">
        <w:t>;</w:t>
      </w:r>
      <w:r w:rsidRPr="009A7163">
        <w:t xml:space="preserve"> thus, as Rai et al. (2007) explain, ‘Empowerment has become the mantra of development practitioners and theorists -- the unquestioned “good” aspired to by such diverse institutions as the World Bank, Oxfam and the most radical non-government organizations [can agree]… a “motherhood” term, comfortable and unquestioned’ (p. 1). As a result, women’s empowerment was included in policy goals and frameworks, yet the operationalization of empowerment strategies varied/s greatly between developmental organizations (Hennink et al., 2012; Kabeer, 1999). Even today, despite the proliferation of usages and meanings of the word and its continued popularity, there is still no established rigorous methodology to measure and track changes in levels of empowerment (Hennink et al., 2012; Kabeer, 1999; Malhortra et al., 2002). In short, empowerment has become a buzz word (Batliwala, 2007) with blurred meaning (Hennink et al., 2012; Malhotra et al., 2002). However, the advantage of this ‘fuzziness’ is that it allows women to define the meaning of the word as they want to (Batliwala, 1993). So, some clearly explain how the value of the concept lies in its ‘fuzziness’, as it allows room for reflection and (re-)definition (Kabeer, 1999). However, Rowlands (1995, p. vi) raise</w:t>
      </w:r>
      <w:r w:rsidR="009B4800" w:rsidRPr="009A7163">
        <w:t>s</w:t>
      </w:r>
      <w:r w:rsidRPr="009A7163">
        <w:t xml:space="preserve"> questions: How can such a diverse range of people talk about empowerment with such enthusiasm from the right and left of the political spectrum? How has ‘empowerment’ come to ‘fit’ with the various ideologies? Can they mean the same by it? Batliwala (2007) add</w:t>
      </w:r>
      <w:r w:rsidR="009B4800" w:rsidRPr="009A7163">
        <w:t>s</w:t>
      </w:r>
      <w:r w:rsidRPr="009A7163">
        <w:t xml:space="preserve">, </w:t>
      </w:r>
    </w:p>
    <w:p w14:paraId="3EE38E24" w14:textId="172F7B42" w:rsidR="001C443C" w:rsidRPr="009A7163" w:rsidRDefault="001C443C" w:rsidP="00293176">
      <w:pPr>
        <w:spacing w:after="180"/>
        <w:ind w:left="720"/>
        <w:jc w:val="both"/>
      </w:pPr>
      <w:r w:rsidRPr="009A7163">
        <w:t>Of all the buzzwords that have entered the development lexicon in the past 30 years, “empowerment” is probably the most widely used and abused. Like many other important terms that were coined to represent a clearly political concept, it has been ‘mainstreamed’ in a manner that has virtually robbed it of its original meaning and strategic value.</w:t>
      </w:r>
      <w:r w:rsidR="002E7219" w:rsidRPr="009A7163">
        <w:t xml:space="preserve"> (p. 557)</w:t>
      </w:r>
    </w:p>
    <w:p w14:paraId="3AD0CB7A" w14:textId="4EBE7234" w:rsidR="001C443C" w:rsidRPr="009A7163" w:rsidRDefault="001C443C" w:rsidP="00293176">
      <w:pPr>
        <w:spacing w:after="240" w:line="360" w:lineRule="auto"/>
        <w:ind w:firstLine="720"/>
        <w:jc w:val="both"/>
      </w:pPr>
      <w:r w:rsidRPr="009A7163">
        <w:t>Rowlands (1995) warn</w:t>
      </w:r>
      <w:r w:rsidR="009B4800" w:rsidRPr="009A7163">
        <w:t>s</w:t>
      </w:r>
      <w:r w:rsidRPr="009A7163">
        <w:t xml:space="preserve"> that the failure to define and explore the practical details of how empowerment can be achieved considerably weakens the concept as a tool of analysis or as part of a strategy for change. Cornwall and Brock (2005) argue that international institutions have created a catchy but hazily defined term that has become ‘hegemonic’ and incontestable.</w:t>
      </w:r>
    </w:p>
    <w:p w14:paraId="771ADD56" w14:textId="3D965A85" w:rsidR="001C443C" w:rsidRPr="009A7163" w:rsidRDefault="001C443C" w:rsidP="00293176">
      <w:pPr>
        <w:pStyle w:val="Heading3"/>
      </w:pPr>
      <w:bookmarkStart w:id="23" w:name="_Toc526819259"/>
      <w:r w:rsidRPr="009A7163">
        <w:lastRenderedPageBreak/>
        <w:t xml:space="preserve">2.3.3 </w:t>
      </w:r>
      <w:r w:rsidR="004F74EB" w:rsidRPr="009A7163">
        <w:t xml:space="preserve"> </w:t>
      </w:r>
      <w:r w:rsidRPr="009A7163">
        <w:t>Women’s Economic Empowerment</w:t>
      </w:r>
      <w:bookmarkEnd w:id="23"/>
    </w:p>
    <w:p w14:paraId="5CAA1A29" w14:textId="77777777" w:rsidR="001C443C" w:rsidRPr="009A7163" w:rsidRDefault="001C443C" w:rsidP="001C443C">
      <w:pPr>
        <w:spacing w:line="360" w:lineRule="auto"/>
        <w:ind w:firstLine="720"/>
        <w:jc w:val="both"/>
      </w:pPr>
      <w:r w:rsidRPr="009A7163">
        <w:t>As women’s empowerment was mainstreamed, there was an emphasis on the importance of challenging women’s exclusion from the material levels of power and addressing these inequalities. The focus was on the ‘power to’ element and in particular gaining equal access to resources. The concept was first given international visibility in the International Conference on Population and Development in Cairo in 1994. The following year, the Fourth World Conference on Women took place in Beijing and marked another decisive moment for the entry of the term empowerment into the United Nations’ discourse on women and development. The Conference’s Platform for Action spoke of the need to promote women’s economic independence and ensuring ‘access to employment, productive resources, opportunities and public services’.</w:t>
      </w:r>
      <w:r w:rsidRPr="009A7163">
        <w:rPr>
          <w:vertAlign w:val="superscript"/>
        </w:rPr>
        <w:footnoteReference w:id="44"/>
      </w:r>
      <w:r w:rsidRPr="009A7163">
        <w:t xml:space="preserve"> This led to numerous definitions over the next decade giving women more of a role in economic development. Definitions were still varied.</w:t>
      </w:r>
      <w:r w:rsidRPr="009A7163">
        <w:rPr>
          <w:vertAlign w:val="superscript"/>
        </w:rPr>
        <w:footnoteReference w:id="45"/>
      </w:r>
      <w:r w:rsidRPr="009A7163">
        <w:t xml:space="preserve"> Women became framed as essential for achieving broader development goals and growth. The proposition was that empowering women and girls leads to economic growth and poverty reduction. In short, WEE was viewed as ‘smart economics’ by making markets work for women, as Buvinic and King (2007) explain: </w:t>
      </w:r>
    </w:p>
    <w:p w14:paraId="0B3E7FAE" w14:textId="77777777" w:rsidR="004C5818" w:rsidRPr="009A7163" w:rsidRDefault="001C443C" w:rsidP="007A3A29">
      <w:pPr>
        <w:spacing w:after="180"/>
        <w:ind w:left="720"/>
        <w:jc w:val="both"/>
      </w:pPr>
      <w:r w:rsidRPr="009A7163">
        <w:t>Moreover, greater gender equality can also help in the battle to reduce poverty (MDG1) and promote growth—directly by boosting women's participation in the labor force and increasing both productivity and earnings, and indirectly through the beneficial effects of women's empowerment on children's human capital and well-being. The empirical evidence on these benefits is compelling. Whether self-employed or earning wages, working women help their households escape poverty</w:t>
      </w:r>
      <w:r w:rsidR="002E7219" w:rsidRPr="009A7163">
        <w:t xml:space="preserve">. </w:t>
      </w:r>
    </w:p>
    <w:p w14:paraId="02358EEF" w14:textId="77777777" w:rsidR="001C443C" w:rsidRPr="009A7163" w:rsidRDefault="001C443C" w:rsidP="007A3A29">
      <w:pPr>
        <w:spacing w:line="360" w:lineRule="auto"/>
        <w:jc w:val="both"/>
      </w:pPr>
      <w:r w:rsidRPr="009A7163">
        <w:t>Furthermore, the Global Monitoring Report argued that:</w:t>
      </w:r>
    </w:p>
    <w:p w14:paraId="5BB9223E" w14:textId="4109AB84" w:rsidR="001C443C" w:rsidRPr="009A7163" w:rsidRDefault="001C443C" w:rsidP="0035268B">
      <w:pPr>
        <w:spacing w:after="180"/>
        <w:ind w:left="720"/>
        <w:jc w:val="both"/>
      </w:pPr>
      <w:r w:rsidRPr="009A7163">
        <w:t>[</w:t>
      </w:r>
      <w:r w:rsidR="002E7219" w:rsidRPr="009A7163">
        <w:t>I</w:t>
      </w:r>
      <w:r w:rsidRPr="009A7163">
        <w:t>]n the long run</w:t>
      </w:r>
      <w:r w:rsidR="005D1207" w:rsidRPr="009A7163">
        <w:t xml:space="preserve">, however, </w:t>
      </w:r>
      <w:r w:rsidRPr="009A7163">
        <w:t>greater gender equality in access to opportuni</w:t>
      </w:r>
      <w:r w:rsidR="005D1207" w:rsidRPr="009A7163">
        <w:t>t</w:t>
      </w:r>
      <w:r w:rsidRPr="009A7163">
        <w:t>ies, rights</w:t>
      </w:r>
      <w:r w:rsidR="003E567B" w:rsidRPr="009A7163">
        <w:t>,</w:t>
      </w:r>
      <w:r w:rsidRPr="009A7163">
        <w:t xml:space="preserve"> and voice can lead to more efficient economic functioning and better institutions, with dynamic benefits for investment and growth. The business case for investing in MDG 3 is strong </w:t>
      </w:r>
      <w:r w:rsidR="003E567B" w:rsidRPr="009A7163">
        <w:t>–</w:t>
      </w:r>
      <w:r w:rsidR="005D1207" w:rsidRPr="009A7163">
        <w:t xml:space="preserve"> </w:t>
      </w:r>
      <w:r w:rsidRPr="009A7163">
        <w:t>it is nothing more than smart economics. (World Bank</w:t>
      </w:r>
      <w:r w:rsidR="004F74EB" w:rsidRPr="009A7163">
        <w:t>,</w:t>
      </w:r>
      <w:r w:rsidRPr="009A7163">
        <w:t xml:space="preserve"> 2007, p. 145) </w:t>
      </w:r>
    </w:p>
    <w:p w14:paraId="68637FF0" w14:textId="4C9F14ED" w:rsidR="001C443C" w:rsidRPr="009A7163" w:rsidRDefault="001C443C" w:rsidP="001C443C">
      <w:pPr>
        <w:spacing w:line="360" w:lineRule="auto"/>
        <w:ind w:firstLine="720"/>
        <w:jc w:val="both"/>
      </w:pPr>
      <w:r w:rsidRPr="009A7163">
        <w:t xml:space="preserve">The definitions of WEE varied with some focusing heavily on the ‘smart economics’ argument and some overlapping with broader definitions of women’s empowerment with references to agency, choice and decision making. Whilst </w:t>
      </w:r>
      <w:r w:rsidRPr="009A7163">
        <w:lastRenderedPageBreak/>
        <w:t>previously feminists had criticised women’s absence from development agendas, women were now at the centre but in a position, that was not always empowering. As Cornwall (2008) state</w:t>
      </w:r>
      <w:r w:rsidR="009B4800" w:rsidRPr="009A7163">
        <w:t>s</w:t>
      </w:r>
      <w:r w:rsidRPr="009A7163">
        <w:t xml:space="preserve">: </w:t>
      </w:r>
    </w:p>
    <w:p w14:paraId="4C2FFBBE" w14:textId="6F22CB85" w:rsidR="001C443C" w:rsidRPr="009A7163" w:rsidRDefault="001C443C" w:rsidP="00293176">
      <w:pPr>
        <w:spacing w:after="180"/>
        <w:ind w:left="720"/>
        <w:jc w:val="both"/>
      </w:pPr>
      <w:r w:rsidRPr="009A7163">
        <w:t xml:space="preserve">[W]omen become, in the language of DFID’s glossy Gender Equality at the Heart of Development (2007), a ‘weapon’ in the fight against poverty… The scene has shifted. Women are no longer on the sidelines, or ignored altogether. And yet when we take a closer look at the way in which women come to be represented, it becomes evident that what appears may be far from what feminists might have desired. </w:t>
      </w:r>
      <w:r w:rsidR="002E7219" w:rsidRPr="009A7163">
        <w:t>(p. 4)</w:t>
      </w:r>
    </w:p>
    <w:p w14:paraId="67D994E4" w14:textId="552BD5C9" w:rsidR="001C443C" w:rsidRPr="009A7163" w:rsidRDefault="001C443C" w:rsidP="001C443C">
      <w:pPr>
        <w:spacing w:line="360" w:lineRule="auto"/>
        <w:ind w:firstLine="720"/>
        <w:jc w:val="both"/>
      </w:pPr>
      <w:r w:rsidRPr="009A7163">
        <w:t>The idea that investing in women leads to growth and development equals a win-win solution has since been critique</w:t>
      </w:r>
      <w:r w:rsidR="002E7219" w:rsidRPr="009A7163">
        <w:t>d</w:t>
      </w:r>
      <w:r w:rsidRPr="009A7163">
        <w:t xml:space="preserve"> (</w:t>
      </w:r>
      <w:r w:rsidR="002E7219" w:rsidRPr="009A7163">
        <w:t>s</w:t>
      </w:r>
      <w:r w:rsidRPr="009A7163">
        <w:t>ee Kabeer and Natali, 2013). In particular, these visions have been criticised by some as limited (Wong, 2003) and, as Cornwall (2008, p. 4) ague</w:t>
      </w:r>
      <w:r w:rsidR="009B4800" w:rsidRPr="009A7163">
        <w:t>s</w:t>
      </w:r>
      <w:r w:rsidRPr="009A7163">
        <w:t>, most importantly ‘money is not the magic bullet’</w:t>
      </w:r>
      <w:r w:rsidR="002E7219" w:rsidRPr="009A7163">
        <w:t>,</w:t>
      </w:r>
      <w:r w:rsidRPr="009A7163">
        <w:t xml:space="preserve"> an argument which is central to my study. Moreover, Kabeer et al. (2013) state</w:t>
      </w:r>
      <w:r w:rsidR="009B4800" w:rsidRPr="009A7163">
        <w:t>s</w:t>
      </w:r>
      <w:r w:rsidRPr="009A7163">
        <w:t>, ‘the awkward questions of whether growth contributes to gender equality is not frequently asked’ (p. 20). In an earlier analysis on ‘Gender Equality and women’s empowerment: a critical analysis of the third millennium goal’</w:t>
      </w:r>
      <w:r w:rsidR="002E7219" w:rsidRPr="009A7163">
        <w:t>, Kabeer</w:t>
      </w:r>
      <w:r w:rsidRPr="009A7163">
        <w:t xml:space="preserve"> (2005) warn</w:t>
      </w:r>
      <w:r w:rsidR="009B4800" w:rsidRPr="009A7163">
        <w:t>s</w:t>
      </w:r>
      <w:r w:rsidRPr="009A7163">
        <w:t xml:space="preserve"> </w:t>
      </w:r>
      <w:r w:rsidR="009B4800" w:rsidRPr="009A7163">
        <w:t>about</w:t>
      </w:r>
      <w:r w:rsidRPr="009A7163">
        <w:t xml:space="preserve"> the inclusion of gender equality and women’s empowerment in the MDGs: ‘Each of these resources certainly has the potential to bring about positive changes in women’s lives, but, in each case, it is the social relationships that govern access to the resource in question that will determine the extent to which this potential is realised’ (p. 13). Kabeer argue</w:t>
      </w:r>
      <w:r w:rsidR="009B4800" w:rsidRPr="009A7163">
        <w:t>s</w:t>
      </w:r>
      <w:r w:rsidRPr="009A7163">
        <w:t xml:space="preserve"> that what was lacking was the support for collective action in order to be able to challenge structural inequalities in contrast to attention paid to education and employment for example. This is important for the study as she raises the question if focusing on one area such as employment is sufficient to lead to empowerment. Chant and Sweetman (2012) critique the use of ‘women as a development source’ (p. 519), </w:t>
      </w:r>
      <w:r w:rsidR="009B4800" w:rsidRPr="009A7163">
        <w:t xml:space="preserve">and </w:t>
      </w:r>
      <w:r w:rsidRPr="009A7163">
        <w:t xml:space="preserve">they highlight ‘critiques of anti-poverty approaches to women in development have highlighted the severe toll that increasing hours and intensity of work had on women’s sleep, leisure and food (Jackson, 1996)’ (p. 519). They also echoe Kabeer by saying: </w:t>
      </w:r>
    </w:p>
    <w:p w14:paraId="2131EC1C" w14:textId="02CC0D02" w:rsidR="001C443C" w:rsidRPr="009A7163" w:rsidRDefault="001C443C" w:rsidP="00293176">
      <w:pPr>
        <w:spacing w:after="180"/>
        <w:ind w:left="720"/>
        <w:jc w:val="both"/>
      </w:pPr>
      <w:r w:rsidRPr="009A7163">
        <w:t>As such, smart economics returns our gaze to women and their agency, in an approach which fails to focus on the existence of structural discrimination against women in IFIs, governments, and private business. This structural discrimination constrains the agency of women and girls and presents many of them with insurmountable obstacles, despite their best efforts to advance their own interests and meet their own needs. (</w:t>
      </w:r>
      <w:r w:rsidR="009B4800" w:rsidRPr="009A7163">
        <w:t xml:space="preserve">ibid, </w:t>
      </w:r>
      <w:r w:rsidRPr="009A7163">
        <w:t>p.</w:t>
      </w:r>
      <w:r w:rsidR="004F74EB" w:rsidRPr="009A7163">
        <w:t xml:space="preserve"> </w:t>
      </w:r>
      <w:r w:rsidRPr="009A7163">
        <w:t>527)</w:t>
      </w:r>
    </w:p>
    <w:p w14:paraId="133BBCA0" w14:textId="691BC7BC" w:rsidR="001C443C" w:rsidRPr="009A7163" w:rsidRDefault="001C443C" w:rsidP="00293176">
      <w:pPr>
        <w:spacing w:after="240" w:line="360" w:lineRule="auto"/>
        <w:ind w:firstLine="720"/>
        <w:jc w:val="both"/>
      </w:pPr>
      <w:r w:rsidRPr="009A7163">
        <w:t xml:space="preserve">This is an important reflection for this research on the initiative whereby both Kabeer (2005) and Chant and Sweetman (2012) argue for the importance of including </w:t>
      </w:r>
      <w:r w:rsidRPr="009A7163">
        <w:lastRenderedPageBreak/>
        <w:t>collective empowerment and the need for greater awareness of the stress and toll that is felt by women when they are used as a development source because it makes ‘smart economics’.</w:t>
      </w:r>
    </w:p>
    <w:p w14:paraId="75C0006B" w14:textId="77777777" w:rsidR="001C443C" w:rsidRPr="009A7163" w:rsidRDefault="001C443C" w:rsidP="00293176">
      <w:pPr>
        <w:pStyle w:val="Heading3"/>
      </w:pPr>
      <w:bookmarkStart w:id="24" w:name="_Toc526819260"/>
      <w:r w:rsidRPr="009A7163">
        <w:t>2.3.4  Limited Visions and Neoliberal Empowerment Narratives</w:t>
      </w:r>
      <w:bookmarkEnd w:id="24"/>
    </w:p>
    <w:p w14:paraId="61DCEED9" w14:textId="59C95A81" w:rsidR="001C443C" w:rsidRPr="009A7163" w:rsidRDefault="001C443C" w:rsidP="001C443C">
      <w:pPr>
        <w:spacing w:line="360" w:lineRule="auto"/>
        <w:ind w:firstLine="720"/>
        <w:jc w:val="both"/>
      </w:pPr>
      <w:r w:rsidRPr="009A7163">
        <w:t>Cornwall et al. (2008) argue that whilst neoliberalism has become a ‘catch all for a multitude of thing</w:t>
      </w:r>
      <w:r w:rsidR="00004BF4" w:rsidRPr="009A7163">
        <w:t>s</w:t>
      </w:r>
      <w:r w:rsidR="006B0BC9" w:rsidRPr="009A7163">
        <w:t>…</w:t>
      </w:r>
      <w:r w:rsidRPr="009A7163">
        <w:t xml:space="preserve">a </w:t>
      </w:r>
      <w:r w:rsidR="009532E1" w:rsidRPr="009A7163">
        <w:t>“</w:t>
      </w:r>
      <w:r w:rsidRPr="009A7163">
        <w:t>grab-bag</w:t>
      </w:r>
      <w:r w:rsidR="009532E1" w:rsidRPr="009A7163">
        <w:t>”</w:t>
      </w:r>
      <w:r w:rsidR="00004BF4" w:rsidRPr="009A7163">
        <w:t xml:space="preserve"> [</w:t>
      </w:r>
      <w:r w:rsidRPr="009A7163">
        <w:t>...</w:t>
      </w:r>
      <w:r w:rsidR="00004BF4" w:rsidRPr="009A7163">
        <w:t>]</w:t>
      </w:r>
      <w:r w:rsidR="009532E1" w:rsidRPr="009A7163">
        <w:t xml:space="preserve"> </w:t>
      </w:r>
      <w:r w:rsidRPr="009A7163">
        <w:t>for some, its synonymous with the economic policy descriptions like the Washington Consensus and for others a more diffuse and all-encompassing system’</w:t>
      </w:r>
      <w:r w:rsidR="009532E1" w:rsidRPr="009A7163">
        <w:t xml:space="preserve"> </w:t>
      </w:r>
      <w:r w:rsidRPr="009A7163">
        <w:t>(p. 1)</w:t>
      </w:r>
      <w:r w:rsidR="009532E1" w:rsidRPr="009A7163">
        <w:t>.</w:t>
      </w:r>
      <w:r w:rsidRPr="009A7163">
        <w:t xml:space="preserve"> Despite its contested meaning</w:t>
      </w:r>
      <w:r w:rsidR="009532E1" w:rsidRPr="009A7163">
        <w:t>,</w:t>
      </w:r>
      <w:r w:rsidRPr="009A7163">
        <w:t xml:space="preserve"> they go on to say that since the 1990s the landscape has changed and there is a general agreement that that ‘we are now experiencing a different kind of neoliberalism</w:t>
      </w:r>
      <w:r w:rsidR="006B0BC9" w:rsidRPr="009A7163">
        <w:t>…</w:t>
      </w:r>
      <w:r w:rsidRPr="009A7163">
        <w:t xml:space="preserve">labelled ‘post-Washington Consensus or ‘neoliberalism with a human face’ (Molyneux, 2008)’ (Cornwall et al., 2008, p. 1). Since then there has been a shift from literature of the early 1990s </w:t>
      </w:r>
      <w:r w:rsidR="009B4800" w:rsidRPr="009A7163">
        <w:t xml:space="preserve">that highlighted </w:t>
      </w:r>
      <w:r w:rsidRPr="009A7163">
        <w:t xml:space="preserve">the gender blindness of such policies to a shift </w:t>
      </w:r>
      <w:r w:rsidR="009B4800" w:rsidRPr="009A7163">
        <w:t>in</w:t>
      </w:r>
      <w:r w:rsidRPr="009A7163">
        <w:t xml:space="preserve"> attention to women (</w:t>
      </w:r>
      <w:r w:rsidR="008F47A0" w:rsidRPr="009A7163">
        <w:t xml:space="preserve">Cornwall et al., </w:t>
      </w:r>
      <w:r w:rsidR="003E567B" w:rsidRPr="009A7163">
        <w:t xml:space="preserve">2008, </w:t>
      </w:r>
      <w:r w:rsidRPr="009A7163">
        <w:t>p. 2)</w:t>
      </w:r>
      <w:r w:rsidR="009B4800" w:rsidRPr="009A7163">
        <w:t>.</w:t>
      </w:r>
      <w:r w:rsidRPr="009A7163">
        <w:t xml:space="preserve"> </w:t>
      </w:r>
      <w:r w:rsidR="009B4800" w:rsidRPr="009A7163">
        <w:t>T</w:t>
      </w:r>
      <w:r w:rsidRPr="009A7163">
        <w:t>his have given rise to what critics call a ‘feminisation of labour’</w:t>
      </w:r>
      <w:r w:rsidR="009B4800" w:rsidRPr="009A7163">
        <w:t>,</w:t>
      </w:r>
      <w:r w:rsidRPr="009A7163">
        <w:t xml:space="preserve"> which has had negative impacts on women. However</w:t>
      </w:r>
      <w:r w:rsidR="009532E1" w:rsidRPr="009A7163">
        <w:t>,</w:t>
      </w:r>
      <w:r w:rsidRPr="009A7163">
        <w:t xml:space="preserve"> as other scholars point out</w:t>
      </w:r>
      <w:r w:rsidR="009532E1" w:rsidRPr="009A7163">
        <w:t>,</w:t>
      </w:r>
      <w:r w:rsidRPr="009A7163">
        <w:t xml:space="preserve"> ‘markets do not always operate against women’ (Elson, 1992, p. 51)</w:t>
      </w:r>
      <w:r w:rsidR="009532E1" w:rsidRPr="009A7163">
        <w:t>,</w:t>
      </w:r>
      <w:r w:rsidRPr="009A7163">
        <w:t xml:space="preserve"> and some types of work are empowering for women (see Kabeer, 2008). As cited in Cornwall et al. </w:t>
      </w:r>
      <w:r w:rsidR="009532E1" w:rsidRPr="009A7163">
        <w:t>(</w:t>
      </w:r>
      <w:r w:rsidRPr="009A7163">
        <w:t>2008</w:t>
      </w:r>
      <w:r w:rsidR="009532E1" w:rsidRPr="009A7163">
        <w:t>),</w:t>
      </w:r>
      <w:r w:rsidRPr="009A7163">
        <w:t xml:space="preserve"> ‘a number of studies highlight the extent to which the anti-poverty programmes that have arisen in part to mitigate the effects of neoliberal economic reforms have a marked tendency to reproduce and reinforce deeply conservative notions of womanhood and of women’s role within the family (Molyneux 2006)’ (p. 2) This is relevan</w:t>
      </w:r>
      <w:r w:rsidR="009532E1" w:rsidRPr="009A7163">
        <w:t>t</w:t>
      </w:r>
      <w:r w:rsidRPr="009A7163">
        <w:t xml:space="preserve"> to the study and as to whether or not it reinforces or challenges women’s role in their family and their work and time use.</w:t>
      </w:r>
    </w:p>
    <w:p w14:paraId="73C3DCE9" w14:textId="0C1609F5" w:rsidR="001C443C" w:rsidRPr="009A7163" w:rsidRDefault="001C443C" w:rsidP="001C443C">
      <w:pPr>
        <w:spacing w:line="360" w:lineRule="auto"/>
        <w:ind w:firstLine="720"/>
        <w:jc w:val="both"/>
      </w:pPr>
      <w:r w:rsidRPr="009A7163">
        <w:t>This leads on to an argument that a focus on solely WEE is a limited vision that has led to narratives on women’s role</w:t>
      </w:r>
      <w:r w:rsidR="009532E1" w:rsidRPr="009A7163">
        <w:t>,</w:t>
      </w:r>
      <w:r w:rsidRPr="009A7163">
        <w:t xml:space="preserve"> which has entrenched rather than empowered women in some instances, and this is partly due to the expansion and mainstreaming of women’s empowerment. Kabeer (2017</w:t>
      </w:r>
      <w:r w:rsidR="009E5E67" w:rsidRPr="009A7163">
        <w:t>b</w:t>
      </w:r>
      <w:r w:rsidRPr="009A7163">
        <w:t>) explain</w:t>
      </w:r>
      <w:r w:rsidR="009B4800" w:rsidRPr="009A7163">
        <w:t>s</w:t>
      </w:r>
      <w:r w:rsidRPr="009A7163">
        <w:t>:</w:t>
      </w:r>
    </w:p>
    <w:p w14:paraId="3BFECDEE" w14:textId="7B872574" w:rsidR="001C443C" w:rsidRPr="009A7163" w:rsidRDefault="001C443C" w:rsidP="00293176">
      <w:pPr>
        <w:spacing w:after="180"/>
        <w:ind w:left="720"/>
        <w:jc w:val="both"/>
      </w:pPr>
      <w:r w:rsidRPr="009A7163">
        <w:t>The availability of funding, the potential for profit, the promise of growth associated with the women’s economic empowerment agenda has brought new kinds of organizations into the field of gender and development. Some of these are focused on developing women’s businesses, some work on women’s role in farming and some concern themselves with women as wage workers in global value chains. It is possibly this influx of new organizations, some with no previous exposure to feminist ideas or contact with women’s movements, has contributed to a growing divergence between the economic and non-economic dimensions of women’s empowerment.</w:t>
      </w:r>
      <w:r w:rsidR="003E567B" w:rsidRPr="009A7163">
        <w:t xml:space="preserve"> (para. 6)</w:t>
      </w:r>
    </w:p>
    <w:p w14:paraId="392F03E5" w14:textId="653C147C" w:rsidR="001C443C" w:rsidRPr="009A7163" w:rsidRDefault="001C443C" w:rsidP="001C443C">
      <w:pPr>
        <w:spacing w:line="360" w:lineRule="auto"/>
        <w:ind w:firstLine="720"/>
        <w:jc w:val="both"/>
      </w:pPr>
      <w:r w:rsidRPr="009A7163">
        <w:lastRenderedPageBreak/>
        <w:t>Numerous organizations work with a theory of change like that of the World Bank whereby they see a ‘neat chain of causalities’ linking empowering women to an increase in growth and development with little discussion on power or structural constraints</w:t>
      </w:r>
      <w:r w:rsidR="009532E1" w:rsidRPr="009A7163">
        <w:t xml:space="preserve"> (Cornwall, 2008, p. 3)</w:t>
      </w:r>
      <w:r w:rsidRPr="009A7163">
        <w:t>. This focus on investing in women and ‘smart economics’ has led to a ‘feminisation of labour’ and a narrative of the new ‘good woman’ (Cornwall, 2008, p. 5). Thus, the neoliberal development narratives reproduce and ‘entrench stereotypes of women as the nurturing, self-sacrificing, hard-working heroes who will lift their families, communities, and entire nations out of poverty’ (Cornwall, 2008, p. 8). Chakravarti (2008) argue</w:t>
      </w:r>
      <w:r w:rsidR="009B4800" w:rsidRPr="009A7163">
        <w:t>s</w:t>
      </w:r>
      <w:r w:rsidRPr="009A7163">
        <w:t xml:space="preserve"> that, ‘…creating new norms for the </w:t>
      </w:r>
      <w:r w:rsidR="009532E1" w:rsidRPr="009A7163">
        <w:t>“</w:t>
      </w:r>
      <w:r w:rsidRPr="009A7163">
        <w:t>good woman</w:t>
      </w:r>
      <w:r w:rsidR="009532E1" w:rsidRPr="009A7163">
        <w:t>”</w:t>
      </w:r>
      <w:r w:rsidRPr="009A7163">
        <w:t xml:space="preserve"> in a neoliberal framework: one who saves and repays regularly, puts pressure on other group members to do similarly…and is committed to the welfare of the family’ (p. 15). The argument that women are more efficient and responsible accentuates compliance with normative expectations</w:t>
      </w:r>
      <w:r w:rsidR="009532E1" w:rsidRPr="009A7163">
        <w:t>,</w:t>
      </w:r>
      <w:r w:rsidRPr="009A7163">
        <w:t xml:space="preserve"> which will be dealt with later in this chapter. There is a focus on women as good mothers and hardworking women who place family at centre. As Cornwall (2008) summarise</w:t>
      </w:r>
      <w:r w:rsidR="009B4800" w:rsidRPr="009A7163">
        <w:t>s</w:t>
      </w:r>
      <w:r w:rsidRPr="009A7163">
        <w:t>:</w:t>
      </w:r>
    </w:p>
    <w:p w14:paraId="5BB53943" w14:textId="2EF8DDD0" w:rsidR="001C443C" w:rsidRPr="009A7163" w:rsidRDefault="001C443C" w:rsidP="00293176">
      <w:pPr>
        <w:spacing w:after="180"/>
        <w:ind w:left="720"/>
        <w:jc w:val="both"/>
      </w:pPr>
      <w:r w:rsidRPr="009A7163">
        <w:t>Neoliberalism subsumes women into an image of the protective mother who will translate any gains from the market into the means for household survival, and will be prepared to make unlimited personal sacrifices to provide the household with a safety net against the ravages of neoliberal macroeconomic policies. Ideologically, this works to re embed women within familial relations. As a result, the family becomes a key site for the exercise of neoliberal government.</w:t>
      </w:r>
      <w:r w:rsidR="009532E1" w:rsidRPr="009A7163">
        <w:t xml:space="preserve"> (p. 5)</w:t>
      </w:r>
    </w:p>
    <w:p w14:paraId="1FBC3CC1" w14:textId="0723FFA7" w:rsidR="003E567B" w:rsidRPr="009A7163" w:rsidRDefault="001C443C" w:rsidP="004C5653">
      <w:pPr>
        <w:spacing w:line="360" w:lineRule="auto"/>
        <w:ind w:firstLine="720"/>
        <w:jc w:val="both"/>
      </w:pPr>
      <w:r w:rsidRPr="009A7163">
        <w:t>Empowerment therein has become a concept at the service of the status quo (Calves, 2009). Whereby agency and power were once associated with feminist activism, empowerment has now been taken over by development talk and becomes in Cornwall’s (2007) terms ‘empowerment lite’. Kabeer (2017</w:t>
      </w:r>
      <w:r w:rsidR="00442F6A" w:rsidRPr="009A7163">
        <w:t>b</w:t>
      </w:r>
      <w:r w:rsidRPr="009A7163">
        <w:t>) argue</w:t>
      </w:r>
      <w:r w:rsidR="009B4800" w:rsidRPr="009A7163">
        <w:t>s</w:t>
      </w:r>
      <w:r w:rsidRPr="009A7163">
        <w:t xml:space="preserve"> that this has led to a limited vision of empowerment based on theories of change that are truncated</w:t>
      </w:r>
      <w:r w:rsidR="009532E1" w:rsidRPr="009A7163">
        <w:t>,</w:t>
      </w:r>
      <w:r w:rsidRPr="009A7163">
        <w:t xml:space="preserve"> which gives rise to two problems. Kab</w:t>
      </w:r>
      <w:r w:rsidR="003E567B" w:rsidRPr="009A7163">
        <w:t>eer (2017b) describes the first of these in the following</w:t>
      </w:r>
      <w:r w:rsidR="004C5653" w:rsidRPr="009A7163">
        <w:t>:</w:t>
      </w:r>
      <w:r w:rsidR="004F74EB" w:rsidRPr="009A7163">
        <w:t xml:space="preserve"> </w:t>
      </w:r>
    </w:p>
    <w:p w14:paraId="430F5D5B" w14:textId="4C99AC2B" w:rsidR="003E567B" w:rsidRPr="009A7163" w:rsidRDefault="003E567B" w:rsidP="007A3A29">
      <w:pPr>
        <w:spacing w:after="180"/>
        <w:ind w:left="720"/>
        <w:jc w:val="both"/>
      </w:pPr>
      <w:r w:rsidRPr="009A7163">
        <w:t xml:space="preserve">The first can be described as the </w:t>
      </w:r>
      <w:r w:rsidR="009532E1" w:rsidRPr="009A7163">
        <w:t>“</w:t>
      </w:r>
      <w:r w:rsidR="001C443C" w:rsidRPr="009A7163">
        <w:t>up stream problem</w:t>
      </w:r>
      <w:r w:rsidR="009532E1" w:rsidRPr="009A7163">
        <w:t>”</w:t>
      </w:r>
      <w:r w:rsidR="001C443C" w:rsidRPr="009A7163">
        <w:t xml:space="preserve"> of programme design. These stem from the failure of the programmes to take account of the multiple and overlapping constraints that women have to negotiate in order to respond to the interviews. Many of these non-economic in nature and include women’s primary responsibility for unpaid care and household work; cultural norms that block their access to certain jobs</w:t>
      </w:r>
      <w:r w:rsidRPr="009A7163">
        <w:t>… (Para. 7)</w:t>
      </w:r>
    </w:p>
    <w:p w14:paraId="5262ADB5" w14:textId="6B8A6C6C" w:rsidR="001C443C" w:rsidRPr="009A7163" w:rsidRDefault="003E567B" w:rsidP="007A3A29">
      <w:pPr>
        <w:spacing w:line="360" w:lineRule="auto"/>
        <w:jc w:val="both"/>
      </w:pPr>
      <w:r w:rsidRPr="009A7163">
        <w:t xml:space="preserve">The second problem, Kabeer (201b) states, is </w:t>
      </w:r>
      <w:r w:rsidR="00943F49" w:rsidRPr="009A7163">
        <w:t>‘“</w:t>
      </w:r>
      <w:r w:rsidR="001C443C" w:rsidRPr="009A7163">
        <w:t xml:space="preserve">downstream’ problem of programme goals where they fail to take into account the non-economic constraints’ (Kabeer, </w:t>
      </w:r>
      <w:r w:rsidR="001C443C" w:rsidRPr="009A7163">
        <w:lastRenderedPageBreak/>
        <w:t>2017</w:t>
      </w:r>
      <w:r w:rsidR="00071548" w:rsidRPr="009A7163">
        <w:t>b</w:t>
      </w:r>
      <w:r w:rsidR="001C443C" w:rsidRPr="009A7163">
        <w:t>). Kabeer’s argument is very important to consider in the research on the pricing initiative and in particular how the programme design takes into account the complex realities of the women. Calves (2009</w:t>
      </w:r>
      <w:r w:rsidR="00454CAE" w:rsidRPr="009A7163">
        <w:t>, n.d.</w:t>
      </w:r>
      <w:r w:rsidR="001C443C" w:rsidRPr="009A7163">
        <w:t xml:space="preserve">) added: </w:t>
      </w:r>
    </w:p>
    <w:p w14:paraId="2EAEE7F3" w14:textId="793702DB" w:rsidR="001C443C" w:rsidRPr="009A7163" w:rsidRDefault="001C443C" w:rsidP="00293176">
      <w:pPr>
        <w:spacing w:after="180"/>
        <w:ind w:left="720"/>
        <w:jc w:val="both"/>
      </w:pPr>
      <w:r w:rsidRPr="009A7163">
        <w:t>As international development institutions, gradually coopted the term, starting in the 1990s with its discourse on women, gender, and development, and then in the 2000s in the predominant discourse on poverty reduction, empowerment slowly became a vague and falsely consensual concept. It has come to assimilate power with individual and economic decision-making, has de-politicized collective power into something seemingly harmonious, and has been employed to legitimize existing top-down policies and programs.</w:t>
      </w:r>
      <w:r w:rsidR="009B4800" w:rsidRPr="009A7163">
        <w:t xml:space="preserve"> (para. 29)</w:t>
      </w:r>
    </w:p>
    <w:p w14:paraId="07051E09" w14:textId="77777777" w:rsidR="001C443C" w:rsidRPr="009A7163" w:rsidRDefault="001C443C" w:rsidP="00293176">
      <w:pPr>
        <w:spacing w:after="240" w:line="360" w:lineRule="auto"/>
        <w:ind w:firstLine="720"/>
        <w:jc w:val="both"/>
      </w:pPr>
      <w:r w:rsidRPr="009A7163">
        <w:t>This has not only led to scholars and activists questioning the value of the term (Batliwala, 2007; Cornwall and Brock, 2005), but also looking for new directions and how to reinvest the word with meaning going forward.</w:t>
      </w:r>
    </w:p>
    <w:p w14:paraId="6A5E010E" w14:textId="77777777" w:rsidR="001C443C" w:rsidRPr="009A7163" w:rsidRDefault="001C443C" w:rsidP="00293176">
      <w:pPr>
        <w:pStyle w:val="Heading3"/>
      </w:pPr>
      <w:bookmarkStart w:id="25" w:name="_Toc526819261"/>
      <w:r w:rsidRPr="009A7163">
        <w:t>2.3.5  Integrating Women’s Economic Empowerment and Empowerment</w:t>
      </w:r>
      <w:bookmarkEnd w:id="25"/>
    </w:p>
    <w:p w14:paraId="335B625C" w14:textId="681DB33C" w:rsidR="001C443C" w:rsidRPr="009A7163" w:rsidRDefault="001C443C" w:rsidP="001C443C">
      <w:pPr>
        <w:spacing w:line="360" w:lineRule="auto"/>
        <w:ind w:firstLine="720"/>
        <w:jc w:val="both"/>
      </w:pPr>
      <w:r w:rsidRPr="009A7163">
        <w:t>The current critiques have argued that empowerment has been separated from its original political concept (Batliwala, 2007)</w:t>
      </w:r>
      <w:r w:rsidR="009532E1" w:rsidRPr="009A7163">
        <w:t xml:space="preserve">, and it also has </w:t>
      </w:r>
      <w:r w:rsidRPr="009A7163">
        <w:t>become laden with the attributed meanings of development agencies (Cornwall, 2008, p. 3). In this context, words such as ‘agency’ become a troubling object for neoliberal appropriation (Wilson, 2008),</w:t>
      </w:r>
      <w:r w:rsidRPr="009A7163">
        <w:rPr>
          <w:vertAlign w:val="superscript"/>
        </w:rPr>
        <w:footnoteReference w:id="46"/>
      </w:r>
      <w:r w:rsidRPr="009A7163">
        <w:t xml:space="preserve"> ‘choice’ is reduced to acquisition of assets and</w:t>
      </w:r>
      <w:r w:rsidR="009532E1" w:rsidRPr="009A7163">
        <w:t xml:space="preserve"> </w:t>
      </w:r>
      <w:r w:rsidRPr="009A7163">
        <w:t>the analysis of structural constraints is ignored. Meanwhile, as Wilson</w:t>
      </w:r>
      <w:r w:rsidR="009532E1" w:rsidRPr="009A7163">
        <w:t xml:space="preserve"> (2008)</w:t>
      </w:r>
      <w:r w:rsidRPr="009A7163">
        <w:t xml:space="preserve"> argue</w:t>
      </w:r>
      <w:r w:rsidR="009719B8" w:rsidRPr="009A7163">
        <w:t>s</w:t>
      </w:r>
      <w:r w:rsidR="009532E1" w:rsidRPr="009A7163">
        <w:t>,</w:t>
      </w:r>
      <w:r w:rsidRPr="009A7163">
        <w:t xml:space="preserve"> ‘the emphasis on women’s agency marginalises analysis of oppressive structures and shifts the focus away from patriarchal ideologies</w:t>
      </w:r>
      <w:r w:rsidR="009532E1" w:rsidRPr="009A7163">
        <w:t xml:space="preserve">’ </w:t>
      </w:r>
      <w:r w:rsidRPr="009A7163">
        <w:t>(p. 83). Cornwall (2008) argue</w:t>
      </w:r>
      <w:r w:rsidR="009719B8" w:rsidRPr="009A7163">
        <w:t>s</w:t>
      </w:r>
      <w:r w:rsidRPr="009A7163">
        <w:t xml:space="preserve"> that challenging and transforming relations of power needs empowerment and resistance</w:t>
      </w:r>
      <w:r w:rsidR="009532E1" w:rsidRPr="009A7163">
        <w:t>,</w:t>
      </w:r>
      <w:r w:rsidRPr="009A7163">
        <w:t xml:space="preserve"> but the latter is not attractive to funders. Kabeer (1999) argue</w:t>
      </w:r>
      <w:r w:rsidR="009719B8" w:rsidRPr="009A7163">
        <w:t>s</w:t>
      </w:r>
      <w:r w:rsidRPr="009A7163">
        <w:t xml:space="preserve"> that ‘advocacy on behalf of women that builds on claimed synergies between feminist goals and official development priorities has made greater inroads into the mainstream development agenda than advocacy that argues for these goals on the grounds of their intrinsic value’ (p. 1). In particular this is an interesting argument in relation to the BSI</w:t>
      </w:r>
      <w:r w:rsidR="009532E1" w:rsidRPr="009A7163">
        <w:t>,</w:t>
      </w:r>
      <w:r w:rsidRPr="009A7163">
        <w:t xml:space="preserve"> which has been a pioneer in corporate social responsibility and in particular with its campaigning heritage. Does this mean</w:t>
      </w:r>
      <w:r w:rsidR="009532E1" w:rsidRPr="009A7163">
        <w:t>,</w:t>
      </w:r>
      <w:r w:rsidRPr="009A7163">
        <w:t xml:space="preserve"> however</w:t>
      </w:r>
      <w:r w:rsidR="009532E1" w:rsidRPr="009A7163">
        <w:t>,</w:t>
      </w:r>
      <w:r w:rsidRPr="009A7163">
        <w:t xml:space="preserve"> that a subject like the unpaid work of women is easy to communicate and market as a new campaign?</w:t>
      </w:r>
    </w:p>
    <w:p w14:paraId="53D928F4" w14:textId="4A7A622F" w:rsidR="001C443C" w:rsidRPr="009A7163" w:rsidRDefault="001C443C" w:rsidP="001C443C">
      <w:pPr>
        <w:spacing w:line="360" w:lineRule="auto"/>
        <w:ind w:firstLine="720"/>
        <w:jc w:val="both"/>
      </w:pPr>
      <w:r w:rsidRPr="009A7163">
        <w:t xml:space="preserve">Furthermore, empowerment needs to be defined and located in the choices that women themselves make and not choices set out for them in the interests of the </w:t>
      </w:r>
      <w:r w:rsidRPr="009A7163">
        <w:lastRenderedPageBreak/>
        <w:t>neoliberal agenda. For example, how do we know having more income leads to empowerment for the individual woman?  Kabeer (2012) also call</w:t>
      </w:r>
      <w:r w:rsidR="009719B8" w:rsidRPr="009A7163">
        <w:t>s</w:t>
      </w:r>
      <w:r w:rsidRPr="009A7163">
        <w:t xml:space="preserve"> for a grounded theory of change in women’s lives as empowerment is culturally specific. Empowerment should be defined and chosen locally. This echoes the work of Amartya Sen (1999) in his capability approach,</w:t>
      </w:r>
      <w:r w:rsidRPr="009A7163">
        <w:rPr>
          <w:vertAlign w:val="superscript"/>
        </w:rPr>
        <w:footnoteReference w:id="47"/>
      </w:r>
      <w:r w:rsidRPr="009A7163">
        <w:t xml:space="preserve"> which argues that development is about freedom of choice in the personal, social, economic and political sphere. It is ‘a process of expanding the real freedoms that people enjoy to lead the lives they have reason to value’ (Sen, 1999, p. 3). Following Sen, Kleine (2012) argue</w:t>
      </w:r>
      <w:r w:rsidR="009719B8" w:rsidRPr="009A7163">
        <w:t>s</w:t>
      </w:r>
      <w:r w:rsidRPr="009A7163">
        <w:t xml:space="preserve"> that choice is both the aim and the principal means of development.</w:t>
      </w:r>
      <w:r w:rsidRPr="009A7163">
        <w:rPr>
          <w:vertAlign w:val="superscript"/>
        </w:rPr>
        <w:footnoteReference w:id="48"/>
      </w:r>
      <w:r w:rsidRPr="009A7163">
        <w:t xml:space="preserve"> Therefore, the primary development outcome is choice itself and the second outcome depends on the individual’s choice as to what lives they value. Kabeer (2012) also argue</w:t>
      </w:r>
      <w:r w:rsidR="009719B8" w:rsidRPr="009A7163">
        <w:t>s</w:t>
      </w:r>
      <w:r w:rsidRPr="009A7163">
        <w:t xml:space="preserve"> that whilst ‘empowerment captures the myriad ways in which intended and unintended changes can enhance the ability of individual women to exercise greater control over their lives, it does not necessarily lead to their engagement in collective struggles for gender justice’ (p. 216). For empowerment, therefore, to bridge the gap between individual and institutional change, Kabeer (2012) argue</w:t>
      </w:r>
      <w:r w:rsidR="009719B8" w:rsidRPr="009A7163">
        <w:t>s</w:t>
      </w:r>
      <w:r w:rsidRPr="009A7163">
        <w:t xml:space="preserve"> for a discourse on citizenship to be included in future discussions on empowerment and gender justice. This is relevant to the study as it calls for a focus on collective action and rights, in such a framework the women would be encouraged to question inequalities making a link between unpaid work and human rights as the UN Special Rapporteur (2013) report</w:t>
      </w:r>
      <w:r w:rsidR="009719B8" w:rsidRPr="009A7163">
        <w:t>s</w:t>
      </w:r>
      <w:r w:rsidRPr="009A7163">
        <w:t>. Lastly, to end as a response to the WEE, authors Fontana and Eyben (2009) argue that women’s empowerment needs a people-centred economy whereby the economy is shaped for the people rather than the people for the economy</w:t>
      </w:r>
      <w:r w:rsidR="009719B8" w:rsidRPr="009A7163">
        <w:t xml:space="preserve"> (p. 1)</w:t>
      </w:r>
      <w:r w:rsidRPr="009A7163">
        <w:t>. They state:</w:t>
      </w:r>
    </w:p>
    <w:p w14:paraId="4D05080F" w14:textId="5681F663" w:rsidR="001C443C" w:rsidRPr="009A7163" w:rsidRDefault="001C443C" w:rsidP="007A3A29">
      <w:pPr>
        <w:spacing w:after="240"/>
        <w:ind w:left="720"/>
        <w:jc w:val="both"/>
        <w:rPr>
          <w:b/>
        </w:rPr>
      </w:pPr>
      <w:r w:rsidRPr="009A7163">
        <w:t xml:space="preserve">Empowerment happens when individuals and organised groups are able to imagine their world differently and to realise that vision by changing the relations of power that have limited their capacity to enjoy a good life. Our approach to empowerment aims at transforming society and the economy to achieve justice and equity for all. It means recognising and valuing unpaid labour in the home and in communities as much as earning an income through the market mechanisms. Work, of any kind, would be equally shared between </w:t>
      </w:r>
      <w:r w:rsidRPr="009A7163">
        <w:lastRenderedPageBreak/>
        <w:t>women and men and be organised to support and nourish rather than oppress and exploit…it is a moment of opportunity for creating a fairer world. Recognising the inter-dependency of production and reproduction is the first step towards constructing a people-centred economy</w:t>
      </w:r>
      <w:r w:rsidR="009532E1" w:rsidRPr="009A7163">
        <w:t>.</w:t>
      </w:r>
      <w:r w:rsidRPr="009A7163">
        <w:t xml:space="preserve"> (</w:t>
      </w:r>
      <w:r w:rsidR="009719B8" w:rsidRPr="009A7163">
        <w:t>ibid,</w:t>
      </w:r>
      <w:r w:rsidRPr="009A7163">
        <w:t xml:space="preserve"> p. 7)</w:t>
      </w:r>
    </w:p>
    <w:p w14:paraId="5513051C" w14:textId="77777777" w:rsidR="001C443C" w:rsidRPr="009A7163" w:rsidRDefault="001C443C" w:rsidP="00293176">
      <w:pPr>
        <w:pStyle w:val="Heading3"/>
      </w:pPr>
      <w:bookmarkStart w:id="26" w:name="_Toc526819262"/>
      <w:r w:rsidRPr="009A7163">
        <w:t>2.3.6  Moving Forward</w:t>
      </w:r>
      <w:bookmarkEnd w:id="26"/>
    </w:p>
    <w:p w14:paraId="55B7DEF5" w14:textId="7B71B8CE" w:rsidR="001C443C" w:rsidRPr="009A7163" w:rsidRDefault="001C443C" w:rsidP="001C443C">
      <w:pPr>
        <w:spacing w:line="360" w:lineRule="auto"/>
        <w:ind w:firstLine="720"/>
        <w:jc w:val="both"/>
      </w:pPr>
      <w:r w:rsidRPr="009A7163">
        <w:t xml:space="preserve">Going forward, definitions of empowerment should include a nuanced analysis of power. Empowerment is not simply the ability to exert </w:t>
      </w:r>
      <w:r w:rsidRPr="009A7163">
        <w:rPr>
          <w:iCs/>
        </w:rPr>
        <w:t>power over</w:t>
      </w:r>
      <w:r w:rsidRPr="009A7163">
        <w:rPr>
          <w:i/>
          <w:iCs/>
        </w:rPr>
        <w:t xml:space="preserve"> </w:t>
      </w:r>
      <w:r w:rsidRPr="009A7163">
        <w:t>people and resources. Drawing on Foucault’s writings, empowerment involves the exercise rather than possession of power whereby power exists; it is fluid, relational and only exists in exercise. This approach cautions us that empowerment cannot transcend power relations</w:t>
      </w:r>
      <w:r w:rsidR="00363BF2" w:rsidRPr="009A7163">
        <w:t>, as</w:t>
      </w:r>
      <w:r w:rsidRPr="009A7163">
        <w:t xml:space="preserve"> it is enmeshed in relations of power at all levels of society. Without such an analysis of ‘power at work’, an accumulation of accepted and/or dominant understandings of roles, relations and social spaces takes place, which can only contribute to the de-politicisation of the concept of empowerment. Mason (2005) found in a study of </w:t>
      </w:r>
      <w:r w:rsidR="00363BF2" w:rsidRPr="009A7163">
        <w:t>five</w:t>
      </w:r>
      <w:r w:rsidRPr="009A7163">
        <w:t xml:space="preserve"> Asian communities (spanning 55 communities)</w:t>
      </w:r>
      <w:r w:rsidR="00363BF2" w:rsidRPr="009A7163">
        <w:t xml:space="preserve"> that,</w:t>
      </w:r>
      <w:r w:rsidRPr="009A7163">
        <w:t xml:space="preserve"> ‘Levels of women’s empowerment in the private and public spheres are often dissimilar: there are many cultures that give women domestic power of certain types but deny them power in the public sphere. Moreover, the extent of women’s (or men’s) power is not necessarily the same in the social, economic, and political spheres (p. 91). She also found that:</w:t>
      </w:r>
    </w:p>
    <w:p w14:paraId="09F14A67" w14:textId="54CBA08F" w:rsidR="001C443C" w:rsidRPr="009A7163" w:rsidRDefault="001C443C" w:rsidP="00293176">
      <w:pPr>
        <w:spacing w:after="180"/>
        <w:ind w:left="720"/>
        <w:jc w:val="both"/>
      </w:pPr>
      <w:r w:rsidRPr="009A7163">
        <w:t>Engaging in remunerative work is no guarantee of having a say in important household decisions or being able to pursue one’s interests if community norms and the actions of the powerful determine otherwise. Individual traits and experiences such as education, health, or paid employment may influence women’s empowerment, but they do not automatically determine it (Kabeer 1998; Malhotra, Pande, and Grown 2003). Rather, the impact of individual capabilities and assets is mediated by community norms and ideologies that define the rights of women and men. If human capital and paid employment are not sufficient to empower women, then what can development practitioners do to help empower women</w:t>
      </w:r>
      <w:r w:rsidR="00363BF2" w:rsidRPr="009A7163">
        <w:t>.</w:t>
      </w:r>
      <w:r w:rsidRPr="009A7163">
        <w:t xml:space="preserve"> (</w:t>
      </w:r>
      <w:r w:rsidR="009719B8" w:rsidRPr="009A7163">
        <w:t xml:space="preserve">ibid, </w:t>
      </w:r>
      <w:r w:rsidRPr="009A7163">
        <w:t>p. 94)</w:t>
      </w:r>
    </w:p>
    <w:p w14:paraId="08C00C64" w14:textId="6659B15D" w:rsidR="001C443C" w:rsidRPr="009A7163" w:rsidRDefault="001C443C" w:rsidP="001C443C">
      <w:pPr>
        <w:spacing w:line="360" w:lineRule="auto"/>
        <w:ind w:firstLine="720"/>
        <w:jc w:val="both"/>
      </w:pPr>
      <w:r w:rsidRPr="009A7163">
        <w:t>In response to that one important aspect of empowerment is individual conscientization (‘</w:t>
      </w:r>
      <w:r w:rsidRPr="009A7163">
        <w:rPr>
          <w:iCs/>
        </w:rPr>
        <w:t>power within’</w:t>
      </w:r>
      <w:r w:rsidRPr="009A7163">
        <w:t>) as well as collective action, which can lead to politicised ‘</w:t>
      </w:r>
      <w:r w:rsidRPr="009A7163">
        <w:rPr>
          <w:iCs/>
        </w:rPr>
        <w:t>power with’</w:t>
      </w:r>
      <w:r w:rsidRPr="009A7163">
        <w:rPr>
          <w:i/>
          <w:iCs/>
        </w:rPr>
        <w:t xml:space="preserve"> </w:t>
      </w:r>
      <w:r w:rsidRPr="009A7163">
        <w:t xml:space="preserve">others </w:t>
      </w:r>
      <w:r w:rsidRPr="009A7163">
        <w:rPr>
          <w:iCs/>
        </w:rPr>
        <w:t>to</w:t>
      </w:r>
      <w:r w:rsidRPr="009A7163">
        <w:rPr>
          <w:i/>
          <w:iCs/>
        </w:rPr>
        <w:t xml:space="preserve"> </w:t>
      </w:r>
      <w:r w:rsidRPr="009A7163">
        <w:t>bring about change. Whilst empowerment literature focuses on raising consciousness and individual and group/activity but not enough on ways in which institutional structures and politics frame, constrain and enable these activities or how empowerment is strongly influenced by shared values, norms, beliefs and traditions.</w:t>
      </w:r>
      <w:r w:rsidRPr="009A7163">
        <w:rPr>
          <w:b/>
        </w:rPr>
        <w:t xml:space="preserve"> </w:t>
      </w:r>
      <w:r w:rsidRPr="009A7163">
        <w:t xml:space="preserve">Another important aspect is re-defining empowerment to become a </w:t>
      </w:r>
      <w:r w:rsidRPr="009A7163">
        <w:lastRenderedPageBreak/>
        <w:t>political tool again and within that focusing on collective action. As Mason (2005) argue</w:t>
      </w:r>
      <w:r w:rsidR="009719B8" w:rsidRPr="009A7163">
        <w:t>s</w:t>
      </w:r>
      <w:r w:rsidRPr="009A7163">
        <w:t>, collective action is important for empowerment because:</w:t>
      </w:r>
    </w:p>
    <w:p w14:paraId="4AA809EE" w14:textId="530EF0B7" w:rsidR="001C443C" w:rsidRPr="009A7163" w:rsidRDefault="001C443C" w:rsidP="007A3A29">
      <w:pPr>
        <w:spacing w:after="180"/>
        <w:ind w:left="720"/>
        <w:jc w:val="both"/>
      </w:pPr>
      <w:r w:rsidRPr="009A7163">
        <w:t>Empowerment is strongly influenced by shared values, norms, beliefs, and traditions, that is, by culture, enhancing the capabilities and opportunities of individual women, although a step in the right direction, may fail to empower them if the surrounding culture remains unchallenged. Collective action is powerful in part because it involves changing ideas about the social order. And some of the interventions that have been designed to increase opportunities or capabilities of individual women may have succeeded precisely because they involved organising women into groups.</w:t>
      </w:r>
      <w:r w:rsidR="009719B8" w:rsidRPr="009A7163">
        <w:t xml:space="preserve"> (p. 98)</w:t>
      </w:r>
    </w:p>
    <w:p w14:paraId="2B91D2BE" w14:textId="14B71CCB" w:rsidR="001C443C" w:rsidRPr="009A7163" w:rsidRDefault="001C443C" w:rsidP="00293176">
      <w:pPr>
        <w:spacing w:after="240" w:line="360" w:lineRule="auto"/>
        <w:ind w:firstLine="720"/>
        <w:jc w:val="both"/>
      </w:pPr>
      <w:r w:rsidRPr="009A7163">
        <w:t>This study by Mason is important as it points to importance of recognising how cultural norms can obstruct processes of empowerment and acts as brakes</w:t>
      </w:r>
      <w:r w:rsidR="00363BF2" w:rsidRPr="009A7163">
        <w:t>. F</w:t>
      </w:r>
      <w:r w:rsidRPr="009A7163">
        <w:t>urthermore</w:t>
      </w:r>
      <w:r w:rsidR="00363BF2" w:rsidRPr="009A7163">
        <w:t>,</w:t>
      </w:r>
      <w:r w:rsidRPr="009A7163">
        <w:t xml:space="preserve"> organising women individually into groups can have success because of the awakening of critical consciousness that can occur. This study uses the definition of empowerment as one that emphasises the process of empowerment and understands empowerment not only as an expansion of freedom of choice and action, but also as both an expansion of women's consciousness in order to expand the sense of possibilities that women gain and as a critical recognition of the societal dimensions of the obstacles that they currently face. Empowerment, then, can be understood in terms of ‘gaining a sense of power to shape the lives we want to be able to live ourselves and the lives of others’ (Cornwall, 2017, p. 8). This definition of empowerment argues for not only an individual process, but a social and political process that relocates the emphasis from changing women’s capabilities to creating an ‘enabling environment’ by tackling all forms of discrimination on the basis of gender (Cornwall, 2016). Of particular importance and</w:t>
      </w:r>
      <w:r w:rsidR="009719B8" w:rsidRPr="009A7163">
        <w:t>,</w:t>
      </w:r>
      <w:r w:rsidRPr="009A7163">
        <w:t xml:space="preserve"> as Mason (2005) highlight</w:t>
      </w:r>
      <w:r w:rsidR="009719B8" w:rsidRPr="009A7163">
        <w:t>s,</w:t>
      </w:r>
      <w:r w:rsidRPr="009A7163">
        <w:t xml:space="preserve"> is social norms as constraints to empowerment processes. In the next section I will review the literature on social norms.</w:t>
      </w:r>
    </w:p>
    <w:p w14:paraId="144E905A" w14:textId="2939CCC1" w:rsidR="001C443C" w:rsidRPr="009A7163" w:rsidRDefault="001C443C" w:rsidP="007A3A29">
      <w:pPr>
        <w:pStyle w:val="Heading2"/>
        <w:spacing w:after="240" w:line="240" w:lineRule="auto"/>
        <w:rPr>
          <w:lang w:val="en-GB"/>
        </w:rPr>
      </w:pPr>
      <w:bookmarkStart w:id="27" w:name="_Toc526819263"/>
      <w:r w:rsidRPr="009A7163">
        <w:rPr>
          <w:lang w:val="en-GB"/>
        </w:rPr>
        <w:t>2.4  Social Norms and Women</w:t>
      </w:r>
      <w:r w:rsidR="00C86759" w:rsidRPr="009A7163">
        <w:rPr>
          <w:lang w:val="en-GB"/>
        </w:rPr>
        <w:t>’</w:t>
      </w:r>
      <w:r w:rsidRPr="009A7163">
        <w:rPr>
          <w:lang w:val="en-GB"/>
        </w:rPr>
        <w:t>s Empowerment Norms</w:t>
      </w:r>
      <w:bookmarkEnd w:id="27"/>
    </w:p>
    <w:p w14:paraId="2504918E" w14:textId="77777777" w:rsidR="001C443C" w:rsidRPr="009A7163" w:rsidRDefault="001C443C" w:rsidP="00293176">
      <w:pPr>
        <w:pStyle w:val="Heading3"/>
      </w:pPr>
      <w:bookmarkStart w:id="28" w:name="_Toc526819264"/>
      <w:r w:rsidRPr="009A7163">
        <w:t>2.4.1  Social Norms</w:t>
      </w:r>
      <w:bookmarkEnd w:id="28"/>
    </w:p>
    <w:p w14:paraId="25A1A20E" w14:textId="0F8AA506" w:rsidR="001C443C" w:rsidRPr="009A7163" w:rsidRDefault="001C443C" w:rsidP="009709D1">
      <w:pPr>
        <w:spacing w:line="360" w:lineRule="auto"/>
        <w:ind w:firstLine="720"/>
        <w:jc w:val="both"/>
      </w:pPr>
      <w:r w:rsidRPr="009A7163">
        <w:t>Social norms are shared beliefs about what is typical and appropriate behaviour in a valued reference group. These beliefs shape mutual expectations about appropriate behaviours within the group, and in turn the actual behaviour of groups of individuals.</w:t>
      </w:r>
      <w:r w:rsidR="009719B8" w:rsidRPr="009A7163">
        <w:t xml:space="preserve"> </w:t>
      </w:r>
      <w:r w:rsidRPr="009A7163">
        <w:t>Social norms have two common features according to Bicchieri (2015, p. 23): First, individuals perceive that most people around them conform to particular behaviours (empirical expectation)</w:t>
      </w:r>
      <w:r w:rsidR="00004BF4" w:rsidRPr="009A7163">
        <w:t>,</w:t>
      </w:r>
      <w:r w:rsidRPr="009A7163">
        <w:t xml:space="preserve"> and, second, individuals perceive that other people around them (e.g., society) believe that they should conform to those behaviours (normative </w:t>
      </w:r>
      <w:r w:rsidRPr="009A7163">
        <w:lastRenderedPageBreak/>
        <w:t>expectation). Further, Cialdini’s (1999) ‘empirical research has shown the importance of a distinction between a descriptive norm (doing what others do) and an injunctive norm (doing what others think one should do)’ (Mackie and Moneti, 2012, p. 5). Thus, social norms</w:t>
      </w:r>
      <w:r w:rsidR="00A26DE3" w:rsidRPr="009A7163">
        <w:t>,</w:t>
      </w:r>
      <w:r w:rsidRPr="009A7163">
        <w:t xml:space="preserve"> as Bicchieri (2015) argue</w:t>
      </w:r>
      <w:r w:rsidR="009719B8" w:rsidRPr="009A7163">
        <w:t>s</w:t>
      </w:r>
      <w:r w:rsidRPr="009A7163">
        <w:t>, perform a double function: on the one hand, they describe patterns of behaviour and tell us how to act and, on the other hand, they express social approval or disapproval of such behaviours and they tell us how we ought to act. Furthermore, social norms hold power via emotional control, in particular through shame and guilt rather than reward and punishment (Elster 1989), social expectations and expectations of conformity (Bicchieri 2006)</w:t>
      </w:r>
      <w:r w:rsidR="00004BF4" w:rsidRPr="009A7163">
        <w:t>,</w:t>
      </w:r>
      <w:r w:rsidRPr="009A7163">
        <w:t xml:space="preserve"> and they are held in place by rewards and sanctions (Mackie et al., 2015). It has been argued that people conform to these social norms because ‘they have no choice and no determining agency through agency or political power; they can imagine no alternative which is the concept Doxa by Bourdieu; property and asset ownership delineate as it is (via men; via the church; via institutions of power; women have no voice and political power at local or national level’ (Harper, n.d).  </w:t>
      </w:r>
      <w:r w:rsidRPr="009A7163">
        <w:rPr>
          <w:iCs/>
        </w:rPr>
        <w:t>Sen et al. (2007) add:</w:t>
      </w:r>
    </w:p>
    <w:p w14:paraId="44D2CB80" w14:textId="704D2B4C" w:rsidR="001C443C" w:rsidRPr="009A7163" w:rsidRDefault="001C443C" w:rsidP="00293176">
      <w:pPr>
        <w:spacing w:after="180"/>
        <w:ind w:left="720"/>
        <w:jc w:val="both"/>
      </w:pPr>
      <w:r w:rsidRPr="009A7163">
        <w:rPr>
          <w:iCs/>
        </w:rPr>
        <w:t xml:space="preserve">Norms are vital determinants of social stratification as they reflect and reproduce relations that empower some groups of people with material resources, authority, and entitlements while marginalizing and subordinating others by normalizing shame, inequality, indifference or invisibility. It is important to note that these norms reflect and reproduce underlying gendered relations of power, and that is fundamentally what makes them difficult to alter or transform. </w:t>
      </w:r>
      <w:r w:rsidR="009719B8" w:rsidRPr="009A7163">
        <w:rPr>
          <w:iCs/>
        </w:rPr>
        <w:t>(p. 28)</w:t>
      </w:r>
    </w:p>
    <w:p w14:paraId="65D5D43A" w14:textId="124422EC" w:rsidR="001C443C" w:rsidRPr="009A7163" w:rsidRDefault="001C443C" w:rsidP="00293176">
      <w:pPr>
        <w:spacing w:after="240" w:line="360" w:lineRule="auto"/>
        <w:ind w:firstLine="720"/>
        <w:jc w:val="both"/>
      </w:pPr>
      <w:r w:rsidRPr="009A7163">
        <w:t xml:space="preserve">Implicit in this idea of how norms function is the invisibiliation of the operation of gendered power. Social serves to ‘naturalise gender inequalities and to put gender ideologies and gendered practices in the realm of </w:t>
      </w:r>
      <w:r w:rsidR="00004BF4" w:rsidRPr="009A7163">
        <w:t>“</w:t>
      </w:r>
      <w:r w:rsidRPr="009A7163">
        <w:t>doxa</w:t>
      </w:r>
      <w:r w:rsidR="00004BF4" w:rsidRPr="009A7163">
        <w:t>”</w:t>
      </w:r>
      <w:r w:rsidRPr="009A7163">
        <w:t>’ (Marcus and Harper,</w:t>
      </w:r>
      <w:r w:rsidR="00A26DE3" w:rsidRPr="009A7163">
        <w:t xml:space="preserve"> </w:t>
      </w:r>
      <w:r w:rsidR="00454CAE" w:rsidRPr="009A7163">
        <w:t>2015</w:t>
      </w:r>
      <w:r w:rsidR="00004BF4" w:rsidRPr="009A7163">
        <w:t>,</w:t>
      </w:r>
      <w:r w:rsidRPr="009A7163">
        <w:t xml:space="preserve"> p. 12). The relevance of social norms to </w:t>
      </w:r>
      <w:r w:rsidR="00004BF4" w:rsidRPr="009A7163">
        <w:t>my research</w:t>
      </w:r>
      <w:r w:rsidRPr="009A7163">
        <w:t xml:space="preserve"> is central as social norms are determinants on empowerment processes and often remain undiscussed and persistent</w:t>
      </w:r>
      <w:r w:rsidR="00004BF4" w:rsidRPr="009A7163">
        <w:t xml:space="preserve">, </w:t>
      </w:r>
      <w:r w:rsidRPr="009A7163">
        <w:t xml:space="preserve"> </w:t>
      </w:r>
      <w:r w:rsidR="00004BF4" w:rsidRPr="009A7163">
        <w:t>m</w:t>
      </w:r>
      <w:r w:rsidRPr="009A7163">
        <w:t>uch like women’s unpaid work. Furthermore, ‘</w:t>
      </w:r>
      <w:r w:rsidRPr="009A7163">
        <w:rPr>
          <w:iCs/>
        </w:rPr>
        <w:t>Gender norms</w:t>
      </w:r>
      <w:r w:rsidR="009719B8" w:rsidRPr="009A7163">
        <w:rPr>
          <w:iCs/>
        </w:rPr>
        <w:t>…</w:t>
      </w:r>
      <w:r w:rsidRPr="009A7163">
        <w:rPr>
          <w:iCs/>
        </w:rPr>
        <w:t>have not changed greatly partly because they are widely held and practiced in daily life, because they often represent the interests of power holders’ (Munoz Boudet et al., 2012, p. 16). </w:t>
      </w:r>
      <w:r w:rsidRPr="009A7163">
        <w:t xml:space="preserve">This is relevant to this study because by understanding better social norms, it is possible to identify important structural, economic and other levers related to the participants in the initiative and therein identify drivers of change in order to analyse pathways to empowerment. </w:t>
      </w:r>
    </w:p>
    <w:p w14:paraId="573B9008" w14:textId="77777777" w:rsidR="001C443C" w:rsidRPr="009A7163" w:rsidRDefault="001C443C" w:rsidP="00293176">
      <w:pPr>
        <w:pStyle w:val="Heading3"/>
      </w:pPr>
      <w:bookmarkStart w:id="29" w:name="_Toc526819265"/>
      <w:r w:rsidRPr="009A7163">
        <w:lastRenderedPageBreak/>
        <w:t>2.4.2  Social Norms and Gender</w:t>
      </w:r>
      <w:bookmarkEnd w:id="29"/>
    </w:p>
    <w:p w14:paraId="23117061" w14:textId="1C36ED68" w:rsidR="001C443C" w:rsidRPr="009A7163" w:rsidRDefault="001C443C">
      <w:pPr>
        <w:spacing w:line="360" w:lineRule="auto"/>
        <w:ind w:firstLine="720"/>
        <w:jc w:val="both"/>
        <w:rPr>
          <w:b/>
        </w:rPr>
      </w:pPr>
      <w:r w:rsidRPr="009A7163">
        <w:t xml:space="preserve">The relevance of social norms has gained interest in international development and in particular linking understanding social norms and pathways to change. The 2012 World Development Report (World Bank, 2011) showed evidence of different drivers of change in gender relations and which of these drivers led to changed gender norms. The World Bank </w:t>
      </w:r>
      <w:r w:rsidR="00004BF4" w:rsidRPr="009A7163">
        <w:t xml:space="preserve">(2011) </w:t>
      </w:r>
      <w:r w:rsidRPr="009A7163">
        <w:t>report asks</w:t>
      </w:r>
      <w:r w:rsidR="00004BF4" w:rsidRPr="009A7163">
        <w:t>:</w:t>
      </w:r>
      <w:r w:rsidRPr="009A7163">
        <w:t xml:space="preserve"> ‘</w:t>
      </w:r>
      <w:r w:rsidR="00004BF4" w:rsidRPr="009A7163">
        <w:t xml:space="preserve">[Do] </w:t>
      </w:r>
      <w:r w:rsidRPr="009A7163">
        <w:t xml:space="preserve">social norms prevent—or promote—gains in women’s agency?’ (p. 168). The report then goes on to argue: ‘Social norms influence expectations, values, and </w:t>
      </w:r>
      <w:r w:rsidR="00A26DE3" w:rsidRPr="009A7163">
        <w:t>behaviours</w:t>
      </w:r>
      <w:r w:rsidRPr="009A7163">
        <w:t>. As such they can prevent laws, better services, and higher incomes from removing constraints to agency. In such cases, policy makers need to consider whether norms themselves can be shifted to improve gender outcomes’ (</w:t>
      </w:r>
      <w:r w:rsidR="00004BF4" w:rsidRPr="009A7163">
        <w:t xml:space="preserve">World Bank, 2011, </w:t>
      </w:r>
      <w:r w:rsidRPr="009A7163">
        <w:t>p. 168)</w:t>
      </w:r>
      <w:r w:rsidR="00004BF4" w:rsidRPr="009A7163">
        <w:t>. Furthermore,</w:t>
      </w:r>
      <w:r w:rsidRPr="009A7163">
        <w:t xml:space="preserve"> ‘</w:t>
      </w:r>
      <w:r w:rsidR="00004BF4" w:rsidRPr="009A7163">
        <w:t>[s]</w:t>
      </w:r>
      <w:r w:rsidRPr="009A7163">
        <w:t>ocial norms can prevent policies and services from working</w:t>
      </w:r>
      <w:r w:rsidR="00562BEF" w:rsidRPr="009A7163">
        <w:t>…</w:t>
      </w:r>
      <w:r w:rsidRPr="009A7163">
        <w:t>Social norms define and constrain the space for women to exercise their agency</w:t>
      </w:r>
      <w:r w:rsidR="00004BF4" w:rsidRPr="009A7163">
        <w:t xml:space="preserve"> – </w:t>
      </w:r>
      <w:r w:rsidRPr="009A7163">
        <w:t>by imposing penalties both on those who deviate and on those who do not enforce the norms’ (</w:t>
      </w:r>
      <w:r w:rsidR="00004BF4" w:rsidRPr="009A7163">
        <w:t xml:space="preserve">World Bank, 2011, </w:t>
      </w:r>
      <w:r w:rsidRPr="009A7163">
        <w:t>p. 69). There is an increasing focus in the literature on norms that perpetuate unequal gender relations (see Kandiyoti, 1988; Keleher and Franklin, 2008; Munoz Boudet et al., 2012; Sen et al., 2007; Watson, 2007)</w:t>
      </w:r>
      <w:r w:rsidR="00004BF4" w:rsidRPr="009A7163">
        <w:t>, and</w:t>
      </w:r>
      <w:r w:rsidRPr="009A7163">
        <w:t xml:space="preserve"> many argu</w:t>
      </w:r>
      <w:r w:rsidR="00004BF4" w:rsidRPr="009A7163">
        <w:t>e</w:t>
      </w:r>
      <w:r w:rsidRPr="009A7163">
        <w:t xml:space="preserve"> that overall societal norms are male and, more specifically, a particular sort of ‘hegemonic’ masculinity that is regarded as normal.</w:t>
      </w:r>
      <w:r w:rsidRPr="009A7163">
        <w:rPr>
          <w:vertAlign w:val="superscript"/>
        </w:rPr>
        <w:footnoteReference w:id="49"/>
      </w:r>
      <w:r w:rsidRPr="009A7163">
        <w:t xml:space="preserve"> </w:t>
      </w:r>
      <w:r w:rsidR="00920B76" w:rsidRPr="009A7163">
        <w:t>Boudet et al</w:t>
      </w:r>
      <w:r w:rsidR="00562BEF" w:rsidRPr="009A7163">
        <w:t>. (2012)</w:t>
      </w:r>
      <w:r w:rsidR="00920B76" w:rsidRPr="009A7163">
        <w:t xml:space="preserve"> argue that</w:t>
      </w:r>
      <w:r w:rsidR="00562BEF" w:rsidRPr="009A7163">
        <w:t>,</w:t>
      </w:r>
      <w:r w:rsidR="00920B76" w:rsidRPr="009A7163">
        <w:t xml:space="preserve"> ‘</w:t>
      </w:r>
      <w:r w:rsidRPr="009A7163">
        <w:t xml:space="preserve">For example, in the </w:t>
      </w:r>
      <w:r w:rsidR="00562BEF" w:rsidRPr="009A7163">
        <w:t>“</w:t>
      </w:r>
      <w:r w:rsidRPr="009A7163">
        <w:t>labour market</w:t>
      </w:r>
      <w:r w:rsidR="00562BEF" w:rsidRPr="009A7163">
        <w:t>”</w:t>
      </w:r>
      <w:r w:rsidRPr="009A7163">
        <w:t xml:space="preserve">, the </w:t>
      </w:r>
      <w:r w:rsidR="00562BEF" w:rsidRPr="009A7163">
        <w:t>“</w:t>
      </w:r>
      <w:r w:rsidRPr="009A7163">
        <w:t>ideal</w:t>
      </w:r>
      <w:r w:rsidR="00562BEF" w:rsidRPr="009A7163">
        <w:t>”</w:t>
      </w:r>
      <w:r w:rsidRPr="009A7163">
        <w:t xml:space="preserve"> employee is free from the time constraints of running a home and caring for children. The deﬁnition of a </w:t>
      </w:r>
      <w:r w:rsidR="00562BEF" w:rsidRPr="009A7163">
        <w:t>“</w:t>
      </w:r>
      <w:r w:rsidRPr="009A7163">
        <w:t>normal</w:t>
      </w:r>
      <w:r w:rsidR="00562BEF" w:rsidRPr="009A7163">
        <w:t>”</w:t>
      </w:r>
      <w:r w:rsidRPr="009A7163">
        <w:t xml:space="preserve"> employee enables the reproduction of gender inequality. Furthermore, this ideal is reproduced in labour codes, which established the eight-hour working day, the notion of a </w:t>
      </w:r>
      <w:r w:rsidR="00562BEF" w:rsidRPr="009A7163">
        <w:t>“</w:t>
      </w:r>
      <w:r w:rsidRPr="009A7163">
        <w:t>family wage</w:t>
      </w:r>
      <w:r w:rsidR="00562BEF" w:rsidRPr="009A7163">
        <w:t>”</w:t>
      </w:r>
      <w:r w:rsidRPr="009A7163">
        <w:t>, and more’ (pp. 25–6). Kehler and Franklin (2008) further argue the following in relation to gender norms:</w:t>
      </w:r>
    </w:p>
    <w:p w14:paraId="6F10FB2C" w14:textId="023E796A" w:rsidR="001C443C" w:rsidRPr="009A7163" w:rsidRDefault="001C443C" w:rsidP="00293176">
      <w:pPr>
        <w:spacing w:after="180"/>
        <w:ind w:left="720"/>
        <w:jc w:val="both"/>
      </w:pPr>
      <w:r w:rsidRPr="009A7163">
        <w:t>Gender norms are powerful, pervasive values and attitudes, about gender-based social roles and behaviours that are deeply embedded in social structures. Gender norms manifest at various levels, including within households and families, communities, neighbourhoods, and wider society. They ensure the maintenance of social order, punishing or sanctioning deviance from those norms, interacting to produce outcomes which are frequently inequitable, and dynamics that are often a risk for women and girls</w:t>
      </w:r>
      <w:r w:rsidR="00562BEF" w:rsidRPr="009A7163">
        <w:t>…</w:t>
      </w:r>
      <w:r w:rsidRPr="009A7163">
        <w:t>Norms are perpetuated by social traditions that govern and constrain behaviours of both women and men, and by social institutions that produce laws and codes of conduct that maintain gender inequities.</w:t>
      </w:r>
      <w:r w:rsidR="00004BF4" w:rsidRPr="009A7163">
        <w:t xml:space="preserve"> (p. 43)</w:t>
      </w:r>
    </w:p>
    <w:p w14:paraId="7980C130" w14:textId="5CC15C66" w:rsidR="001C443C" w:rsidRPr="009A7163" w:rsidRDefault="001C443C" w:rsidP="001C443C">
      <w:pPr>
        <w:spacing w:line="360" w:lineRule="auto"/>
        <w:ind w:firstLine="720"/>
        <w:jc w:val="both"/>
      </w:pPr>
      <w:r w:rsidRPr="009A7163">
        <w:lastRenderedPageBreak/>
        <w:t xml:space="preserve">Gender norms and the socialisation of gender norms serves to naturalise gender inequalities and to put gender ideologies into the realm of the ‘doxa’ </w:t>
      </w:r>
      <w:r w:rsidR="00004BF4" w:rsidRPr="009A7163">
        <w:t>(</w:t>
      </w:r>
      <w:r w:rsidRPr="009A7163">
        <w:t>Bourdieu</w:t>
      </w:r>
      <w:r w:rsidR="00004BF4" w:rsidRPr="009A7163">
        <w:t xml:space="preserve">, </w:t>
      </w:r>
      <w:r w:rsidRPr="009A7163">
        <w:t xml:space="preserve">1977). Inherent in these arguments is the idea that these ideas and behaviours are naturalised and therefore outside the realm of ideas and practices that can be discussed, debated or challenged. Therefore, ‘conforming or not conforming to particular norms is often outside the realm of conscious choice, as people perceive certain ways of organising society as </w:t>
      </w:r>
      <w:r w:rsidR="00004BF4" w:rsidRPr="009A7163">
        <w:t>“</w:t>
      </w:r>
      <w:r w:rsidRPr="009A7163">
        <w:t>natural</w:t>
      </w:r>
      <w:r w:rsidR="00004BF4" w:rsidRPr="009A7163">
        <w:t>”</w:t>
      </w:r>
      <w:r w:rsidRPr="009A7163">
        <w:t xml:space="preserve"> or </w:t>
      </w:r>
      <w:r w:rsidR="00004BF4" w:rsidRPr="009A7163">
        <w:t>“</w:t>
      </w:r>
      <w:r w:rsidRPr="009A7163">
        <w:t>God-given</w:t>
      </w:r>
      <w:r w:rsidR="00004BF4" w:rsidRPr="009A7163">
        <w:t>”</w:t>
      </w:r>
      <w:r w:rsidRPr="009A7163">
        <w:t xml:space="preserve">’ (Marcus and Harper, 2014, p. 33). This is the inequality buried at a deeper level of the ‘doxa’. Part of the explanation for why these beliefs are so entrenched comes from learning what it is to be a girl or a boy, or a man or a woman, from very early in life. We learn ‘the rules of the game and we then continuously reproduce them, almost as if we were following an </w:t>
      </w:r>
      <w:r w:rsidR="00004BF4" w:rsidRPr="009A7163">
        <w:t>“</w:t>
      </w:r>
      <w:r w:rsidRPr="009A7163">
        <w:t>ethics</w:t>
      </w:r>
      <w:r w:rsidR="00004BF4" w:rsidRPr="009A7163">
        <w:t xml:space="preserve">” </w:t>
      </w:r>
      <w:r w:rsidRPr="009A7163">
        <w:t>of gender behaviour that controls our self-judging processes, as well as our awareness of judgment by others’ (Munoz Boudet e</w:t>
      </w:r>
      <w:r w:rsidR="00A26DE3" w:rsidRPr="009A7163">
        <w:t>t</w:t>
      </w:r>
      <w:r w:rsidRPr="009A7163">
        <w:t xml:space="preserve"> al., 2012, p. 25), which reinforces differences. </w:t>
      </w:r>
    </w:p>
    <w:p w14:paraId="5B805887" w14:textId="3820AFA0" w:rsidR="001C443C" w:rsidRPr="009A7163" w:rsidRDefault="001C443C" w:rsidP="001C443C">
      <w:pPr>
        <w:spacing w:line="360" w:lineRule="auto"/>
        <w:ind w:firstLine="720"/>
        <w:jc w:val="both"/>
      </w:pPr>
      <w:r w:rsidRPr="009A7163">
        <w:t>It has been argued that these differences and gendered social norms are reinforced by the concept of ‘doing gender’ (</w:t>
      </w:r>
      <w:r w:rsidR="00A26DE3" w:rsidRPr="009A7163">
        <w:t xml:space="preserve">West and Fenstermaker, 1995; </w:t>
      </w:r>
      <w:r w:rsidRPr="009A7163">
        <w:t>West and Zimmerman, 1987), which in essence means being permanently accountable to what is expected of your gender-ascribed role and reproducing and replicating those markers of sexual difference. Furthermore, as Butler (1988) argue</w:t>
      </w:r>
      <w:r w:rsidR="00FE5EB3" w:rsidRPr="009A7163">
        <w:t>s</w:t>
      </w:r>
      <w:r w:rsidRPr="009A7163">
        <w:t xml:space="preserve">, ‘identity is instituted through a </w:t>
      </w:r>
      <w:r w:rsidRPr="009A7163">
        <w:rPr>
          <w:i/>
        </w:rPr>
        <w:t>stylized repetition of acts</w:t>
      </w:r>
      <w:r w:rsidRPr="009A7163">
        <w:t xml:space="preserve"> that constitute a large part of a group’s everyday life and collective performance of identity’</w:t>
      </w:r>
      <w:r w:rsidR="00FE5EB3" w:rsidRPr="009A7163">
        <w:t xml:space="preserve"> (p. 519)</w:t>
      </w:r>
      <w:r w:rsidRPr="009A7163">
        <w:t xml:space="preserve">. Butler (1988) </w:t>
      </w:r>
      <w:r w:rsidR="00FE5EB3" w:rsidRPr="009A7163">
        <w:t xml:space="preserve">further </w:t>
      </w:r>
      <w:r w:rsidRPr="009A7163">
        <w:t>argue</w:t>
      </w:r>
      <w:r w:rsidR="00FE5EB3" w:rsidRPr="009A7163">
        <w:t>s</w:t>
      </w:r>
      <w:r w:rsidRPr="009A7163">
        <w:t xml:space="preserve"> that gender is constructed through a set of acts that are in compliance with dominant social norms and that the performance of these maintains these social norms and also controls and ‘produces’ the individual. Some authors have argued that the family exercises ideological control through Foucault’s idea of surveillance whereby the family can become a site of surveillance and women can adopt self-surveillance through guilt (</w:t>
      </w:r>
      <w:r w:rsidR="00A26DE3" w:rsidRPr="009A7163">
        <w:t>s</w:t>
      </w:r>
      <w:r w:rsidRPr="009A7163">
        <w:t>ee Fedder, 2007; Henderson et al.,</w:t>
      </w:r>
      <w:r w:rsidR="009D3489" w:rsidRPr="009A7163">
        <w:t xml:space="preserve"> </w:t>
      </w:r>
      <w:r w:rsidRPr="009A7163">
        <w:t xml:space="preserve">2010, Taylor, 2012). Foucault (1975) developed the concept of surveillance and the state vigilance over citizens to describe how the state can exercise social control over people, so that people who are subject to the formal rules and regulations of the social institutions have simply internalised those rules, to the point that they become normative. However, later, Foucault sees surveillance as internalised as people come to accept behavioural norms as their own and follow them because they think it is in their interests to do so and/or it becomes part of their identity. They then exercise self-surveillance and police their own behaviour. In this context, social institutions no longer need to enforce social control over how people behave </w:t>
      </w:r>
      <w:r w:rsidRPr="009A7163">
        <w:lastRenderedPageBreak/>
        <w:t>because they do it themselves as they constantly monitor and keep an eye on their own behaviour. Foucault (1975) describ</w:t>
      </w:r>
      <w:r w:rsidR="00FE5EB3" w:rsidRPr="009A7163">
        <w:t>s</w:t>
      </w:r>
      <w:r w:rsidRPr="009A7163">
        <w:t xml:space="preserve"> </w:t>
      </w:r>
      <w:r w:rsidR="0033250B" w:rsidRPr="009A7163">
        <w:t>prisoners who</w:t>
      </w:r>
      <w:r w:rsidRPr="009A7163">
        <w:t xml:space="preserve"> feel like that they are being constantly watched or that </w:t>
      </w:r>
      <w:r w:rsidR="0033250B" w:rsidRPr="009A7163">
        <w:t>may be</w:t>
      </w:r>
      <w:r w:rsidRPr="009A7163">
        <w:t xml:space="preserve"> watched. People begin a process of self-surveillance of themselves and surveillance of others without the necessity of formal institutions. Foucault </w:t>
      </w:r>
      <w:r w:rsidR="00FE5EB3" w:rsidRPr="009A7163">
        <w:t xml:space="preserve">(1995) </w:t>
      </w:r>
      <w:r w:rsidRPr="009A7163">
        <w:t>goes on to say that this is important because it ‘automatizes and disindividualizes power’ (p. 198). Foucault’s</w:t>
      </w:r>
      <w:r w:rsidRPr="009A7163" w:rsidDel="00692E8F">
        <w:t xml:space="preserve"> </w:t>
      </w:r>
      <w:r w:rsidRPr="009A7163">
        <w:t>conceptualization of ‘power is that it cannot be located. It is everywhere and therefore also inside us</w:t>
      </w:r>
      <w:r w:rsidR="0033250B" w:rsidRPr="009A7163">
        <w:t>’</w:t>
      </w:r>
      <w:r w:rsidRPr="009A7163">
        <w:t xml:space="preserve"> (Foucault, 1975, p. 108). Norms and in particular gender norms around the family and motherhood are central to roles and distribution of time and work in this study. So, if we understand that norms form part of the apparatus through which certain groups maintain their power over others, we can see how power is exercised through the repetition and reinforcement of social norms. Hayward (1988) add</w:t>
      </w:r>
      <w:r w:rsidR="00FE5EB3" w:rsidRPr="009A7163">
        <w:t>s</w:t>
      </w:r>
      <w:r w:rsidRPr="009A7163">
        <w:t xml:space="preserve"> that social norms act as social boundaries that define key practices and institutions:</w:t>
      </w:r>
    </w:p>
    <w:p w14:paraId="65D12A40" w14:textId="110923D9" w:rsidR="001C443C" w:rsidRPr="009A7163" w:rsidRDefault="001C443C" w:rsidP="00293176">
      <w:pPr>
        <w:spacing w:after="180"/>
        <w:ind w:left="720"/>
        <w:jc w:val="both"/>
      </w:pPr>
      <w:r w:rsidRPr="009A7163">
        <w:t>Power’s mechanisms are best conceived, not as instruments powerful agents use to prevent the powerless from acting freely, but rather as social boundaries that, together, define fields of action for all actors. Power defines fields of possibility. It facilitates and constrains social action. Its mechanisms consist in laws, rules, norms, customs, social identities, and standards that constrain and enable inter- and intra-subjective action</w:t>
      </w:r>
      <w:r w:rsidR="00FE5EB3" w:rsidRPr="009A7163">
        <w:t>…</w:t>
      </w:r>
      <w:r w:rsidRPr="009A7163">
        <w:t>Freedom enables actors to participate effectively in shaping the boundaries that define for them the field of what is possible.  (p. 12)</w:t>
      </w:r>
    </w:p>
    <w:p w14:paraId="244ED914" w14:textId="6151470A" w:rsidR="001C443C" w:rsidRPr="009A7163" w:rsidRDefault="001C443C" w:rsidP="00293176">
      <w:pPr>
        <w:spacing w:after="240" w:line="360" w:lineRule="auto"/>
        <w:ind w:firstLine="720"/>
        <w:jc w:val="both"/>
      </w:pPr>
      <w:r w:rsidRPr="009A7163">
        <w:t>This view of social norms as boundaries is again of relevance to the study in order to understand how the</w:t>
      </w:r>
      <w:r w:rsidR="00A26DE3" w:rsidRPr="009A7163">
        <w:t>y</w:t>
      </w:r>
      <w:r w:rsidRPr="009A7163">
        <w:t xml:space="preserve"> operate and where there is potential space to shift these boundaries.</w:t>
      </w:r>
    </w:p>
    <w:p w14:paraId="7FEAA975" w14:textId="26B0F408" w:rsidR="001C443C" w:rsidRPr="009A7163" w:rsidRDefault="009D3489" w:rsidP="00293176">
      <w:pPr>
        <w:pStyle w:val="Heading3"/>
        <w:rPr>
          <w:b w:val="0"/>
        </w:rPr>
      </w:pPr>
      <w:bookmarkStart w:id="30" w:name="_Toc526819266"/>
      <w:r w:rsidRPr="009A7163">
        <w:t xml:space="preserve">2.4.3  </w:t>
      </w:r>
      <w:r w:rsidR="001C443C" w:rsidRPr="009A7163">
        <w:t>Gender Norms, Women’s Economic Empowerment and Common Constraints</w:t>
      </w:r>
      <w:bookmarkEnd w:id="30"/>
    </w:p>
    <w:p w14:paraId="6873DB7F" w14:textId="5B4487DF" w:rsidR="001C443C" w:rsidRPr="009A7163" w:rsidRDefault="001C443C" w:rsidP="001C443C">
      <w:pPr>
        <w:spacing w:line="360" w:lineRule="auto"/>
        <w:ind w:firstLine="720"/>
        <w:jc w:val="both"/>
      </w:pPr>
      <w:r w:rsidRPr="009A7163">
        <w:t xml:space="preserve">Literature on social norms have dealt with constraints at the household level but also the ‘“structures of collective constraint”, which include gender, race, class, age, sexuality, and nation, and span production and social reproduction, the market, the workplace, the family, and the state’ (Pearce and Connell, 2016, p. 33). One particular study on ‘How gendered social norms influence how we empower women in market systems development’ by Markel et al. (2016a) that resonates with this current study examined how gendered social norms influence women’s empowerment in market </w:t>
      </w:r>
      <w:r w:rsidRPr="009A7163">
        <w:lastRenderedPageBreak/>
        <w:t>systems development</w:t>
      </w:r>
      <w:r w:rsidR="00A26DE3" w:rsidRPr="009A7163">
        <w:t>.</w:t>
      </w:r>
      <w:r w:rsidRPr="009A7163">
        <w:rPr>
          <w:vertAlign w:val="superscript"/>
        </w:rPr>
        <w:footnoteReference w:id="50"/>
      </w:r>
      <w:r w:rsidRPr="009A7163">
        <w:t xml:space="preserve"> In particular, the study highlights how social norms are barriers to economic activity; however, it should not be assumed that women who conform are automatically disempowered or that all norms but be challenged in order to promote empowerment (Markel et al., 2016b, p. 3). It builds on the recognition that informal social ‘rules’ within markets and households can significantly affect women’s empowerment. The authors argue that:</w:t>
      </w:r>
    </w:p>
    <w:p w14:paraId="3FB889DA" w14:textId="6F1D6A4C" w:rsidR="001C443C" w:rsidRPr="009A7163" w:rsidRDefault="001C443C" w:rsidP="00293176">
      <w:pPr>
        <w:spacing w:after="180"/>
        <w:ind w:left="720"/>
        <w:jc w:val="both"/>
      </w:pPr>
      <w:r w:rsidRPr="009A7163">
        <w:t>Market systems and women’s economic empowerment programs typically function with an incomplete understanding of how social factors influence human economic behaviours. Programming tends to focus on increasing women’s access to economic opportunities, whether to markets, education, information, or land rights, etc. Less consideration is given to how the socio-cultural context in which women operate influences their ability to engage with and actually benefit from those opportunities. (</w:t>
      </w:r>
      <w:r w:rsidR="00FE5EB3" w:rsidRPr="009A7163">
        <w:t>ibid,</w:t>
      </w:r>
      <w:r w:rsidRPr="009A7163">
        <w:t xml:space="preserve"> p. 3)</w:t>
      </w:r>
    </w:p>
    <w:p w14:paraId="4A10C3CD" w14:textId="0CB298D3" w:rsidR="001C443C" w:rsidRPr="009A7163" w:rsidRDefault="001C443C" w:rsidP="001C443C">
      <w:pPr>
        <w:spacing w:line="360" w:lineRule="auto"/>
        <w:ind w:firstLine="720"/>
        <w:jc w:val="both"/>
      </w:pPr>
      <w:r w:rsidRPr="009A7163">
        <w:t>The authors identify a list of common norms that constrain women’s economic activity, including the following: gender segregation of sectors and tasks (unpaid and paid); perceptions of appropriate type of work; gendered division of decision making; restrictions on mobility, inheritance and ownership norms; and acceptance of gender-based violence and sexual harassment</w:t>
      </w:r>
      <w:r w:rsidR="0033250B" w:rsidRPr="009A7163">
        <w:t xml:space="preserve">. </w:t>
      </w:r>
      <w:r w:rsidRPr="009A7163">
        <w:t>In the literature, social norms are often discussed as constraints as opposed to discussions where norms can also be opportunities (Markel et al., 2016a, p. 17). Norms are not static and</w:t>
      </w:r>
      <w:r w:rsidR="0033250B" w:rsidRPr="009A7163">
        <w:t>,</w:t>
      </w:r>
      <w:r w:rsidRPr="009A7163">
        <w:t xml:space="preserve"> as Kabeer (2002) note</w:t>
      </w:r>
      <w:r w:rsidR="00FE5EB3" w:rsidRPr="009A7163">
        <w:t>s</w:t>
      </w:r>
      <w:r w:rsidRPr="009A7163">
        <w:t>, it is important to add the risk of seeing norms as static or the risk of losing sight of women’s agency. Another risk is that women’s resistance to gender norms becomes implicitly understood as a rational strategy to make the most of the ‘rules of the game’ (Kandiyoti, 1988). Munoz Boudet el al. (2012) argue that, ‘[S]ocial norms are in constant dialogue with women’s agency and may determine women’s capacity to act. As such, they operate as social determinants that interact with an individual’s will in the form of a belief system around men and women’ (p. 12).</w:t>
      </w:r>
    </w:p>
    <w:p w14:paraId="00346F4F" w14:textId="4A1DDB84" w:rsidR="001C443C" w:rsidRPr="009A7163" w:rsidRDefault="001C443C" w:rsidP="001C443C">
      <w:pPr>
        <w:spacing w:line="360" w:lineRule="auto"/>
        <w:ind w:firstLine="720"/>
        <w:jc w:val="both"/>
      </w:pPr>
      <w:r w:rsidRPr="009A7163">
        <w:t xml:space="preserve"> Norms can ‘bend, relax, evolve, and change’ (Munoz Boudet et al., 2012, p. 26). Marcus and Harper (2014) argue that ‘Norms relax when people – both male and female – challenge or cross boundaries of traditional gender roles or conduct, but their actions are not recognised as a legitimate and acceptable norm’ (p. 9), or, as Munoz Boudet et al. (2012, p. 49) state, when they ‘are assuming new roles or responsibilities, </w:t>
      </w:r>
      <w:r w:rsidRPr="009A7163">
        <w:lastRenderedPageBreak/>
        <w:t>but are not setting a new standard’. For example, although Munoz Boudet et al.’s (2012) study identified increasing involvement of men in ad-hoc child care and housework, this was generally seen as ‘helping’ rather than redefining male and female roles. They found plenty of evidence of norms bending and relaxing rather than evidence of change at an ideological level (p. 36). Munoz Boudet et al. (2012) g</w:t>
      </w:r>
      <w:r w:rsidR="00FE5EB3" w:rsidRPr="009A7163">
        <w:t>i</w:t>
      </w:r>
      <w:r w:rsidRPr="009A7163">
        <w:t>ve this example in their report:</w:t>
      </w:r>
    </w:p>
    <w:p w14:paraId="769EE963" w14:textId="7075DD1F" w:rsidR="001C443C" w:rsidRPr="009A7163" w:rsidRDefault="001C443C">
      <w:pPr>
        <w:spacing w:after="180"/>
        <w:ind w:left="720"/>
        <w:jc w:val="both"/>
      </w:pPr>
      <w:r w:rsidRPr="009A7163">
        <w:t>The communities in our research show that what was improbable 10 years ago is now possible</w:t>
      </w:r>
      <w:r w:rsidR="0033250B" w:rsidRPr="009A7163">
        <w:t xml:space="preserve"> – </w:t>
      </w:r>
      <w:r w:rsidRPr="009A7163">
        <w:t>men help with housework and take care of children, women work for pay and manage their own money. Rather than ‘undoing gender’</w:t>
      </w:r>
      <w:r w:rsidR="00FE5EB3" w:rsidRPr="009A7163">
        <w:t>…</w:t>
      </w:r>
      <w:r w:rsidRPr="009A7163">
        <w:t xml:space="preserve"> it seems that change has come through modiﬁcations in the normative frameworks associated with gender. The powerful grip of gender norms rests upon other social norms that organize society and help us live together. The collective ability to articulate alternative, oppositional norms is part of the agency of the individuals inhabiting society. </w:t>
      </w:r>
      <w:r w:rsidR="0033250B" w:rsidRPr="009A7163">
        <w:t>(p. 26)</w:t>
      </w:r>
    </w:p>
    <w:p w14:paraId="496C63F1" w14:textId="7994190D" w:rsidR="001C443C" w:rsidRPr="009A7163" w:rsidRDefault="001C443C" w:rsidP="001C443C">
      <w:pPr>
        <w:spacing w:line="360" w:lineRule="auto"/>
        <w:ind w:firstLine="720"/>
        <w:jc w:val="both"/>
      </w:pPr>
      <w:r w:rsidRPr="009A7163">
        <w:t>When norms do change, they can become a new standard</w:t>
      </w:r>
      <w:r w:rsidR="00FE5EB3" w:rsidRPr="009A7163">
        <w:t>. N</w:t>
      </w:r>
      <w:r w:rsidRPr="009A7163">
        <w:t xml:space="preserve">orms go from </w:t>
      </w:r>
      <w:r w:rsidR="00FE5EB3" w:rsidRPr="009A7163">
        <w:t xml:space="preserve">being </w:t>
      </w:r>
      <w:r w:rsidR="009D6C77" w:rsidRPr="009A7163">
        <w:t>‘</w:t>
      </w:r>
      <w:r w:rsidR="00FE5EB3" w:rsidRPr="009A7163">
        <w:t>“</w:t>
      </w:r>
      <w:r w:rsidRPr="009A7163">
        <w:t>doxa</w:t>
      </w:r>
      <w:r w:rsidR="00FE5EB3" w:rsidRPr="009A7163">
        <w:t>”</w:t>
      </w:r>
      <w:r w:rsidRPr="009A7163">
        <w:t xml:space="preserve">, where only one interpretation of a culture is possible, to becoming a </w:t>
      </w:r>
      <w:r w:rsidR="00FE5EB3" w:rsidRPr="009A7163">
        <w:t>“</w:t>
      </w:r>
      <w:r w:rsidRPr="009A7163">
        <w:t>discourse</w:t>
      </w:r>
      <w:r w:rsidR="00FE5EB3" w:rsidRPr="009A7163">
        <w:t>”</w:t>
      </w:r>
      <w:r w:rsidRPr="009A7163">
        <w:t>, where</w:t>
      </w:r>
      <w:r w:rsidR="0033250B" w:rsidRPr="009A7163">
        <w:t xml:space="preserve"> </w:t>
      </w:r>
      <w:r w:rsidRPr="009A7163">
        <w:t>competing interpretations have come into view’ (Kabeer et al., 2011, p. 35). Examples in the literature show how activists communicate new norms to achieve social and political change. Marcus and Harper (2014, p. 29) argue that social movements often attempt to reframe norms to mobilise citizens for social change. They consider insights from the work of Raymond et al. (2013)</w:t>
      </w:r>
      <w:r w:rsidR="0033250B" w:rsidRPr="009A7163">
        <w:t>,</w:t>
      </w:r>
      <w:r w:rsidRPr="009A7163">
        <w:t xml:space="preserve"> who further argue that policy entrepreneurs and social movements employ the following two strategies to shift social norms:</w:t>
      </w:r>
    </w:p>
    <w:p w14:paraId="5E42E8D8" w14:textId="5F13B64D" w:rsidR="001C443C" w:rsidRPr="009A7163" w:rsidRDefault="001C443C" w:rsidP="00293176">
      <w:pPr>
        <w:spacing w:after="180"/>
        <w:ind w:left="720"/>
        <w:jc w:val="both"/>
      </w:pPr>
      <w:r w:rsidRPr="009A7163">
        <w:t>In the first strategy, policy entrepreneurs and social movements recast an issue in terms of alternative existing norms, to create new options for social and policy change. In the second strategy, policy entrepreneurs and social movements promote entirely new norms through a variety of techniques designed to create social and policy change</w:t>
      </w:r>
      <w:r w:rsidR="00FE5EB3" w:rsidRPr="009A7163">
        <w:t>.</w:t>
      </w:r>
      <w:r w:rsidRPr="009A7163">
        <w:t xml:space="preserve"> (p. 2)</w:t>
      </w:r>
    </w:p>
    <w:p w14:paraId="32A2F17B" w14:textId="1245948C" w:rsidR="001C443C" w:rsidRPr="009A7163" w:rsidRDefault="001C443C" w:rsidP="001C443C">
      <w:pPr>
        <w:spacing w:line="360" w:lineRule="auto"/>
        <w:ind w:firstLine="720"/>
        <w:jc w:val="both"/>
      </w:pPr>
      <w:r w:rsidRPr="009A7163">
        <w:t>In the case of the initiative, Catherine Hoskyns could be seen as the policy entrepreneur. Raymond et al. (2013) further argue that the emergence of new norms is fundamentally ideational and not based on interest-based bargaining. They named the people who sought to create and disseminate these norms as ‘norm agents’:</w:t>
      </w:r>
    </w:p>
    <w:p w14:paraId="3016D48D" w14:textId="1A3171DB" w:rsidR="001C443C" w:rsidRPr="009A7163" w:rsidRDefault="001C443C" w:rsidP="00293176">
      <w:pPr>
        <w:spacing w:after="180"/>
        <w:ind w:left="720"/>
        <w:jc w:val="both"/>
      </w:pPr>
      <w:r w:rsidRPr="009A7163">
        <w:t>Inspired by formative personal experiences or other personal commitments, nor entrepreneurs</w:t>
      </w:r>
      <w:r w:rsidR="00FE5EB3" w:rsidRPr="009A7163">
        <w:t>…</w:t>
      </w:r>
      <w:r w:rsidRPr="009A7163">
        <w:t>propose new ideas about what to do, creating or constructing issues where none existed before. These norm entrepreneurs then employ organizational platforms to disseminate or diffuse the norms they articulate to a wider group. (</w:t>
      </w:r>
      <w:r w:rsidR="00CE646F" w:rsidRPr="009A7163">
        <w:t>ibid</w:t>
      </w:r>
      <w:r w:rsidRPr="009A7163">
        <w:t>, p. 21)</w:t>
      </w:r>
    </w:p>
    <w:p w14:paraId="76E4E908" w14:textId="75E9975A" w:rsidR="001C443C" w:rsidRPr="009A7163" w:rsidRDefault="001C443C" w:rsidP="00293176">
      <w:pPr>
        <w:spacing w:after="240" w:line="360" w:lineRule="auto"/>
        <w:ind w:firstLine="720"/>
        <w:jc w:val="both"/>
      </w:pPr>
      <w:r w:rsidRPr="009A7163">
        <w:lastRenderedPageBreak/>
        <w:t>There is a growing body of literature which examines the processes that have led to change in gender relations, norms, attitudes, values and practices. A number of key drivers of change have been cited</w:t>
      </w:r>
      <w:r w:rsidR="00454CAE" w:rsidRPr="009A7163">
        <w:t xml:space="preserve"> </w:t>
      </w:r>
      <w:r w:rsidR="0033250B" w:rsidRPr="009A7163">
        <w:t>(</w:t>
      </w:r>
      <w:r w:rsidRPr="009A7163">
        <w:t xml:space="preserve">Marcus and Harper, 2014). </w:t>
      </w:r>
    </w:p>
    <w:p w14:paraId="46CCC082" w14:textId="516C3C0B" w:rsidR="001C443C" w:rsidRPr="009A7163" w:rsidRDefault="001C443C" w:rsidP="002579C3">
      <w:pPr>
        <w:pStyle w:val="Heading3"/>
      </w:pPr>
      <w:bookmarkStart w:id="31" w:name="_Toc526819267"/>
      <w:r w:rsidRPr="009A7163">
        <w:t>2.4.</w:t>
      </w:r>
      <w:r w:rsidR="009D3489" w:rsidRPr="009A7163">
        <w:t>4</w:t>
      </w:r>
      <w:r w:rsidRPr="009A7163">
        <w:t xml:space="preserve">  Gender Norms</w:t>
      </w:r>
      <w:r w:rsidR="00710AFC" w:rsidRPr="009A7163">
        <w:t xml:space="preserve">, </w:t>
      </w:r>
      <w:r w:rsidRPr="00663534">
        <w:t>Change</w:t>
      </w:r>
      <w:r w:rsidR="00710AFC" w:rsidRPr="00663534">
        <w:t xml:space="preserve"> and </w:t>
      </w:r>
      <w:r w:rsidR="0033250B" w:rsidRPr="00663534">
        <w:t>I</w:t>
      </w:r>
      <w:r w:rsidR="00710AFC" w:rsidRPr="00663534">
        <w:t>ntra</w:t>
      </w:r>
      <w:r w:rsidR="00E77B76" w:rsidRPr="00663534">
        <w:t>-</w:t>
      </w:r>
      <w:r w:rsidR="0033250B" w:rsidRPr="00663534">
        <w:t>H</w:t>
      </w:r>
      <w:r w:rsidR="00710AFC" w:rsidRPr="00663534">
        <w:t xml:space="preserve">ousehold </w:t>
      </w:r>
      <w:r w:rsidR="0033250B" w:rsidRPr="00663534">
        <w:t>D</w:t>
      </w:r>
      <w:r w:rsidR="00710AFC" w:rsidRPr="00663534">
        <w:t>ynamics</w:t>
      </w:r>
      <w:bookmarkEnd w:id="31"/>
    </w:p>
    <w:p w14:paraId="38020495" w14:textId="1BB467EC" w:rsidR="001C443C" w:rsidRPr="009A7163" w:rsidRDefault="001C443C" w:rsidP="001C443C">
      <w:pPr>
        <w:spacing w:line="360" w:lineRule="auto"/>
        <w:ind w:firstLine="720"/>
        <w:jc w:val="both"/>
      </w:pPr>
      <w:r w:rsidRPr="009A7163">
        <w:t xml:space="preserve">In gender relations, there are multiple factors </w:t>
      </w:r>
      <w:r w:rsidR="0033250B" w:rsidRPr="009A7163">
        <w:t>that</w:t>
      </w:r>
      <w:r w:rsidRPr="009A7163">
        <w:t xml:space="preserve"> drive change simultaneously</w:t>
      </w:r>
      <w:r w:rsidR="0033250B" w:rsidRPr="009A7163">
        <w:t>,</w:t>
      </w:r>
      <w:r w:rsidRPr="009A7163">
        <w:t xml:space="preserve"> such as economic change, education and exposure to new ideas via the media or other communications this vary between contexts and over time</w:t>
      </w:r>
      <w:r w:rsidR="00CE646F" w:rsidRPr="009A7163">
        <w:t xml:space="preserve"> </w:t>
      </w:r>
      <w:r w:rsidRPr="009A7163">
        <w:t>(Marcus and Harper, 2014). When changes in gender norms are perceived, these can be met with</w:t>
      </w:r>
      <w:r w:rsidR="00296456" w:rsidRPr="009A7163">
        <w:t>, for example,</w:t>
      </w:r>
      <w:r w:rsidRPr="009A7163">
        <w:t xml:space="preserve"> </w:t>
      </w:r>
      <w:r w:rsidR="00296456" w:rsidRPr="009A7163">
        <w:t xml:space="preserve">overt, hidden or political </w:t>
      </w:r>
      <w:r w:rsidRPr="009A7163">
        <w:t>resistance</w:t>
      </w:r>
      <w:r w:rsidR="00296456" w:rsidRPr="009A7163">
        <w:t xml:space="preserve">. </w:t>
      </w:r>
      <w:r w:rsidRPr="009A7163">
        <w:t>Resistance is likely to come from those with the most to lose or for whom power is central to their lives and identity. Marcus and Harper</w:t>
      </w:r>
      <w:r w:rsidR="00A26DE3" w:rsidRPr="009A7163">
        <w:t xml:space="preserve"> (2014)</w:t>
      </w:r>
      <w:r w:rsidRPr="009A7163">
        <w:t xml:space="preserve"> argue: ‘Younger men with more education and exposure to media are maybe more likely to have different ideas about gender than older men who have certain expectations around gender roles and want to maintain their power</w:t>
      </w:r>
      <w:r w:rsidR="00A26DE3" w:rsidRPr="009A7163">
        <w:t>’</w:t>
      </w:r>
      <w:r w:rsidRPr="009A7163">
        <w:t xml:space="preserve"> (p. 30). Women may also be resistant to changes in the household if that is where she feels her identity and power is. Munoz et al.</w:t>
      </w:r>
      <w:r w:rsidR="00A26DE3" w:rsidRPr="009A7163">
        <w:t xml:space="preserve"> </w:t>
      </w:r>
      <w:r w:rsidRPr="009A7163">
        <w:t>(2012) argue that</w:t>
      </w:r>
      <w:r w:rsidR="00A26DE3" w:rsidRPr="009A7163">
        <w:t>,</w:t>
      </w:r>
      <w:r w:rsidRPr="009A7163">
        <w:t xml:space="preserve"> ‘The extent of resistance to norm change may also reflect the rapidity of that change’</w:t>
      </w:r>
      <w:r w:rsidR="00423ED3" w:rsidRPr="009A7163">
        <w:t xml:space="preserve"> (p. 12)</w:t>
      </w:r>
      <w:r w:rsidRPr="009A7163">
        <w:t>. Conformity and resistance to norms is also likened to agency and affected by socio-economic circumstances. Marcus and Harper (201</w:t>
      </w:r>
      <w:r w:rsidR="00423ED3" w:rsidRPr="009A7163">
        <w:t>4</w:t>
      </w:r>
      <w:r w:rsidRPr="009A7163">
        <w:t>) argue:</w:t>
      </w:r>
    </w:p>
    <w:p w14:paraId="40769B4D" w14:textId="51CBBB70" w:rsidR="001C443C" w:rsidRPr="009A7163" w:rsidRDefault="001C443C" w:rsidP="00293176">
      <w:pPr>
        <w:spacing w:after="180"/>
        <w:ind w:left="720"/>
        <w:jc w:val="both"/>
      </w:pPr>
      <w:r w:rsidRPr="009A7163">
        <w:t>Poverty can make conforming to progressive gender norms impossible – and may thus be a key impediment to changes in practices. In some contexts, economic pressures make conformity to accepted gender roles impossible. However, gender roles that change as a result of economic pressure do not necessarily lead to changed gender ideologies – and discriminatory norms are sometimes reasserted when economic conditions improve.</w:t>
      </w:r>
      <w:r w:rsidR="00423ED3" w:rsidRPr="009A7163">
        <w:t xml:space="preserve"> (p. 34)</w:t>
      </w:r>
    </w:p>
    <w:p w14:paraId="6F0AA235" w14:textId="6EFBD81C" w:rsidR="00804688" w:rsidRPr="009A7163" w:rsidRDefault="00B761A9" w:rsidP="007A3A29">
      <w:pPr>
        <w:spacing w:line="360" w:lineRule="auto"/>
        <w:ind w:firstLine="720"/>
        <w:jc w:val="both"/>
        <w:rPr>
          <w:highlight w:val="yellow"/>
          <w:lang w:val="en-US"/>
        </w:rPr>
      </w:pPr>
      <w:r w:rsidRPr="009A7163">
        <w:t>Conformity, resistance and the strategic use of gender form</w:t>
      </w:r>
      <w:r w:rsidR="00B94C8A" w:rsidRPr="009A7163">
        <w:t xml:space="preserve"> part of the </w:t>
      </w:r>
      <w:r w:rsidR="00F25F1E" w:rsidRPr="009A7163">
        <w:t>literature on intra</w:t>
      </w:r>
      <w:r w:rsidR="004340A6" w:rsidRPr="009A7163">
        <w:t>-</w:t>
      </w:r>
      <w:r w:rsidR="00F25F1E" w:rsidRPr="009A7163">
        <w:t>household decision making</w:t>
      </w:r>
      <w:r w:rsidR="00B94C8A" w:rsidRPr="009A7163">
        <w:t xml:space="preserve">, </w:t>
      </w:r>
      <w:r w:rsidR="00F25F1E" w:rsidRPr="009A7163">
        <w:t xml:space="preserve">bargaining power </w:t>
      </w:r>
      <w:r w:rsidR="00E85697" w:rsidRPr="009A7163">
        <w:t>and female identity</w:t>
      </w:r>
      <w:r w:rsidR="00B94C8A" w:rsidRPr="009A7163">
        <w:t>.</w:t>
      </w:r>
      <w:r w:rsidR="003217C2" w:rsidRPr="009A7163">
        <w:t xml:space="preserve"> </w:t>
      </w:r>
      <w:r w:rsidR="00281478" w:rsidRPr="009A7163">
        <w:t xml:space="preserve">Social norms </w:t>
      </w:r>
      <w:r w:rsidR="00E926FB" w:rsidRPr="009A7163">
        <w:t xml:space="preserve">determine gender roles and </w:t>
      </w:r>
      <w:r w:rsidR="00A51380" w:rsidRPr="009A7163">
        <w:t>empowerment,</w:t>
      </w:r>
      <w:r w:rsidR="00E926FB" w:rsidRPr="009A7163">
        <w:t xml:space="preserve"> and this is most acutely </w:t>
      </w:r>
      <w:r w:rsidR="00A51380" w:rsidRPr="009A7163">
        <w:t>visible</w:t>
      </w:r>
      <w:r w:rsidR="00E926FB" w:rsidRPr="009A7163">
        <w:t xml:space="preserve"> </w:t>
      </w:r>
      <w:r w:rsidR="00281478" w:rsidRPr="009A7163">
        <w:t>in the household.</w:t>
      </w:r>
      <w:r w:rsidR="00FB4A7B" w:rsidRPr="009A7163">
        <w:t xml:space="preserve"> </w:t>
      </w:r>
      <w:r w:rsidR="00A51380" w:rsidRPr="009A7163">
        <w:t>If women’s empowerment is the process by which women gain greater control over the circumstances of their lives</w:t>
      </w:r>
      <w:r w:rsidR="00423ED3" w:rsidRPr="009A7163">
        <w:t>,</w:t>
      </w:r>
      <w:r w:rsidR="00A51380" w:rsidRPr="009A7163">
        <w:t xml:space="preserve"> women’s participation in decision making is a widely accepted indicator of empowerment.</w:t>
      </w:r>
      <w:r w:rsidR="00281478" w:rsidRPr="009A7163">
        <w:t xml:space="preserve"> </w:t>
      </w:r>
      <w:r w:rsidR="00C30D38" w:rsidRPr="009A7163">
        <w:t>In recent years, there has been a rise in literature on household decision making, gender and empowerment and in particular on decision making in developing countries (</w:t>
      </w:r>
      <w:r w:rsidR="00423ED3" w:rsidRPr="009A7163">
        <w:t>s</w:t>
      </w:r>
      <w:r w:rsidR="00C30D38" w:rsidRPr="009A7163">
        <w:t>ee Doss, 2011, Quisumbing, 2003).</w:t>
      </w:r>
      <w:r w:rsidR="00103B1A" w:rsidRPr="009A7163">
        <w:t xml:space="preserve"> </w:t>
      </w:r>
      <w:r w:rsidR="00C94984" w:rsidRPr="009A7163">
        <w:t xml:space="preserve">The impetus </w:t>
      </w:r>
      <w:r w:rsidR="005D2FA4" w:rsidRPr="009A7163">
        <w:t>for</w:t>
      </w:r>
      <w:r w:rsidR="00B25BCE" w:rsidRPr="009A7163">
        <w:t xml:space="preserve"> the research is that</w:t>
      </w:r>
      <w:r w:rsidR="00281478" w:rsidRPr="009A7163">
        <w:t xml:space="preserve"> since much of the economic activity happens on family </w:t>
      </w:r>
      <w:r w:rsidR="00B25BCE" w:rsidRPr="009A7163">
        <w:t>farms and within the household,</w:t>
      </w:r>
      <w:r w:rsidR="00E0091D" w:rsidRPr="009A7163">
        <w:t xml:space="preserve"> a</w:t>
      </w:r>
      <w:r w:rsidR="00C30D38" w:rsidRPr="009A7163">
        <w:t xml:space="preserve">nd power is linked to resources, </w:t>
      </w:r>
      <w:r w:rsidR="00C94984" w:rsidRPr="009A7163">
        <w:t>t</w:t>
      </w:r>
      <w:r w:rsidR="00B25BCE" w:rsidRPr="009A7163">
        <w:t>he</w:t>
      </w:r>
      <w:r w:rsidR="00301BAD" w:rsidRPr="009A7163">
        <w:t xml:space="preserve"> household is an ‘</w:t>
      </w:r>
      <w:r w:rsidR="00301BAD" w:rsidRPr="009A7163">
        <w:rPr>
          <w:rFonts w:eastAsiaTheme="minorHAnsi"/>
          <w:lang w:val="en-US"/>
        </w:rPr>
        <w:t xml:space="preserve">an important entry point for </w:t>
      </w:r>
      <w:r w:rsidR="00730774" w:rsidRPr="009A7163">
        <w:rPr>
          <w:rFonts w:eastAsiaTheme="minorHAnsi"/>
          <w:lang w:val="en-US"/>
        </w:rPr>
        <w:t>analyzing</w:t>
      </w:r>
      <w:r w:rsidR="00301BAD" w:rsidRPr="009A7163">
        <w:rPr>
          <w:rFonts w:eastAsiaTheme="minorHAnsi"/>
          <w:lang w:val="en-US"/>
        </w:rPr>
        <w:t xml:space="preserve"> poverty and inequality’ (Bu</w:t>
      </w:r>
      <w:r w:rsidR="00281478" w:rsidRPr="009A7163">
        <w:rPr>
          <w:rFonts w:eastAsiaTheme="minorHAnsi"/>
          <w:lang w:val="en-US"/>
        </w:rPr>
        <w:t xml:space="preserve">rns and Keswell, </w:t>
      </w:r>
      <w:r w:rsidR="00281478" w:rsidRPr="009A7163">
        <w:rPr>
          <w:rFonts w:eastAsiaTheme="minorHAnsi"/>
          <w:lang w:val="en-US"/>
        </w:rPr>
        <w:lastRenderedPageBreak/>
        <w:t>2006, p.</w:t>
      </w:r>
      <w:r w:rsidR="00423ED3" w:rsidRPr="009A7163">
        <w:rPr>
          <w:rFonts w:eastAsiaTheme="minorHAnsi"/>
          <w:lang w:val="en-US"/>
        </w:rPr>
        <w:t xml:space="preserve"> </w:t>
      </w:r>
      <w:r w:rsidR="00281478" w:rsidRPr="009A7163">
        <w:rPr>
          <w:rFonts w:eastAsiaTheme="minorHAnsi"/>
          <w:lang w:val="en-US"/>
        </w:rPr>
        <w:t>1)</w:t>
      </w:r>
      <w:r w:rsidR="00B25BCE" w:rsidRPr="009A7163">
        <w:rPr>
          <w:rFonts w:eastAsiaTheme="minorHAnsi"/>
          <w:lang w:val="en-US"/>
        </w:rPr>
        <w:t>. H</w:t>
      </w:r>
      <w:r w:rsidR="00281478" w:rsidRPr="009A7163">
        <w:rPr>
          <w:rFonts w:eastAsiaTheme="minorHAnsi"/>
          <w:lang w:val="en-US"/>
        </w:rPr>
        <w:t xml:space="preserve">ousehold decisions expose gender dynamics and </w:t>
      </w:r>
      <w:r w:rsidR="00157CBC" w:rsidRPr="009A7163">
        <w:rPr>
          <w:rFonts w:eastAsiaTheme="minorHAnsi"/>
          <w:lang w:val="en-US"/>
        </w:rPr>
        <w:t xml:space="preserve">show </w:t>
      </w:r>
      <w:r w:rsidR="00281478" w:rsidRPr="009A7163">
        <w:rPr>
          <w:rFonts w:eastAsiaTheme="minorHAnsi"/>
          <w:lang w:val="en-US"/>
        </w:rPr>
        <w:t>whether</w:t>
      </w:r>
      <w:r w:rsidR="00730774" w:rsidRPr="009A7163">
        <w:rPr>
          <w:rFonts w:eastAsiaTheme="minorHAnsi"/>
          <w:lang w:val="en-US"/>
        </w:rPr>
        <w:t xml:space="preserve"> transformative</w:t>
      </w:r>
      <w:r w:rsidR="00281478" w:rsidRPr="009A7163">
        <w:rPr>
          <w:rFonts w:eastAsiaTheme="minorHAnsi"/>
          <w:lang w:val="en-US"/>
        </w:rPr>
        <w:t xml:space="preserve"> change has occurred</w:t>
      </w:r>
      <w:r w:rsidR="00C94984" w:rsidRPr="009A7163">
        <w:rPr>
          <w:rFonts w:eastAsiaTheme="minorHAnsi"/>
          <w:lang w:val="en-US"/>
        </w:rPr>
        <w:t xml:space="preserve"> and</w:t>
      </w:r>
      <w:r w:rsidR="00103B1A" w:rsidRPr="009A7163">
        <w:rPr>
          <w:rFonts w:eastAsiaTheme="minorHAnsi"/>
          <w:lang w:val="en-US"/>
        </w:rPr>
        <w:t xml:space="preserve"> are evidence of empowerment</w:t>
      </w:r>
      <w:r w:rsidR="00281478" w:rsidRPr="009A7163">
        <w:rPr>
          <w:rFonts w:eastAsiaTheme="minorHAnsi"/>
          <w:lang w:val="en-US"/>
        </w:rPr>
        <w:t>.</w:t>
      </w:r>
      <w:r w:rsidR="00A51380" w:rsidRPr="009A7163">
        <w:rPr>
          <w:rFonts w:eastAsiaTheme="minorHAnsi"/>
          <w:lang w:val="en-US"/>
        </w:rPr>
        <w:t xml:space="preserve"> </w:t>
      </w:r>
      <w:r w:rsidR="00281478" w:rsidRPr="009A7163">
        <w:rPr>
          <w:rFonts w:eastAsiaTheme="minorHAnsi"/>
          <w:lang w:val="en-US"/>
        </w:rPr>
        <w:t>As Godek and Garc</w:t>
      </w:r>
      <w:r w:rsidR="00CE646F" w:rsidRPr="009A7163">
        <w:rPr>
          <w:rFonts w:eastAsiaTheme="minorHAnsi"/>
          <w:lang w:val="en-US"/>
        </w:rPr>
        <w:t>í</w:t>
      </w:r>
      <w:r w:rsidR="00281478" w:rsidRPr="009A7163">
        <w:rPr>
          <w:rFonts w:eastAsiaTheme="minorHAnsi"/>
          <w:lang w:val="en-US"/>
        </w:rPr>
        <w:t>a (2018</w:t>
      </w:r>
      <w:r w:rsidR="000B4DA1" w:rsidRPr="009A7163">
        <w:rPr>
          <w:rFonts w:eastAsiaTheme="minorHAnsi"/>
          <w:lang w:val="en-US"/>
        </w:rPr>
        <w:t>) assert</w:t>
      </w:r>
      <w:r w:rsidR="00281478" w:rsidRPr="009A7163">
        <w:rPr>
          <w:rFonts w:eastAsiaTheme="minorHAnsi"/>
          <w:lang w:val="en-US"/>
        </w:rPr>
        <w:t>,</w:t>
      </w:r>
      <w:r w:rsidR="00221391" w:rsidRPr="009A7163">
        <w:rPr>
          <w:lang w:val="en-US"/>
        </w:rPr>
        <w:t xml:space="preserve"> </w:t>
      </w:r>
      <w:r w:rsidR="00423ED3" w:rsidRPr="009A7163">
        <w:rPr>
          <w:lang w:val="en-US"/>
        </w:rPr>
        <w:t>‘[H]</w:t>
      </w:r>
      <w:r w:rsidR="00221391" w:rsidRPr="009A7163">
        <w:rPr>
          <w:lang w:val="en-US"/>
        </w:rPr>
        <w:t>ousehold decision-making processes are important because this is where gender relations are put to the test</w:t>
      </w:r>
      <w:r w:rsidR="00423ED3" w:rsidRPr="009A7163">
        <w:rPr>
          <w:lang w:val="en-US"/>
        </w:rPr>
        <w:t>’</w:t>
      </w:r>
      <w:r w:rsidR="00221391" w:rsidRPr="009A7163">
        <w:rPr>
          <w:lang w:val="en-US"/>
        </w:rPr>
        <w:t xml:space="preserve"> </w:t>
      </w:r>
      <w:r w:rsidR="00730774" w:rsidRPr="009A7163">
        <w:rPr>
          <w:lang w:val="en-US"/>
        </w:rPr>
        <w:t>and</w:t>
      </w:r>
      <w:r w:rsidR="00CE646F" w:rsidRPr="009A7163">
        <w:rPr>
          <w:lang w:val="en-US"/>
        </w:rPr>
        <w:t>, citing Kabeer (1999), they further argue that household decision-making processes</w:t>
      </w:r>
      <w:r w:rsidR="00730774" w:rsidRPr="009A7163">
        <w:rPr>
          <w:lang w:val="en-US"/>
        </w:rPr>
        <w:t xml:space="preserve"> </w:t>
      </w:r>
      <w:r w:rsidR="00C30D38" w:rsidRPr="009A7163">
        <w:rPr>
          <w:lang w:val="en-US"/>
        </w:rPr>
        <w:t xml:space="preserve">are </w:t>
      </w:r>
      <w:r w:rsidR="00423ED3" w:rsidRPr="009A7163">
        <w:rPr>
          <w:lang w:val="en-US"/>
        </w:rPr>
        <w:t>the ‘</w:t>
      </w:r>
      <w:r w:rsidR="007314D5" w:rsidRPr="009A7163">
        <w:rPr>
          <w:lang w:val="en-US"/>
        </w:rPr>
        <w:t>observable</w:t>
      </w:r>
      <w:r w:rsidR="00423ED3" w:rsidRPr="009A7163">
        <w:rPr>
          <w:lang w:val="en-US"/>
        </w:rPr>
        <w:t>’</w:t>
      </w:r>
      <w:r w:rsidR="007314D5" w:rsidRPr="009A7163">
        <w:rPr>
          <w:lang w:val="en-US"/>
        </w:rPr>
        <w:t xml:space="preserve"> element of empowerment</w:t>
      </w:r>
      <w:r w:rsidR="00CE646F" w:rsidRPr="009A7163">
        <w:rPr>
          <w:lang w:val="en-US"/>
        </w:rPr>
        <w:t xml:space="preserve"> (p. 3)</w:t>
      </w:r>
      <w:r w:rsidR="00423ED3" w:rsidRPr="009A7163">
        <w:rPr>
          <w:lang w:val="en-US"/>
        </w:rPr>
        <w:t>.</w:t>
      </w:r>
      <w:r w:rsidR="00CE646F" w:rsidRPr="009A7163">
        <w:rPr>
          <w:lang w:val="en-US"/>
        </w:rPr>
        <w:t xml:space="preserve"> </w:t>
      </w:r>
      <w:r w:rsidR="00A51380" w:rsidRPr="009A7163">
        <w:rPr>
          <w:rFonts w:eastAsiaTheme="minorHAnsi"/>
          <w:lang w:val="en-US"/>
        </w:rPr>
        <w:t xml:space="preserve">Decision making is thus evidence of empowerment. </w:t>
      </w:r>
      <w:r w:rsidR="00B25BCE" w:rsidRPr="009A7163">
        <w:rPr>
          <w:rFonts w:eastAsiaTheme="minorHAnsi"/>
          <w:lang w:val="en-US"/>
        </w:rPr>
        <w:t xml:space="preserve">As such decision making has become an indicator of empowerment and used in different frameworks </w:t>
      </w:r>
      <w:r w:rsidR="00157CBC" w:rsidRPr="009A7163">
        <w:rPr>
          <w:rFonts w:eastAsiaTheme="minorHAnsi"/>
          <w:lang w:val="en-US"/>
        </w:rPr>
        <w:t>to measure levels of empowerment</w:t>
      </w:r>
      <w:r w:rsidR="00423ED3" w:rsidRPr="009A7163">
        <w:rPr>
          <w:rFonts w:eastAsiaTheme="minorHAnsi"/>
          <w:lang w:val="en-US"/>
        </w:rPr>
        <w:t>;</w:t>
      </w:r>
      <w:r w:rsidR="00157CBC" w:rsidRPr="009A7163">
        <w:rPr>
          <w:rFonts w:eastAsiaTheme="minorHAnsi"/>
          <w:lang w:val="en-US"/>
        </w:rPr>
        <w:t xml:space="preserve"> </w:t>
      </w:r>
      <w:r w:rsidR="00B25BCE" w:rsidRPr="009A7163">
        <w:rPr>
          <w:rFonts w:eastAsiaTheme="minorHAnsi"/>
          <w:lang w:val="en-US"/>
        </w:rPr>
        <w:t>however</w:t>
      </w:r>
      <w:r w:rsidR="00423ED3" w:rsidRPr="009A7163">
        <w:rPr>
          <w:rFonts w:eastAsiaTheme="minorHAnsi"/>
          <w:lang w:val="en-US"/>
        </w:rPr>
        <w:t>,</w:t>
      </w:r>
      <w:r w:rsidR="00B25BCE" w:rsidRPr="009A7163">
        <w:rPr>
          <w:rFonts w:eastAsiaTheme="minorHAnsi"/>
          <w:lang w:val="en-US"/>
        </w:rPr>
        <w:t xml:space="preserve"> questions </w:t>
      </w:r>
      <w:r w:rsidR="00157CBC" w:rsidRPr="009A7163">
        <w:rPr>
          <w:rFonts w:eastAsiaTheme="minorHAnsi"/>
          <w:lang w:val="en-US"/>
        </w:rPr>
        <w:t xml:space="preserve">have been raised by some authors as to what </w:t>
      </w:r>
      <w:r w:rsidR="00C94984" w:rsidRPr="009A7163">
        <w:rPr>
          <w:rFonts w:eastAsiaTheme="minorHAnsi"/>
          <w:lang w:val="en-US"/>
        </w:rPr>
        <w:t>type</w:t>
      </w:r>
      <w:r w:rsidR="00157CBC" w:rsidRPr="009A7163">
        <w:rPr>
          <w:rFonts w:eastAsiaTheme="minorHAnsi"/>
          <w:lang w:val="en-US"/>
        </w:rPr>
        <w:t>s</w:t>
      </w:r>
      <w:r w:rsidR="00C94984" w:rsidRPr="009A7163">
        <w:rPr>
          <w:rFonts w:eastAsiaTheme="minorHAnsi"/>
          <w:lang w:val="en-US"/>
        </w:rPr>
        <w:t xml:space="preserve"> of decision making</w:t>
      </w:r>
      <w:r w:rsidR="00157CBC" w:rsidRPr="009A7163">
        <w:rPr>
          <w:rFonts w:eastAsiaTheme="minorHAnsi"/>
          <w:lang w:val="en-US"/>
        </w:rPr>
        <w:t xml:space="preserve"> </w:t>
      </w:r>
      <w:r w:rsidR="00B25BCE" w:rsidRPr="009A7163">
        <w:rPr>
          <w:rFonts w:eastAsiaTheme="minorHAnsi"/>
          <w:lang w:val="en-US"/>
        </w:rPr>
        <w:t>are more or less empowering.</w:t>
      </w:r>
      <w:r w:rsidR="00A51380" w:rsidRPr="009A7163">
        <w:rPr>
          <w:rFonts w:eastAsiaTheme="minorHAnsi"/>
          <w:lang w:val="en-US"/>
        </w:rPr>
        <w:t xml:space="preserve"> </w:t>
      </w:r>
    </w:p>
    <w:p w14:paraId="241E5935" w14:textId="2538471F" w:rsidR="005349FC" w:rsidRPr="009A7163" w:rsidRDefault="00221391" w:rsidP="007A3A29">
      <w:pPr>
        <w:spacing w:line="360" w:lineRule="auto"/>
        <w:ind w:firstLine="720"/>
        <w:jc w:val="both"/>
      </w:pPr>
      <w:r w:rsidRPr="009A7163">
        <w:rPr>
          <w:lang w:val="en-US"/>
        </w:rPr>
        <w:t xml:space="preserve">Academic literature is limited on men and women’s </w:t>
      </w:r>
      <w:r w:rsidR="00730774" w:rsidRPr="009A7163">
        <w:rPr>
          <w:lang w:val="en-US"/>
        </w:rPr>
        <w:t>perceptions</w:t>
      </w:r>
      <w:r w:rsidRPr="009A7163">
        <w:rPr>
          <w:lang w:val="en-US"/>
        </w:rPr>
        <w:t xml:space="preserve"> and practices of household decision making and has mainly focused on variables and limitations to household decision making</w:t>
      </w:r>
      <w:r w:rsidR="00423ED3" w:rsidRPr="009A7163">
        <w:rPr>
          <w:lang w:val="en-US"/>
        </w:rPr>
        <w:t>,</w:t>
      </w:r>
      <w:r w:rsidRPr="009A7163">
        <w:rPr>
          <w:lang w:val="en-US"/>
        </w:rPr>
        <w:t xml:space="preserve"> such as social norms. </w:t>
      </w:r>
      <w:r w:rsidR="00B94C8A" w:rsidRPr="009A7163">
        <w:t>G</w:t>
      </w:r>
      <w:r w:rsidR="00E85697" w:rsidRPr="009A7163">
        <w:t>ates</w:t>
      </w:r>
      <w:r w:rsidR="00A43780" w:rsidRPr="009A7163">
        <w:t xml:space="preserve"> (2002)</w:t>
      </w:r>
      <w:r w:rsidR="00E85697" w:rsidRPr="009A7163">
        <w:t xml:space="preserve"> </w:t>
      </w:r>
      <w:r w:rsidR="00B94C8A" w:rsidRPr="009A7163">
        <w:t>found</w:t>
      </w:r>
      <w:r w:rsidR="00423ED3" w:rsidRPr="009A7163">
        <w:t>,</w:t>
      </w:r>
      <w:r w:rsidR="00B94C8A" w:rsidRPr="009A7163">
        <w:t xml:space="preserve"> </w:t>
      </w:r>
      <w:r w:rsidRPr="009A7163">
        <w:t>for example</w:t>
      </w:r>
      <w:r w:rsidR="00423ED3" w:rsidRPr="009A7163">
        <w:t>,</w:t>
      </w:r>
      <w:r w:rsidRPr="009A7163">
        <w:t xml:space="preserve"> </w:t>
      </w:r>
      <w:r w:rsidR="00B94C8A" w:rsidRPr="009A7163">
        <w:t xml:space="preserve">that </w:t>
      </w:r>
      <w:r w:rsidR="00A43780" w:rsidRPr="009A7163">
        <w:t xml:space="preserve">new female employment opportunities have uneven effects on women’s power at home and </w:t>
      </w:r>
      <w:r w:rsidR="000F54BE" w:rsidRPr="009A7163">
        <w:t>that</w:t>
      </w:r>
      <w:r w:rsidR="002A6F67" w:rsidRPr="009A7163">
        <w:t xml:space="preserve"> </w:t>
      </w:r>
      <w:r w:rsidR="00A43780" w:rsidRPr="009A7163">
        <w:t>women remain subordinate despite increased financial contributions</w:t>
      </w:r>
      <w:r w:rsidR="00D20CC9" w:rsidRPr="009A7163">
        <w:t xml:space="preserve"> to the household through new employment</w:t>
      </w:r>
      <w:r w:rsidR="00A43780" w:rsidRPr="009A7163">
        <w:t>.</w:t>
      </w:r>
      <w:r w:rsidR="00B761A9" w:rsidRPr="009A7163">
        <w:t xml:space="preserve"> She argue</w:t>
      </w:r>
      <w:r w:rsidR="00CE646F" w:rsidRPr="009A7163">
        <w:t>s</w:t>
      </w:r>
      <w:r w:rsidR="00B761A9" w:rsidRPr="009A7163">
        <w:t xml:space="preserve"> that while women may gain new rights and respect as a result of employment, women were more successful when they use</w:t>
      </w:r>
      <w:r w:rsidR="005D2FA4" w:rsidRPr="009A7163">
        <w:t>d</w:t>
      </w:r>
      <w:r w:rsidR="00B761A9" w:rsidRPr="009A7163">
        <w:t xml:space="preserve"> negotiating strategies that conform to gender identity</w:t>
      </w:r>
      <w:r w:rsidR="00A45739" w:rsidRPr="009A7163">
        <w:t xml:space="preserve"> than when they resist</w:t>
      </w:r>
      <w:r w:rsidR="004340A6" w:rsidRPr="009A7163">
        <w:t xml:space="preserve"> such ascribed identities</w:t>
      </w:r>
      <w:r w:rsidR="00B761A9" w:rsidRPr="009A7163">
        <w:t xml:space="preserve">. </w:t>
      </w:r>
      <w:r w:rsidR="00A43780" w:rsidRPr="009A7163">
        <w:t>Sen (1985</w:t>
      </w:r>
      <w:r w:rsidR="00DE2D2E" w:rsidRPr="009A7163">
        <w:t>,</w:t>
      </w:r>
      <w:r w:rsidR="00423ED3" w:rsidRPr="009A7163">
        <w:t xml:space="preserve"> </w:t>
      </w:r>
      <w:r w:rsidR="00A43780" w:rsidRPr="009A7163">
        <w:t>1990) a</w:t>
      </w:r>
      <w:r w:rsidR="00A45739" w:rsidRPr="009A7163">
        <w:t>dd</w:t>
      </w:r>
      <w:r w:rsidR="00CE646F" w:rsidRPr="009A7163">
        <w:t>s</w:t>
      </w:r>
      <w:r w:rsidR="00A43780" w:rsidRPr="009A7163">
        <w:t xml:space="preserve"> that gender norms can make women and men misperceive the value of women’s household work and legitimise unfair bargains</w:t>
      </w:r>
      <w:r w:rsidR="006035D5" w:rsidRPr="009A7163">
        <w:t xml:space="preserve"> </w:t>
      </w:r>
      <w:r w:rsidR="00DF10DC" w:rsidRPr="009A7163">
        <w:t>and that this systematic undervaluation of women’s contributions or needs reinforce gender-related deprivation. Sen (1990) state</w:t>
      </w:r>
      <w:r w:rsidR="00CE646F" w:rsidRPr="009A7163">
        <w:t>s</w:t>
      </w:r>
      <w:r w:rsidR="00DF10DC" w:rsidRPr="009A7163">
        <w:t xml:space="preserve"> </w:t>
      </w:r>
      <w:r w:rsidR="00CC30FB" w:rsidRPr="009A7163">
        <w:t>that the outcome of bargaining will be less favourable to a pe</w:t>
      </w:r>
      <w:r w:rsidR="005349FC" w:rsidRPr="009A7163">
        <w:t>r</w:t>
      </w:r>
      <w:r w:rsidR="00CC30FB" w:rsidRPr="009A7163">
        <w:t xml:space="preserve">son the less she/he values her own self and </w:t>
      </w:r>
      <w:r w:rsidR="008A1EA4" w:rsidRPr="009A7163">
        <w:t>well-being</w:t>
      </w:r>
      <w:r w:rsidR="00CC30FB" w:rsidRPr="009A7163">
        <w:t xml:space="preserve"> in relation </w:t>
      </w:r>
      <w:r w:rsidR="008A1EA4" w:rsidRPr="009A7163">
        <w:t xml:space="preserve">to </w:t>
      </w:r>
      <w:r w:rsidR="00CC30FB" w:rsidRPr="009A7163">
        <w:t xml:space="preserve">the </w:t>
      </w:r>
      <w:r w:rsidR="008A1EA4" w:rsidRPr="009A7163">
        <w:t>well-being</w:t>
      </w:r>
      <w:r w:rsidR="00CC30FB" w:rsidRPr="009A7163">
        <w:t xml:space="preserve"> of others (‘perceived interest response’)</w:t>
      </w:r>
      <w:r w:rsidR="00423ED3" w:rsidRPr="009A7163">
        <w:t>,</w:t>
      </w:r>
      <w:r w:rsidR="008A1EA4" w:rsidRPr="009A7163">
        <w:t xml:space="preserve"> </w:t>
      </w:r>
      <w:r w:rsidR="005349FC" w:rsidRPr="009A7163">
        <w:t>i.e.</w:t>
      </w:r>
      <w:r w:rsidR="00423ED3" w:rsidRPr="009A7163">
        <w:t>,</w:t>
      </w:r>
      <w:r w:rsidR="005349FC" w:rsidRPr="009A7163">
        <w:t xml:space="preserve"> women </w:t>
      </w:r>
      <w:r w:rsidR="005D2FA4" w:rsidRPr="009A7163">
        <w:t>d</w:t>
      </w:r>
      <w:r w:rsidR="005349FC" w:rsidRPr="009A7163">
        <w:t xml:space="preserve">o not </w:t>
      </w:r>
      <w:r w:rsidR="006F3A50" w:rsidRPr="009A7163">
        <w:t>prioritise</w:t>
      </w:r>
      <w:r w:rsidR="008A1EA4" w:rsidRPr="009A7163">
        <w:t xml:space="preserve"> their own individual </w:t>
      </w:r>
      <w:r w:rsidR="005349FC" w:rsidRPr="009A7163">
        <w:t>well-being. Sen</w:t>
      </w:r>
      <w:r w:rsidR="00423ED3" w:rsidRPr="009A7163">
        <w:t xml:space="preserve"> (1990)</w:t>
      </w:r>
      <w:r w:rsidR="005349FC" w:rsidRPr="009A7163">
        <w:t xml:space="preserve"> argue</w:t>
      </w:r>
      <w:r w:rsidR="00CE646F" w:rsidRPr="009A7163">
        <w:t>s</w:t>
      </w:r>
      <w:r w:rsidR="005349FC" w:rsidRPr="009A7163">
        <w:t xml:space="preserve">: </w:t>
      </w:r>
    </w:p>
    <w:p w14:paraId="4FD9710A" w14:textId="2EC26F83" w:rsidR="005349FC" w:rsidRPr="009A7163" w:rsidRDefault="005349FC" w:rsidP="006035D5">
      <w:pPr>
        <w:spacing w:after="180"/>
        <w:ind w:left="720"/>
        <w:jc w:val="both"/>
      </w:pPr>
      <w:r w:rsidRPr="009A7163">
        <w:t>[I]nsofar as intrafamily divisions involve significant inequalities in the allotment of food, medical attention, health c</w:t>
      </w:r>
      <w:r w:rsidR="00DF10DC" w:rsidRPr="009A7163">
        <w:t>a</w:t>
      </w:r>
      <w:r w:rsidRPr="009A7163">
        <w:t>re, and the like (often unfavourable to the well-being – even survival – of women), the lack of perception of personal interest combined with a great concern for family welfare is, of course, just the kind of attitude that helps to sustain the traditional inequalities. There is much evidence in history that acute inequalities often survive precisely by making allies out of the deprived. The underdog comes to accept the legitimacy of the unequal order and becomes an implicit accomplice</w:t>
      </w:r>
      <w:r w:rsidR="00423ED3" w:rsidRPr="009A7163">
        <w:t>.</w:t>
      </w:r>
      <w:r w:rsidRPr="009A7163">
        <w:t xml:space="preserve"> (</w:t>
      </w:r>
      <w:r w:rsidR="00423ED3" w:rsidRPr="009A7163">
        <w:t>p. 1</w:t>
      </w:r>
      <w:r w:rsidRPr="009A7163">
        <w:t>26)</w:t>
      </w:r>
    </w:p>
    <w:p w14:paraId="3F0A497B" w14:textId="48435119" w:rsidR="00294D4B" w:rsidRPr="009A7163" w:rsidRDefault="00DF10DC" w:rsidP="005349FC">
      <w:pPr>
        <w:spacing w:after="180" w:line="360" w:lineRule="auto"/>
        <w:ind w:firstLine="720"/>
        <w:jc w:val="both"/>
      </w:pPr>
      <w:r w:rsidRPr="009A7163">
        <w:t xml:space="preserve">Brickell and Chant </w:t>
      </w:r>
      <w:r w:rsidR="005D2FA4" w:rsidRPr="009A7163">
        <w:t xml:space="preserve">(2010) </w:t>
      </w:r>
      <w:r w:rsidRPr="009A7163">
        <w:t>add that women’s lack of alternative options and ‘other orientated’ behaviour is not due to a lack of awareness of personal preferences</w:t>
      </w:r>
      <w:r w:rsidR="005D2FA4" w:rsidRPr="009A7163">
        <w:t>,</w:t>
      </w:r>
      <w:r w:rsidRPr="009A7163">
        <w:t xml:space="preserve"> but because of external </w:t>
      </w:r>
      <w:r w:rsidR="00B86F7A" w:rsidRPr="009A7163">
        <w:t>constraints such as men’s disregard for household well</w:t>
      </w:r>
      <w:r w:rsidR="005D2FA4" w:rsidRPr="009A7163">
        <w:t>-</w:t>
      </w:r>
      <w:r w:rsidR="00B86F7A" w:rsidRPr="009A7163">
        <w:t xml:space="preserve">being </w:t>
      </w:r>
      <w:r w:rsidR="00B86F7A" w:rsidRPr="009A7163">
        <w:lastRenderedPageBreak/>
        <w:t>(p.</w:t>
      </w:r>
      <w:r w:rsidR="005D2FA4" w:rsidRPr="009A7163">
        <w:t xml:space="preserve"> </w:t>
      </w:r>
      <w:r w:rsidR="00B86F7A" w:rsidRPr="009A7163">
        <w:t>149)</w:t>
      </w:r>
      <w:r w:rsidR="005349FC" w:rsidRPr="009A7163">
        <w:t xml:space="preserve">. </w:t>
      </w:r>
      <w:r w:rsidR="008B2884" w:rsidRPr="009A7163">
        <w:t xml:space="preserve"> As Gates summaries </w:t>
      </w:r>
      <w:r w:rsidR="005349FC" w:rsidRPr="009A7163">
        <w:t>K</w:t>
      </w:r>
      <w:r w:rsidR="00A43780" w:rsidRPr="009A7163">
        <w:t>abeer (1997)</w:t>
      </w:r>
      <w:r w:rsidR="008B2884" w:rsidRPr="009A7163">
        <w:t xml:space="preserve"> who calls</w:t>
      </w:r>
      <w:r w:rsidR="00A43780" w:rsidRPr="009A7163">
        <w:t xml:space="preserve"> </w:t>
      </w:r>
      <w:r w:rsidR="00B761A9" w:rsidRPr="009A7163">
        <w:t xml:space="preserve">us </w:t>
      </w:r>
      <w:r w:rsidR="00A43780" w:rsidRPr="009A7163">
        <w:t xml:space="preserve">to look </w:t>
      </w:r>
      <w:r w:rsidR="008B2884" w:rsidRPr="009A7163">
        <w:t>‘</w:t>
      </w:r>
      <w:r w:rsidR="00CE646F" w:rsidRPr="009A7163">
        <w:t>“</w:t>
      </w:r>
      <w:r w:rsidR="00A43780" w:rsidRPr="009A7163">
        <w:t>inside the black box</w:t>
      </w:r>
      <w:r w:rsidR="00CE646F" w:rsidRPr="009A7163">
        <w:t>”</w:t>
      </w:r>
      <w:r w:rsidR="00A43780" w:rsidRPr="009A7163">
        <w:t xml:space="preserve"> of intra</w:t>
      </w:r>
      <w:r w:rsidR="004340A6" w:rsidRPr="009A7163">
        <w:t>-</w:t>
      </w:r>
      <w:r w:rsidR="00A43780" w:rsidRPr="009A7163">
        <w:t xml:space="preserve">household relationships </w:t>
      </w:r>
      <w:r w:rsidR="00B761A9" w:rsidRPr="009A7163">
        <w:t xml:space="preserve">in order to </w:t>
      </w:r>
      <w:r w:rsidR="00A43780" w:rsidRPr="009A7163">
        <w:t xml:space="preserve">reveal </w:t>
      </w:r>
      <w:r w:rsidR="00CE646F" w:rsidRPr="009A7163">
        <w:t>“</w:t>
      </w:r>
      <w:r w:rsidR="00A43780" w:rsidRPr="009A7163">
        <w:t>the subjective</w:t>
      </w:r>
      <w:r w:rsidR="00CE646F" w:rsidRPr="009A7163">
        <w:t>”</w:t>
      </w:r>
      <w:r w:rsidR="00A43780" w:rsidRPr="009A7163">
        <w:t xml:space="preserve"> insights of doing gender’</w:t>
      </w:r>
      <w:r w:rsidR="008B2884" w:rsidRPr="009A7163">
        <w:t xml:space="preserve"> (Gates, 2003, p.3)</w:t>
      </w:r>
      <w:r w:rsidR="00831A35" w:rsidRPr="009A7163">
        <w:t>.</w:t>
      </w:r>
      <w:r w:rsidR="00D00C0E" w:rsidRPr="009A7163">
        <w:t xml:space="preserve"> Bradshaw (2013) </w:t>
      </w:r>
      <w:r w:rsidR="00804688" w:rsidRPr="009A7163">
        <w:t>argue</w:t>
      </w:r>
      <w:r w:rsidR="00CE646F" w:rsidRPr="009A7163">
        <w:t>s</w:t>
      </w:r>
      <w:r w:rsidR="00D00C0E" w:rsidRPr="009A7163">
        <w:t xml:space="preserve"> </w:t>
      </w:r>
      <w:r w:rsidR="00A45739" w:rsidRPr="009A7163">
        <w:t>from her</w:t>
      </w:r>
      <w:r w:rsidR="00614BD8" w:rsidRPr="009A7163">
        <w:t xml:space="preserve"> research</w:t>
      </w:r>
      <w:r w:rsidR="00A45739" w:rsidRPr="009A7163">
        <w:t xml:space="preserve"> on</w:t>
      </w:r>
      <w:r w:rsidR="004340A6" w:rsidRPr="009A7163">
        <w:t xml:space="preserve"> women’s decision</w:t>
      </w:r>
      <w:r w:rsidR="005D2FA4" w:rsidRPr="009A7163">
        <w:t xml:space="preserve"> </w:t>
      </w:r>
      <w:r w:rsidR="004340A6" w:rsidRPr="009A7163">
        <w:t>making in households in Nicaragua</w:t>
      </w:r>
      <w:r w:rsidR="00614BD8" w:rsidRPr="009A7163">
        <w:t xml:space="preserve"> that </w:t>
      </w:r>
      <w:r w:rsidR="00D00C0E" w:rsidRPr="009A7163">
        <w:t>‘ideology is as important as income in household bargaining’ (p</w:t>
      </w:r>
      <w:r w:rsidR="004946EB" w:rsidRPr="009A7163">
        <w:t>.</w:t>
      </w:r>
      <w:r w:rsidR="00CE646F" w:rsidRPr="009A7163">
        <w:t xml:space="preserve"> </w:t>
      </w:r>
      <w:r w:rsidR="004946EB" w:rsidRPr="009A7163">
        <w:t xml:space="preserve">92). </w:t>
      </w:r>
      <w:r w:rsidR="00A45739" w:rsidRPr="009A7163">
        <w:t xml:space="preserve"> </w:t>
      </w:r>
      <w:r w:rsidR="002A6F67" w:rsidRPr="009A7163">
        <w:t>It</w:t>
      </w:r>
      <w:r w:rsidR="004946EB" w:rsidRPr="009A7163">
        <w:t xml:space="preserve"> is</w:t>
      </w:r>
      <w:r w:rsidR="002A6F67" w:rsidRPr="009A7163">
        <w:t xml:space="preserve"> therefore</w:t>
      </w:r>
      <w:r w:rsidR="004946EB" w:rsidRPr="009A7163">
        <w:t xml:space="preserve"> im</w:t>
      </w:r>
      <w:r w:rsidR="00A02A7D" w:rsidRPr="009A7163">
        <w:t>portant</w:t>
      </w:r>
      <w:r w:rsidR="004946EB" w:rsidRPr="009A7163">
        <w:t xml:space="preserve"> to </w:t>
      </w:r>
      <w:r w:rsidR="002A6F67" w:rsidRPr="009A7163">
        <w:t>examine</w:t>
      </w:r>
      <w:r w:rsidR="004946EB" w:rsidRPr="009A7163">
        <w:t xml:space="preserve"> ideology</w:t>
      </w:r>
      <w:r w:rsidR="00141F1A" w:rsidRPr="009A7163">
        <w:t xml:space="preserve">, </w:t>
      </w:r>
      <w:r w:rsidR="00A67C4B" w:rsidRPr="009A7163">
        <w:t>a set of doctrines or beliefs that are shared by the members of a social group or that form the basis of a political, economi, or other system</w:t>
      </w:r>
      <w:r w:rsidR="00294D4B" w:rsidRPr="009A7163">
        <w:t>,</w:t>
      </w:r>
      <w:r w:rsidR="00A67C4B" w:rsidRPr="009A7163">
        <w:t xml:space="preserve"> a</w:t>
      </w:r>
      <w:r w:rsidR="00141F1A" w:rsidRPr="009A7163">
        <w:t>long with</w:t>
      </w:r>
      <w:r w:rsidR="004946EB" w:rsidRPr="009A7163">
        <w:t xml:space="preserve"> gender norms </w:t>
      </w:r>
      <w:r w:rsidR="002A6F67" w:rsidRPr="009A7163">
        <w:t>in intra</w:t>
      </w:r>
      <w:r w:rsidR="00077CA5" w:rsidRPr="009A7163">
        <w:t>-</w:t>
      </w:r>
      <w:r w:rsidR="002A6F67" w:rsidRPr="009A7163">
        <w:t xml:space="preserve">household decision making and bargaining power </w:t>
      </w:r>
      <w:r w:rsidR="00294D4B" w:rsidRPr="009A7163">
        <w:t>when analysying household decision making as evidence of empowerment.</w:t>
      </w:r>
    </w:p>
    <w:p w14:paraId="40E84366" w14:textId="05FFCD30" w:rsidR="001C443C" w:rsidRPr="009A7163" w:rsidRDefault="001C443C" w:rsidP="00293176">
      <w:pPr>
        <w:pStyle w:val="Heading3"/>
      </w:pPr>
      <w:bookmarkStart w:id="32" w:name="_Toc526819268"/>
      <w:r w:rsidRPr="009A7163">
        <w:t>2.4.</w:t>
      </w:r>
      <w:r w:rsidR="009D3489" w:rsidRPr="009A7163">
        <w:t>5</w:t>
      </w:r>
      <w:r w:rsidRPr="009A7163">
        <w:t xml:space="preserve">  Implications of Considering Social Norms in Future Development Programs and Research</w:t>
      </w:r>
      <w:bookmarkEnd w:id="32"/>
    </w:p>
    <w:p w14:paraId="6EE88251" w14:textId="109B3B0C" w:rsidR="00A26DE3" w:rsidRPr="009A7163" w:rsidRDefault="001C443C" w:rsidP="001C443C">
      <w:pPr>
        <w:spacing w:line="360" w:lineRule="auto"/>
        <w:ind w:firstLine="720"/>
        <w:jc w:val="both"/>
      </w:pPr>
      <w:r w:rsidRPr="009A7163">
        <w:t>It can be useful to understand that social norms provide the structure in which people act and in which empowerment occurs. Social norms are institutions that guide behaviour (Twyman et al., 2015), yet it is important to recognise the mutual interdependence of structure and agency (Kabeer, 2002; Agarwal 1994, 2010). As Pearce and Connell (2016) argue</w:t>
      </w:r>
      <w:r w:rsidR="008A30D4" w:rsidRPr="009A7163">
        <w:t>,</w:t>
      </w:r>
      <w:r w:rsidR="003F08B7" w:rsidRPr="009A7163">
        <w:t xml:space="preserve"> gender norms do not just exist as:</w:t>
      </w:r>
    </w:p>
    <w:p w14:paraId="296E7254" w14:textId="7A81CE9A" w:rsidR="001C443C" w:rsidRPr="009A7163" w:rsidRDefault="008A30D4" w:rsidP="00293176">
      <w:pPr>
        <w:spacing w:after="180"/>
        <w:ind w:left="720"/>
        <w:jc w:val="both"/>
      </w:pPr>
      <w:r w:rsidRPr="009A7163">
        <w:t>…a</w:t>
      </w:r>
      <w:r w:rsidR="001C443C" w:rsidRPr="009A7163">
        <w:t>ttitudes in the individual minds of people, but are also as embedded in organizational structures and practices, discursive systems, commercial transactions, and collective identities. This is a complex social terrain, and the multiplicity of gender norms is one of the most important points to recognize.</w:t>
      </w:r>
      <w:r w:rsidR="005D2FA4" w:rsidRPr="009A7163">
        <w:t xml:space="preserve"> (p. 46)</w:t>
      </w:r>
    </w:p>
    <w:p w14:paraId="0D24C4EE" w14:textId="63E1282C" w:rsidR="001C443C" w:rsidRPr="009A7163" w:rsidRDefault="001C443C" w:rsidP="001C443C">
      <w:pPr>
        <w:spacing w:line="360" w:lineRule="auto"/>
        <w:ind w:firstLine="720"/>
        <w:jc w:val="both"/>
      </w:pPr>
      <w:r w:rsidRPr="009A7163">
        <w:t>Pearce and Connell (2016)</w:t>
      </w:r>
      <w:r w:rsidR="00A26DE3" w:rsidRPr="009A7163">
        <w:t>,</w:t>
      </w:r>
      <w:r w:rsidRPr="009A7163">
        <w:t xml:space="preserve"> in their article ‘Gender Norms </w:t>
      </w:r>
      <w:r w:rsidR="005F5F5A" w:rsidRPr="009A7163">
        <w:t>a</w:t>
      </w:r>
      <w:r w:rsidRPr="009A7163">
        <w:t>nd The Economy: Insights From Social Research’</w:t>
      </w:r>
      <w:r w:rsidR="00A26DE3" w:rsidRPr="009A7163">
        <w:t>,</w:t>
      </w:r>
      <w:r w:rsidRPr="009A7163">
        <w:t xml:space="preserve"> argue that the</w:t>
      </w:r>
      <w:r w:rsidR="008B2884" w:rsidRPr="009A7163">
        <w:t>ir research</w:t>
      </w:r>
      <w:r w:rsidRPr="009A7163">
        <w:t xml:space="preserve"> ‘do</w:t>
      </w:r>
      <w:r w:rsidR="008B2884" w:rsidRPr="009A7163">
        <w:t>es</w:t>
      </w:r>
      <w:r w:rsidRPr="009A7163">
        <w:t xml:space="preserve"> not support the treatment of gender norms fundamentally as a constraint on choice and therein a hindrance to gender equality</w:t>
      </w:r>
      <w:r w:rsidR="008A30D4" w:rsidRPr="009A7163">
        <w:t>…</w:t>
      </w:r>
      <w:r w:rsidRPr="009A7163">
        <w:t xml:space="preserve"> they can also enable action and this may contest gender equality’ (p. 47).</w:t>
      </w:r>
      <w:r w:rsidR="00A26DE3" w:rsidRPr="009A7163">
        <w:t xml:space="preserve"> </w:t>
      </w:r>
      <w:r w:rsidRPr="009A7163">
        <w:t xml:space="preserve">They argue: </w:t>
      </w:r>
    </w:p>
    <w:p w14:paraId="56A38BB7" w14:textId="4FCF1027" w:rsidR="001C443C" w:rsidRPr="009A7163" w:rsidRDefault="001C443C" w:rsidP="00293176">
      <w:pPr>
        <w:spacing w:after="180"/>
        <w:ind w:left="720"/>
        <w:jc w:val="both"/>
      </w:pPr>
      <w:r w:rsidRPr="009A7163">
        <w:t>To put it in a nutshell, there is not a simple opposition between gender norms and women’s agency. This becomes particularly clear when we think of agency as existing at a collective level, not just an individual level. As the studies of women’s activism cited earlier show, the collective agency that in the symbolic realm contests norms and establishes new identities, rests on the practices that constitute women as a group and specifically as a subordinated or oppressed group. (</w:t>
      </w:r>
      <w:r w:rsidR="008A30D4" w:rsidRPr="009A7163">
        <w:t>ibid</w:t>
      </w:r>
      <w:r w:rsidRPr="009A7163">
        <w:t>, p. 48)</w:t>
      </w:r>
    </w:p>
    <w:p w14:paraId="5B33E098" w14:textId="56CB8BE1" w:rsidR="001C443C" w:rsidRPr="009A7163" w:rsidRDefault="001C443C" w:rsidP="001C443C">
      <w:pPr>
        <w:spacing w:line="360" w:lineRule="auto"/>
        <w:ind w:firstLine="720"/>
        <w:jc w:val="both"/>
      </w:pPr>
      <w:r w:rsidRPr="009A7163">
        <w:t xml:space="preserve">One of the aspects that I have not explored in this thesis is the relationship between social norms and practices. Finally, Tankard and Paluck (2015) argue that because ‘individual’s perceptions of norms guide their personal behaviour and that </w:t>
      </w:r>
      <w:r w:rsidRPr="009A7163">
        <w:lastRenderedPageBreak/>
        <w:t>influencing perceptions is one way to create social change, thus changing social norms requires an understanding of how individuals perceive norms in the first place’ (p. 2). They argue that it is most appropriate to use ‘a norm change strategy in the interest of behaviour and social change’ (</w:t>
      </w:r>
      <w:r w:rsidR="008A30D4" w:rsidRPr="009A7163">
        <w:t>ibid</w:t>
      </w:r>
      <w:r w:rsidR="00454CAE" w:rsidRPr="009A7163">
        <w:t>, p.</w:t>
      </w:r>
      <w:r w:rsidR="005D2FA4" w:rsidRPr="009A7163">
        <w:t xml:space="preserve"> </w:t>
      </w:r>
      <w:r w:rsidR="00454CAE" w:rsidRPr="009A7163">
        <w:t>3</w:t>
      </w:r>
      <w:r w:rsidRPr="009A7163">
        <w:t>). The World Development Report called for a revision in development policy: ‘Development policy is due for its own redesign based on careful consideration of human factors</w:t>
      </w:r>
      <w:r w:rsidR="00FE5EB3" w:rsidRPr="009A7163">
        <w:t>…</w:t>
      </w:r>
      <w:r w:rsidRPr="009A7163">
        <w:t>people are malleable and emotional actors whose decision making is influenced by contextual cues, local social networks and social norms and shared mental models’ (</w:t>
      </w:r>
      <w:r w:rsidR="00DB2888" w:rsidRPr="009A7163">
        <w:t xml:space="preserve">World Bank, 2015, </w:t>
      </w:r>
      <w:r w:rsidRPr="009A7163">
        <w:t>p. 2).</w:t>
      </w:r>
    </w:p>
    <w:p w14:paraId="703BFD62" w14:textId="5DB09E60" w:rsidR="001C443C" w:rsidRPr="009A7163" w:rsidRDefault="001C443C" w:rsidP="00293176">
      <w:pPr>
        <w:spacing w:after="240" w:line="360" w:lineRule="auto"/>
        <w:ind w:firstLine="720"/>
        <w:jc w:val="both"/>
      </w:pPr>
      <w:r w:rsidRPr="009A7163">
        <w:t xml:space="preserve">The revision of social norms </w:t>
      </w:r>
      <w:r w:rsidR="00DB2888" w:rsidRPr="009A7163">
        <w:t>is</w:t>
      </w:r>
      <w:r w:rsidRPr="009A7163">
        <w:t xml:space="preserve"> paramount to understand</w:t>
      </w:r>
      <w:r w:rsidR="00DB2888" w:rsidRPr="009A7163">
        <w:t>ing</w:t>
      </w:r>
      <w:r w:rsidRPr="009A7163">
        <w:t xml:space="preserve"> unpaid work and women’s pathways to empowerment. This literature review concludes with a brief summary o</w:t>
      </w:r>
      <w:r w:rsidR="00DB2888" w:rsidRPr="009A7163">
        <w:t>f</w:t>
      </w:r>
      <w:r w:rsidRPr="009A7163">
        <w:t xml:space="preserve"> Fair Trade and empowerment.</w:t>
      </w:r>
    </w:p>
    <w:p w14:paraId="48749475" w14:textId="5BB8A735" w:rsidR="001C443C" w:rsidRPr="009A7163" w:rsidRDefault="001C443C" w:rsidP="00293176">
      <w:pPr>
        <w:pStyle w:val="Heading2"/>
        <w:rPr>
          <w:lang w:val="en-GB"/>
        </w:rPr>
      </w:pPr>
      <w:bookmarkStart w:id="33" w:name="_Toc526819269"/>
      <w:r w:rsidRPr="009A7163">
        <w:rPr>
          <w:lang w:val="en-GB"/>
        </w:rPr>
        <w:t>2.</w:t>
      </w:r>
      <w:r w:rsidR="009D3489" w:rsidRPr="009A7163">
        <w:rPr>
          <w:lang w:val="en-GB"/>
        </w:rPr>
        <w:t>5</w:t>
      </w:r>
      <w:r w:rsidRPr="009A7163">
        <w:rPr>
          <w:lang w:val="en-GB"/>
        </w:rPr>
        <w:t xml:space="preserve">  Conclusion: Fair Trade, Unpaid </w:t>
      </w:r>
      <w:r w:rsidR="00A26DE3" w:rsidRPr="009A7163">
        <w:rPr>
          <w:lang w:val="en-GB"/>
        </w:rPr>
        <w:t>W</w:t>
      </w:r>
      <w:r w:rsidRPr="009A7163">
        <w:rPr>
          <w:lang w:val="en-GB"/>
        </w:rPr>
        <w:t>ork and Women’s Empowerment</w:t>
      </w:r>
      <w:bookmarkEnd w:id="33"/>
      <w:r w:rsidRPr="009A7163">
        <w:rPr>
          <w:lang w:val="en-GB"/>
        </w:rPr>
        <w:t xml:space="preserve"> </w:t>
      </w:r>
    </w:p>
    <w:p w14:paraId="3B703016" w14:textId="7E15FC93" w:rsidR="001C443C" w:rsidRPr="009A7163" w:rsidRDefault="001C443C" w:rsidP="001C443C">
      <w:pPr>
        <w:spacing w:line="360" w:lineRule="auto"/>
        <w:ind w:firstLine="720"/>
        <w:jc w:val="both"/>
      </w:pPr>
      <w:r w:rsidRPr="009A7163">
        <w:t>There is limited academic research on women’s unpaid work in FT, pricing structures and household decision making and income. There is growing evidence and research on the impact of gender on FT</w:t>
      </w:r>
      <w:r w:rsidR="00DB2888" w:rsidRPr="009A7163">
        <w:t xml:space="preserve"> that</w:t>
      </w:r>
      <w:r w:rsidRPr="009A7163">
        <w:t xml:space="preserve"> evidences both the positive and negative impacts on women.</w:t>
      </w:r>
      <w:r w:rsidR="00DB2888" w:rsidRPr="009A7163">
        <w:rPr>
          <w:vertAlign w:val="superscript"/>
        </w:rPr>
        <w:footnoteReference w:id="51"/>
      </w:r>
      <w:r w:rsidRPr="009A7163">
        <w:t xml:space="preserve"> As highlighted in </w:t>
      </w:r>
      <w:r w:rsidR="00B44AC2" w:rsidRPr="009A7163">
        <w:t>Chapter One</w:t>
      </w:r>
      <w:r w:rsidRPr="009A7163">
        <w:t>, Fairtrade is ‘dedicated to promoting equality and enabling women and me</w:t>
      </w:r>
      <w:r w:rsidR="00DB2888" w:rsidRPr="009A7163">
        <w:t>n</w:t>
      </w:r>
      <w:r w:rsidRPr="009A7163">
        <w:t xml:space="preserve"> to access the benefits of Fairtrade equally’ (Fairtrade International, n.d.)</w:t>
      </w:r>
      <w:r w:rsidR="00DB2888" w:rsidRPr="009A7163">
        <w:t>,</w:t>
      </w:r>
      <w:r w:rsidRPr="009A7163">
        <w:t xml:space="preserve"> yet ‘gender inequality remains a major barrier to human development globally’ (Fairtrade International, n.d.). In another document by Faitrade International, they point to the lack of recognition of women’s work, lack of gender analysis in policies and the insufficient evidence to show the impact of FT on women and girls in comparison to men and boys</w:t>
      </w:r>
      <w:r w:rsidR="00DB2888" w:rsidRPr="009A7163">
        <w:t>, stating:</w:t>
      </w:r>
    </w:p>
    <w:p w14:paraId="59F17ED4" w14:textId="799DA629" w:rsidR="001C443C" w:rsidRPr="009A7163" w:rsidRDefault="001C443C" w:rsidP="007A3A29">
      <w:pPr>
        <w:spacing w:after="180"/>
        <w:ind w:left="720"/>
        <w:jc w:val="both"/>
      </w:pPr>
      <w:r w:rsidRPr="009A7163">
        <w:t>Women make up 25 percent of the smallholder farmers and workers involved in Fairtrade, either through being members of small farmer organizations, or by being employed directly by a plantation. However, these figures do not account for members’ female relatives who contributed to the production of commodities in small farmer organizations, and while they may not officially have been direct members of producer organizations, they were crucial to the production of Fairtrade products. Gender analysis has not been systematically included in studies on the impact of Fairtrade, and so there is insufficient evidence to understand how Fairtrade is impacting on women and girls in comparison to men and boys</w:t>
      </w:r>
      <w:r w:rsidR="00DB2888" w:rsidRPr="009A7163">
        <w:t>.</w:t>
      </w:r>
      <w:r w:rsidRPr="009A7163">
        <w:t xml:space="preserve"> (Fairtrade International, n.d.)</w:t>
      </w:r>
    </w:p>
    <w:p w14:paraId="209B65C2" w14:textId="330F9624" w:rsidR="001C443C" w:rsidRPr="009A7163" w:rsidRDefault="001C443C" w:rsidP="001C443C">
      <w:pPr>
        <w:spacing w:line="360" w:lineRule="auto"/>
        <w:ind w:firstLine="720"/>
        <w:jc w:val="both"/>
      </w:pPr>
      <w:r w:rsidRPr="009A7163">
        <w:lastRenderedPageBreak/>
        <w:t>It is now well established that women’s work has been undervalued in supply chains and that women face multiple barriers (</w:t>
      </w:r>
      <w:r w:rsidR="00DB2888" w:rsidRPr="009A7163">
        <w:t xml:space="preserve">e.g., </w:t>
      </w:r>
      <w:r w:rsidRPr="009A7163">
        <w:t>limited to access to credit, training, landownership, training, time poverty, ‘gender-blind’ employees in cooperatives, multiple work burdens)</w:t>
      </w:r>
      <w:r w:rsidR="00DB2888" w:rsidRPr="009A7163">
        <w:t>.</w:t>
      </w:r>
      <w:r w:rsidRPr="009A7163">
        <w:t xml:space="preserve"> </w:t>
      </w:r>
      <w:r w:rsidR="00DB2888" w:rsidRPr="009A7163">
        <w:t>W</w:t>
      </w:r>
      <w:r w:rsidRPr="009A7163">
        <w:t xml:space="preserve">hilst there is evidence of gender initiatives within FT </w:t>
      </w:r>
      <w:r w:rsidR="00DB2888" w:rsidRPr="009A7163">
        <w:t>aimed at</w:t>
      </w:r>
      <w:r w:rsidRPr="009A7163">
        <w:t xml:space="preserve"> transform</w:t>
      </w:r>
      <w:r w:rsidR="00DB2888" w:rsidRPr="009A7163">
        <w:t>ing</w:t>
      </w:r>
      <w:r w:rsidRPr="009A7163">
        <w:t xml:space="preserve"> this ‘gendered asset gap’ </w:t>
      </w:r>
      <w:r w:rsidR="00DB2888" w:rsidRPr="009A7163">
        <w:t>that</w:t>
      </w:r>
      <w:r w:rsidRPr="009A7163">
        <w:t xml:space="preserve"> limits women from benefiting from agricultural activity and empower women in order to transform this reality (</w:t>
      </w:r>
      <w:r w:rsidR="00C32ADC" w:rsidRPr="009A7163">
        <w:t>s</w:t>
      </w:r>
      <w:r w:rsidRPr="009A7163">
        <w:t>ee Manchon and Macloed, 2010</w:t>
      </w:r>
      <w:r w:rsidR="00C32ADC" w:rsidRPr="009A7163">
        <w:t>,</w:t>
      </w:r>
      <w:r w:rsidRPr="009A7163">
        <w:t xml:space="preserve"> for a study of one such initiative in Nicaragua)</w:t>
      </w:r>
      <w:r w:rsidR="00DB2888" w:rsidRPr="009A7163">
        <w:t>,</w:t>
      </w:r>
      <w:r w:rsidRPr="009A7163">
        <w:t xml:space="preserve"> women face still face a number of constraints. A common constraint is lack of female decision making in organization and decision making processes in FT cooperatives (Hutchinson,</w:t>
      </w:r>
      <w:r w:rsidR="00D90C39" w:rsidRPr="009A7163">
        <w:t xml:space="preserve"> </w:t>
      </w:r>
      <w:r w:rsidRPr="009A7163">
        <w:t>2010; Le Mare, 2008, 20012; Smith 2013, Utting Chammorro, 2008)</w:t>
      </w:r>
      <w:r w:rsidR="00DB2888" w:rsidRPr="009A7163">
        <w:t>.</w:t>
      </w:r>
      <w:r w:rsidRPr="009A7163">
        <w:t xml:space="preserve"> In another study, Lyon (2008) argue that women’s projects undertaken by FLO registered coop</w:t>
      </w:r>
      <w:r w:rsidR="00DB2888" w:rsidRPr="009A7163">
        <w:t>erative</w:t>
      </w:r>
      <w:r w:rsidRPr="009A7163">
        <w:t>s focus on women’s activities outside of the agricultural sector</w:t>
      </w:r>
      <w:r w:rsidR="00DB2888" w:rsidRPr="009A7163">
        <w:t xml:space="preserve"> and on</w:t>
      </w:r>
      <w:r w:rsidRPr="009A7163">
        <w:t xml:space="preserve"> income generating initiatives associated with ‘traditional roles’</w:t>
      </w:r>
      <w:r w:rsidR="00825AE3" w:rsidRPr="009A7163">
        <w:t>. As these are</w:t>
      </w:r>
      <w:r w:rsidRPr="009A7163">
        <w:t xml:space="preserve"> separated from crop production</w:t>
      </w:r>
      <w:r w:rsidR="00D90C39" w:rsidRPr="009A7163">
        <w:t>,</w:t>
      </w:r>
      <w:r w:rsidRPr="009A7163">
        <w:t xml:space="preserve"> </w:t>
      </w:r>
      <w:r w:rsidR="00DB2888" w:rsidRPr="009A7163">
        <w:t>th</w:t>
      </w:r>
      <w:r w:rsidR="00825AE3" w:rsidRPr="009A7163">
        <w:t>is</w:t>
      </w:r>
      <w:r w:rsidR="00DB2888" w:rsidRPr="009A7163">
        <w:t xml:space="preserve"> </w:t>
      </w:r>
      <w:r w:rsidRPr="009A7163">
        <w:t>does not challenge the norms around women’s involvement, access and participation in agricultural crops</w:t>
      </w:r>
      <w:r w:rsidR="00D90C39" w:rsidRPr="009A7163">
        <w:t>,</w:t>
      </w:r>
      <w:r w:rsidRPr="009A7163">
        <w:t xml:space="preserve"> and in particular </w:t>
      </w:r>
      <w:r w:rsidR="00825AE3" w:rsidRPr="009A7163">
        <w:t xml:space="preserve">in </w:t>
      </w:r>
      <w:r w:rsidRPr="009A7163">
        <w:t xml:space="preserve">exportation. It does not challenge ‘the male bias’ in </w:t>
      </w:r>
      <w:r w:rsidR="00DB2888" w:rsidRPr="009A7163">
        <w:t xml:space="preserve">the </w:t>
      </w:r>
      <w:r w:rsidRPr="009A7163">
        <w:t>production of export crops. This is something the FIDEG study on time use in Nicaragua challenged two decades ago. Another study looked at time poverty and how gendered roles affect women’s ability to benefit from Faitrade equally. Of particular relevance to this investigation i</w:t>
      </w:r>
      <w:r w:rsidR="00DB2888" w:rsidRPr="009A7163">
        <w:t>s</w:t>
      </w:r>
      <w:r w:rsidRPr="009A7163">
        <w:t xml:space="preserve"> one study </w:t>
      </w:r>
      <w:r w:rsidR="00DB2888" w:rsidRPr="009A7163">
        <w:t>that</w:t>
      </w:r>
      <w:r w:rsidRPr="009A7163">
        <w:t xml:space="preserve"> </w:t>
      </w:r>
      <w:r w:rsidR="00DB2888" w:rsidRPr="009A7163">
        <w:t>examine</w:t>
      </w:r>
      <w:r w:rsidRPr="009A7163">
        <w:t>d the impact of time poverty on women’s coffee participation in Mexico</w:t>
      </w:r>
      <w:r w:rsidR="00DB2888" w:rsidRPr="009A7163">
        <w:t xml:space="preserve"> and</w:t>
      </w:r>
      <w:r w:rsidRPr="009A7163">
        <w:t xml:space="preserve"> evidenced in particular how ‘certified coffee GVC depends on women’s under paid and un-paid labor not only within household but also within producer organizations’ (</w:t>
      </w:r>
      <w:r w:rsidR="00825AE3" w:rsidRPr="009A7163">
        <w:t>Lyon et al</w:t>
      </w:r>
      <w:r w:rsidR="00D90C39" w:rsidRPr="009A7163">
        <w:t>.</w:t>
      </w:r>
      <w:r w:rsidR="00825AE3" w:rsidRPr="009A7163">
        <w:t xml:space="preserve">, 2016, </w:t>
      </w:r>
      <w:r w:rsidRPr="009A7163">
        <w:t>p. 317)</w:t>
      </w:r>
      <w:r w:rsidR="00D90C39" w:rsidRPr="009A7163">
        <w:t>,</w:t>
      </w:r>
      <w:r w:rsidRPr="009A7163">
        <w:t xml:space="preserve"> and as a result women are burdened by organization labour which they name as the triple burden. Lyon et al. (2016) </w:t>
      </w:r>
      <w:r w:rsidR="00D90C39" w:rsidRPr="009A7163">
        <w:t>address</w:t>
      </w:r>
      <w:r w:rsidRPr="009A7163">
        <w:t xml:space="preserve"> advances in gender equity initiatives and unintended consequences:</w:t>
      </w:r>
    </w:p>
    <w:p w14:paraId="049B75AF" w14:textId="77777777" w:rsidR="001C443C" w:rsidRPr="009A7163" w:rsidRDefault="001C443C" w:rsidP="00293176">
      <w:pPr>
        <w:spacing w:after="180"/>
        <w:ind w:left="720"/>
        <w:jc w:val="both"/>
      </w:pPr>
      <w:r w:rsidRPr="009A7163">
        <w:t>These significant advances in women’s agency within the household are offset by the fact that the women experience significant time poverty as they engage in coffee production while bearing a disproportionate share of domestic labor obligations. The women coffee producers view organizational labor as a third burden on their time, after their reproductive and productive labor. The time poverty they experience limits their ability to fully participate in coffee organizational governance and consequently there are few women leaders at all levels of the coffee producer businesses. (p. 317)</w:t>
      </w:r>
    </w:p>
    <w:p w14:paraId="5AFE6282" w14:textId="6AF25FD7" w:rsidR="001C443C" w:rsidRPr="009A7163" w:rsidRDefault="001C443C" w:rsidP="001C443C">
      <w:pPr>
        <w:spacing w:line="360" w:lineRule="auto"/>
        <w:ind w:firstLine="720"/>
        <w:jc w:val="both"/>
      </w:pPr>
      <w:r w:rsidRPr="009A7163">
        <w:t>Like the authors argue</w:t>
      </w:r>
      <w:r w:rsidR="00DB2888" w:rsidRPr="009A7163">
        <w:t>,</w:t>
      </w:r>
      <w:r w:rsidRPr="009A7163">
        <w:t xml:space="preserve"> this is problematic as it limits women from fully participating in producer organization</w:t>
      </w:r>
      <w:r w:rsidR="00DB2888" w:rsidRPr="009A7163">
        <w:t>s</w:t>
      </w:r>
      <w:r w:rsidRPr="009A7163">
        <w:t xml:space="preserve"> and reaping benefits from </w:t>
      </w:r>
      <w:r w:rsidR="00DB2888" w:rsidRPr="009A7163">
        <w:t>such</w:t>
      </w:r>
      <w:r w:rsidRPr="009A7163">
        <w:t xml:space="preserve"> organization</w:t>
      </w:r>
      <w:r w:rsidR="00DB2888" w:rsidRPr="009A7163">
        <w:t>s</w:t>
      </w:r>
      <w:r w:rsidRPr="009A7163">
        <w:t xml:space="preserve">. This is of particular interest to this study as in order to access the funds, it is a </w:t>
      </w:r>
      <w:r w:rsidRPr="009A7163">
        <w:lastRenderedPageBreak/>
        <w:t>requirement that the women organise themselves into collective groups and undertake certain degrees organizational labour. Hutch</w:t>
      </w:r>
      <w:r w:rsidR="00254D9D" w:rsidRPr="009A7163">
        <w:t>ens</w:t>
      </w:r>
      <w:r w:rsidRPr="009A7163">
        <w:t xml:space="preserve"> (2010) also question</w:t>
      </w:r>
      <w:r w:rsidR="00D90C39" w:rsidRPr="009A7163">
        <w:t>s</w:t>
      </w:r>
      <w:r w:rsidRPr="009A7163">
        <w:t xml:space="preserve"> the types of women’s empowerment projects that are encouraged in FT cooperatives, </w:t>
      </w:r>
      <w:r w:rsidR="00DB2888" w:rsidRPr="009A7163">
        <w:t>and</w:t>
      </w:r>
      <w:r w:rsidRPr="009A7163">
        <w:t xml:space="preserve"> particularly </w:t>
      </w:r>
      <w:r w:rsidR="00DB2888" w:rsidRPr="009A7163">
        <w:t>those focused on</w:t>
      </w:r>
      <w:r w:rsidRPr="009A7163">
        <w:t xml:space="preserve"> handicraft initiatives</w:t>
      </w:r>
      <w:r w:rsidR="00D528C8" w:rsidRPr="009A7163">
        <w:t>, arguing that</w:t>
      </w:r>
      <w:r w:rsidR="00DB2888" w:rsidRPr="009A7163">
        <w:t xml:space="preserve"> these projects</w:t>
      </w:r>
    </w:p>
    <w:p w14:paraId="6C160E4F" w14:textId="5B15EC77" w:rsidR="001C443C" w:rsidRPr="009A7163" w:rsidRDefault="00DB2888" w:rsidP="00293176">
      <w:pPr>
        <w:spacing w:after="180"/>
        <w:ind w:left="720"/>
        <w:jc w:val="both"/>
      </w:pPr>
      <w:r w:rsidRPr="009A7163">
        <w:t>…[n]</w:t>
      </w:r>
      <w:r w:rsidR="001C443C" w:rsidRPr="009A7163">
        <w:t xml:space="preserve">ot only romanticise the </w:t>
      </w:r>
      <w:r w:rsidRPr="009A7163">
        <w:t>“</w:t>
      </w:r>
      <w:r w:rsidR="001C443C" w:rsidRPr="009A7163">
        <w:t>other</w:t>
      </w:r>
      <w:r w:rsidRPr="009A7163">
        <w:t>”</w:t>
      </w:r>
      <w:r w:rsidR="001C443C" w:rsidRPr="009A7163">
        <w:t xml:space="preserve"> and notions of exoticism and authenticity, but more especially buttress gendered responsibilities by reinforcing the idea of women as keepers of tradition, who are illiterate, unemployed, confined to the private sphere and bear full domestic responsibilities. Although reinforcing these roles and responsibilities can affect women’s ability to secure greater independence and empowerment, the Fair Trade movement has nevertheless worked with the reality that many poor women are often lacking in skills, illiterate, confined to the home and bear significant domestic responsibilities. (p. 455)</w:t>
      </w:r>
    </w:p>
    <w:p w14:paraId="252FDAEC" w14:textId="0C496F19" w:rsidR="001C443C" w:rsidRPr="009A7163" w:rsidRDefault="001C443C" w:rsidP="009709D1">
      <w:pPr>
        <w:spacing w:line="360" w:lineRule="auto"/>
        <w:ind w:firstLine="720"/>
        <w:jc w:val="both"/>
      </w:pPr>
      <w:r w:rsidRPr="009A7163">
        <w:t>H</w:t>
      </w:r>
      <w:r w:rsidR="00D90C39" w:rsidRPr="009A7163">
        <w:t>ut</w:t>
      </w:r>
      <w:r w:rsidR="00254D9D" w:rsidRPr="009A7163">
        <w:t>chens</w:t>
      </w:r>
      <w:r w:rsidR="00D90C39" w:rsidRPr="009A7163">
        <w:t xml:space="preserve">’s (2010) </w:t>
      </w:r>
      <w:r w:rsidRPr="009A7163">
        <w:t xml:space="preserve">study is of importance to this investigation as some of the women have taken up handicraft initiatives as part of the small-scale business </w:t>
      </w:r>
      <w:r w:rsidR="00D528C8" w:rsidRPr="009A7163">
        <w:t>model that</w:t>
      </w:r>
      <w:r w:rsidRPr="009A7163">
        <w:t xml:space="preserve"> the fund encourages. </w:t>
      </w:r>
      <w:r w:rsidR="00D90C39" w:rsidRPr="009A7163">
        <w:t>She</w:t>
      </w:r>
      <w:r w:rsidRPr="009A7163">
        <w:t xml:space="preserve"> argue</w:t>
      </w:r>
      <w:r w:rsidR="00D90C39" w:rsidRPr="009A7163">
        <w:t>s</w:t>
      </w:r>
      <w:r w:rsidRPr="009A7163">
        <w:t xml:space="preserve"> that it is important to look at cultural norms as a challenge to empowerment because these issues affect women’s ability to engage equally in the economy</w:t>
      </w:r>
      <w:r w:rsidR="00D90C39" w:rsidRPr="009A7163">
        <w:t xml:space="preserve"> (ibid)</w:t>
      </w:r>
      <w:r w:rsidR="00D07224" w:rsidRPr="009A7163">
        <w:t xml:space="preserve">. Therefore </w:t>
      </w:r>
      <w:r w:rsidRPr="009A7163">
        <w:t>tack</w:t>
      </w:r>
      <w:r w:rsidR="00D07224" w:rsidRPr="009A7163">
        <w:t>l</w:t>
      </w:r>
      <w:r w:rsidRPr="009A7163">
        <w:t xml:space="preserve">ing these norms and including them in </w:t>
      </w:r>
      <w:r w:rsidR="00D07224" w:rsidRPr="009A7163">
        <w:t>F</w:t>
      </w:r>
      <w:r w:rsidRPr="009A7163">
        <w:t xml:space="preserve">air Trade’s effort to empower women becomes important since income </w:t>
      </w:r>
      <w:r w:rsidR="00D90C39" w:rsidRPr="009A7163">
        <w:t xml:space="preserve">– </w:t>
      </w:r>
      <w:r w:rsidRPr="009A7163">
        <w:t>even increased income</w:t>
      </w:r>
      <w:r w:rsidR="00296456" w:rsidRPr="009A7163">
        <w:t xml:space="preserve"> </w:t>
      </w:r>
      <w:r w:rsidRPr="009A7163">
        <w:t>on its own will not ‘make women either less poor or more powerful</w:t>
      </w:r>
      <w:r w:rsidR="00254D9D" w:rsidRPr="009A7163">
        <w:t>’</w:t>
      </w:r>
      <w:r w:rsidRPr="009A7163">
        <w:t xml:space="preserve"> (ibid, p. 463). Thus there is a growing awareness that more needs to be done and industry players such as Fairtrade International have begun to acknowledge that efforts to rebalance gender equality requires an approach which touches on challenging deep rooted gender norms. </w:t>
      </w:r>
      <w:r w:rsidR="00D528C8" w:rsidRPr="009A7163">
        <w:t>Fairtra</w:t>
      </w:r>
      <w:r w:rsidR="00D90C39" w:rsidRPr="009A7163">
        <w:t>de International (n.d.) explains</w:t>
      </w:r>
      <w:r w:rsidRPr="009A7163">
        <w:t>:</w:t>
      </w:r>
    </w:p>
    <w:p w14:paraId="37EE4AB4" w14:textId="7837C64E" w:rsidR="001C443C" w:rsidRPr="009A7163" w:rsidRDefault="001C443C" w:rsidP="00293176">
      <w:pPr>
        <w:spacing w:after="180"/>
        <w:ind w:left="720"/>
        <w:jc w:val="both"/>
      </w:pPr>
      <w:r w:rsidRPr="009A7163">
        <w:t>Transformative gender approaches share an understanding of the need to go beyond women’s participation in activities and institutions, to challenge deeper gender norms and structures with the aim of permanently and profoundly rebalancing unequal power distribution between persons of different genders. While Fairtrade’s approach focuses mostly on changes in attitudes, practices, and policies in agricultural production and trade, it also necessitates broader transformations in political and social life. Fairtrade also recognizes that gender is one of several variables that determine power relations and social inequalities which result from an intricate web of contextual factors such as race, class, religious or ethnic identity, and disability. In addition, social issues encompassed in agricultural value chains differ according to region, country and local context and they continue to evolve and become more complex</w:t>
      </w:r>
    </w:p>
    <w:p w14:paraId="66E3F1EE" w14:textId="5CD7646F" w:rsidR="009D3489" w:rsidRPr="009A7163" w:rsidRDefault="001C443C" w:rsidP="00232298">
      <w:pPr>
        <w:spacing w:line="360" w:lineRule="auto"/>
        <w:ind w:firstLine="720"/>
        <w:jc w:val="both"/>
        <w:sectPr w:rsidR="009D3489" w:rsidRPr="009A7163" w:rsidSect="00CB5642">
          <w:footnotePr>
            <w:numRestart w:val="eachSect"/>
          </w:footnotePr>
          <w:pgSz w:w="11900" w:h="16840"/>
          <w:pgMar w:top="1440" w:right="1440" w:bottom="1440" w:left="2160" w:header="720" w:footer="720" w:gutter="0"/>
          <w:cols w:space="720"/>
          <w:docGrid w:linePitch="360"/>
        </w:sectPr>
      </w:pPr>
      <w:r w:rsidRPr="009A7163">
        <w:t>Hutch</w:t>
      </w:r>
      <w:r w:rsidR="00254D9D" w:rsidRPr="009A7163">
        <w:t>ens</w:t>
      </w:r>
      <w:r w:rsidRPr="009A7163">
        <w:t xml:space="preserve"> </w:t>
      </w:r>
      <w:r w:rsidR="00C32ADC" w:rsidRPr="009A7163">
        <w:t xml:space="preserve">(2010) </w:t>
      </w:r>
      <w:r w:rsidRPr="009A7163">
        <w:t>conclude</w:t>
      </w:r>
      <w:r w:rsidR="00D90C39" w:rsidRPr="009A7163">
        <w:t>s</w:t>
      </w:r>
      <w:r w:rsidRPr="009A7163">
        <w:t xml:space="preserve"> that whilst it’s important to highlight culture and social norms as key impediment, she argue</w:t>
      </w:r>
      <w:r w:rsidR="00D90C39" w:rsidRPr="009A7163">
        <w:t>s</w:t>
      </w:r>
      <w:r w:rsidRPr="009A7163">
        <w:t xml:space="preserve"> </w:t>
      </w:r>
      <w:r w:rsidR="00296456" w:rsidRPr="009A7163">
        <w:t>that</w:t>
      </w:r>
      <w:r w:rsidRPr="009A7163">
        <w:t xml:space="preserve"> ‘a human rights based framework </w:t>
      </w:r>
      <w:r w:rsidR="00296456" w:rsidRPr="009A7163">
        <w:t xml:space="preserve">could help </w:t>
      </w:r>
      <w:r w:rsidRPr="009A7163">
        <w:t xml:space="preserve">reframe </w:t>
      </w:r>
      <w:r w:rsidR="00296456" w:rsidRPr="009A7163">
        <w:t xml:space="preserve">women’s </w:t>
      </w:r>
      <w:r w:rsidRPr="009A7163">
        <w:t>empowerment and enable gender stereotypes to be challenged’ (p. 464). She questions whether</w:t>
      </w:r>
      <w:r w:rsidR="00296456" w:rsidRPr="009A7163">
        <w:t xml:space="preserve"> ‘</w:t>
      </w:r>
      <w:r w:rsidR="00D528C8" w:rsidRPr="009A7163">
        <w:t>[a]</w:t>
      </w:r>
      <w:r w:rsidRPr="009A7163">
        <w:t xml:space="preserve"> human rights-based approach to </w:t>
      </w:r>
      <w:r w:rsidRPr="009A7163">
        <w:lastRenderedPageBreak/>
        <w:t xml:space="preserve">gender inequality is equally contentious. It challenges Northern FTOs’ anxiety about </w:t>
      </w:r>
      <w:r w:rsidR="00D528C8" w:rsidRPr="009A7163">
        <w:t>“</w:t>
      </w:r>
      <w:r w:rsidRPr="009A7163">
        <w:t>intervening</w:t>
      </w:r>
      <w:r w:rsidR="00D528C8" w:rsidRPr="009A7163">
        <w:t>”</w:t>
      </w:r>
      <w:r w:rsidRPr="009A7163">
        <w:t xml:space="preserve"> in traditional cultures in a colonialist style of transporting ideas and values from the North to the South’ (</w:t>
      </w:r>
      <w:r w:rsidR="00D90C39" w:rsidRPr="009A7163">
        <w:t xml:space="preserve">ibid, </w:t>
      </w:r>
      <w:r w:rsidRPr="009A7163">
        <w:t>p</w:t>
      </w:r>
      <w:r w:rsidR="00C32ADC" w:rsidRPr="009A7163">
        <w:t xml:space="preserve">. </w:t>
      </w:r>
      <w:r w:rsidRPr="009A7163">
        <w:t>464)</w:t>
      </w:r>
      <w:r w:rsidR="00D90C39" w:rsidRPr="009A7163">
        <w:t>.</w:t>
      </w:r>
      <w:r w:rsidRPr="009A7163">
        <w:t xml:space="preserve"> </w:t>
      </w:r>
      <w:r w:rsidR="00D90C39" w:rsidRPr="009A7163">
        <w:t>She</w:t>
      </w:r>
      <w:r w:rsidRPr="009A7163">
        <w:t xml:space="preserve"> nonetheless concludes there FT should promote a model which includes institutional mechanisms that promote empowerment as a right</w:t>
      </w:r>
      <w:r w:rsidR="00D90C39" w:rsidRPr="009A7163">
        <w:t>s-</w:t>
      </w:r>
      <w:r w:rsidRPr="009A7163">
        <w:t>based issue (ibid</w:t>
      </w:r>
      <w:r w:rsidRPr="00663534">
        <w:t>). This argume</w:t>
      </w:r>
      <w:r w:rsidR="00232298" w:rsidRPr="00663534">
        <w:t xml:space="preserve">nt is important to this study as the pricing model focuses on </w:t>
      </w:r>
      <w:r w:rsidR="006A1E44" w:rsidRPr="00663534">
        <w:t>WEE</w:t>
      </w:r>
      <w:r w:rsidR="00232298" w:rsidRPr="00663534">
        <w:t xml:space="preserve"> through income generation </w:t>
      </w:r>
      <w:r w:rsidR="006A1E44" w:rsidRPr="00663534">
        <w:t>and</w:t>
      </w:r>
      <w:r w:rsidR="00232298" w:rsidRPr="00663534">
        <w:t xml:space="preserve"> has funded activities typically associated with traditional gender roles (</w:t>
      </w:r>
      <w:r w:rsidR="006A1E44" w:rsidRPr="00663534">
        <w:t xml:space="preserve">e.g., </w:t>
      </w:r>
      <w:r w:rsidR="00232298" w:rsidRPr="00663534">
        <w:t>cooking, baking</w:t>
      </w:r>
      <w:r w:rsidR="006A1E44" w:rsidRPr="00663534">
        <w:t>,</w:t>
      </w:r>
      <w:r w:rsidR="00232298" w:rsidRPr="00663534">
        <w:t xml:space="preserve"> etc). Despite the model</w:t>
      </w:r>
      <w:r w:rsidR="006A1E44" w:rsidRPr="00663534">
        <w:t>’</w:t>
      </w:r>
      <w:r w:rsidR="00232298" w:rsidRPr="00663534">
        <w:t xml:space="preserve">s innovative focus on UCW, </w:t>
      </w:r>
      <w:r w:rsidR="006A1E44" w:rsidRPr="00663534">
        <w:t>which hinders women’s ability to access and nejoy their basic human rights, t</w:t>
      </w:r>
      <w:r w:rsidR="00232298" w:rsidRPr="00663534">
        <w:t xml:space="preserve">he lack of a broader attempt to readdress these inequalities runs the risk of leaving women more time poor and does not </w:t>
      </w:r>
      <w:r w:rsidRPr="00663534">
        <w:t>necessarily make them more powerful or less poor. I then went</w:t>
      </w:r>
      <w:r w:rsidRPr="009A7163">
        <w:t xml:space="preserve"> onto explain social norms working as a system of constraints that impedes on pathways to empowerment. Finally, I have shown that efforts so far in FT to remedy gender inequality have not always challenged such inequalities and in some cases made women more time poor and added to their burden of unpaid work with additional responsibilities. I have concluded with Hutchison’s argument </w:t>
      </w:r>
      <w:r w:rsidR="00D528C8" w:rsidRPr="009A7163">
        <w:t xml:space="preserve">to </w:t>
      </w:r>
      <w:r w:rsidRPr="009A7163">
        <w:t>promote empowerment as a rights</w:t>
      </w:r>
      <w:r w:rsidR="00D528C8" w:rsidRPr="009A7163">
        <w:t>-</w:t>
      </w:r>
      <w:r w:rsidRPr="009A7163">
        <w:t>base</w:t>
      </w:r>
      <w:r w:rsidR="00D528C8" w:rsidRPr="009A7163">
        <w:t>d</w:t>
      </w:r>
      <w:r w:rsidRPr="009A7163">
        <w:t xml:space="preserve"> issue and whereby there is a call for more institutional mechanism</w:t>
      </w:r>
      <w:r w:rsidR="00D528C8" w:rsidRPr="009A7163">
        <w:t>s</w:t>
      </w:r>
      <w:r w:rsidRPr="009A7163">
        <w:t xml:space="preserve"> to support this. The next </w:t>
      </w:r>
      <w:r w:rsidR="00CB167D" w:rsidRPr="009A7163">
        <w:t xml:space="preserve">chapter </w:t>
      </w:r>
      <w:r w:rsidRPr="009A7163">
        <w:t>presents my research methodolog</w:t>
      </w:r>
      <w:r w:rsidR="00D528C8" w:rsidRPr="009A7163">
        <w:t>y</w:t>
      </w:r>
      <w:r w:rsidRPr="009A7163">
        <w:t xml:space="preserve"> and </w:t>
      </w:r>
      <w:r w:rsidR="00D528C8" w:rsidRPr="009A7163">
        <w:t xml:space="preserve">method of how I </w:t>
      </w:r>
      <w:r w:rsidRPr="009A7163">
        <w:t>conducted this investigation on women’s unpaid care work and empowerment in FT supply chains in Nicaragua.</w:t>
      </w:r>
    </w:p>
    <w:p w14:paraId="6C6A3804" w14:textId="394881EC" w:rsidR="00C32ADC" w:rsidRPr="009A7163" w:rsidRDefault="00FA2392" w:rsidP="008C041F">
      <w:pPr>
        <w:pStyle w:val="Heading1"/>
      </w:pPr>
      <w:bookmarkStart w:id="34" w:name="_Toc526819270"/>
      <w:r w:rsidRPr="009A7163">
        <w:rPr>
          <w:sz w:val="28"/>
        </w:rPr>
        <w:lastRenderedPageBreak/>
        <w:t>Chapter Three: R</w:t>
      </w:r>
      <w:r w:rsidR="00C95A06" w:rsidRPr="009A7163">
        <w:rPr>
          <w:sz w:val="28"/>
        </w:rPr>
        <w:t>esearching Women’s Unpaid Work a</w:t>
      </w:r>
      <w:r w:rsidRPr="009A7163">
        <w:rPr>
          <w:sz w:val="28"/>
        </w:rPr>
        <w:t>nd Empowerment</w:t>
      </w:r>
      <w:bookmarkEnd w:id="34"/>
    </w:p>
    <w:p w14:paraId="431AF35A" w14:textId="77777777" w:rsidR="00C32ADC" w:rsidRPr="009A7163" w:rsidRDefault="00C32ADC" w:rsidP="00293176">
      <w:pPr>
        <w:pStyle w:val="Heading1"/>
        <w:jc w:val="left"/>
      </w:pPr>
    </w:p>
    <w:p w14:paraId="4A6E5162" w14:textId="77777777" w:rsidR="0065348F" w:rsidRPr="009A7163" w:rsidRDefault="0065348F" w:rsidP="00293176">
      <w:pPr>
        <w:jc w:val="both"/>
      </w:pPr>
    </w:p>
    <w:p w14:paraId="37CB0C1B" w14:textId="11C67E19" w:rsidR="002C707D" w:rsidRPr="009A7163" w:rsidRDefault="0065348F" w:rsidP="00293176">
      <w:pPr>
        <w:pStyle w:val="Heading2"/>
      </w:pPr>
      <w:bookmarkStart w:id="35" w:name="_Toc526819271"/>
      <w:r w:rsidRPr="009A7163">
        <w:t xml:space="preserve">3.1  </w:t>
      </w:r>
      <w:r w:rsidR="002C707D" w:rsidRPr="009A7163">
        <w:t>Introduction</w:t>
      </w:r>
      <w:bookmarkEnd w:id="35"/>
      <w:r w:rsidR="002C707D" w:rsidRPr="009A7163">
        <w:t xml:space="preserve"> </w:t>
      </w:r>
    </w:p>
    <w:p w14:paraId="039C42A0" w14:textId="77777777" w:rsidR="002C707D" w:rsidRPr="009A7163" w:rsidRDefault="002C707D" w:rsidP="002C707D">
      <w:pPr>
        <w:spacing w:line="360" w:lineRule="auto"/>
        <w:ind w:firstLine="720"/>
        <w:jc w:val="both"/>
      </w:pPr>
      <w:r w:rsidRPr="009A7163">
        <w:t xml:space="preserve">The purpose of this thesis was to examine an innovative Fair Trade (FT) pricing model in Nicaragua in two FT supply chains (coffee and sesame) that aims to empower women by valuing women’s unpaid care work. The women’s previously unpaid care work was given a value and paid for by the buyer(s) as a premium. The payments from this premium have been used for women’s economic empowerment (WEE) projects. The research addressed the following research questions: </w:t>
      </w:r>
    </w:p>
    <w:p w14:paraId="1CB4AD4C" w14:textId="77777777" w:rsidR="002C707D" w:rsidRPr="009A7163" w:rsidRDefault="002C707D" w:rsidP="0065348F">
      <w:pPr>
        <w:numPr>
          <w:ilvl w:val="0"/>
          <w:numId w:val="7"/>
        </w:numPr>
        <w:spacing w:line="360" w:lineRule="auto"/>
        <w:ind w:left="720"/>
        <w:jc w:val="both"/>
      </w:pPr>
      <w:r w:rsidRPr="009A7163">
        <w:t>How is unpaid work defined?</w:t>
      </w:r>
    </w:p>
    <w:p w14:paraId="5A6906C9" w14:textId="77777777" w:rsidR="002C707D" w:rsidRPr="009A7163" w:rsidRDefault="002C707D" w:rsidP="0065348F">
      <w:pPr>
        <w:numPr>
          <w:ilvl w:val="0"/>
          <w:numId w:val="7"/>
        </w:numPr>
        <w:spacing w:line="360" w:lineRule="auto"/>
        <w:ind w:left="720"/>
        <w:jc w:val="both"/>
      </w:pPr>
      <w:r w:rsidRPr="009A7163">
        <w:t>How can unpaid work be measured?</w:t>
      </w:r>
    </w:p>
    <w:p w14:paraId="0A36467B" w14:textId="550164D9" w:rsidR="002C707D" w:rsidRPr="009A7163" w:rsidRDefault="00B42633" w:rsidP="0065348F">
      <w:pPr>
        <w:numPr>
          <w:ilvl w:val="0"/>
          <w:numId w:val="7"/>
        </w:numPr>
        <w:spacing w:line="360" w:lineRule="auto"/>
        <w:ind w:left="720"/>
        <w:jc w:val="both"/>
      </w:pPr>
      <w:r w:rsidRPr="009A7163">
        <w:t>What are the challenges of</w:t>
      </w:r>
      <w:r w:rsidR="00EA63BF" w:rsidRPr="009A7163">
        <w:t xml:space="preserve"> pricing unpaid work?</w:t>
      </w:r>
      <w:r w:rsidR="001A2D82" w:rsidRPr="009A7163" w:rsidDel="001A2D82">
        <w:t xml:space="preserve"> </w:t>
      </w:r>
    </w:p>
    <w:p w14:paraId="5F3AA104" w14:textId="77777777" w:rsidR="002C707D" w:rsidRPr="009A7163" w:rsidRDefault="002C707D" w:rsidP="0065348F">
      <w:pPr>
        <w:numPr>
          <w:ilvl w:val="0"/>
          <w:numId w:val="7"/>
        </w:numPr>
        <w:spacing w:line="360" w:lineRule="auto"/>
        <w:ind w:left="720"/>
        <w:jc w:val="both"/>
      </w:pPr>
      <w:r w:rsidRPr="009A7163">
        <w:t xml:space="preserve">How is unpaid work distributed between family members and activities? </w:t>
      </w:r>
    </w:p>
    <w:p w14:paraId="67400977" w14:textId="77777777" w:rsidR="002C707D" w:rsidRPr="009A7163" w:rsidRDefault="002C707D" w:rsidP="0065348F">
      <w:pPr>
        <w:numPr>
          <w:ilvl w:val="0"/>
          <w:numId w:val="7"/>
        </w:numPr>
        <w:spacing w:line="360" w:lineRule="auto"/>
        <w:ind w:left="720"/>
        <w:jc w:val="both"/>
      </w:pPr>
      <w:r w:rsidRPr="009A7163">
        <w:t xml:space="preserve">What factors influence this?  </w:t>
      </w:r>
    </w:p>
    <w:p w14:paraId="1EB81378" w14:textId="77777777" w:rsidR="002C707D" w:rsidRPr="009A7163" w:rsidRDefault="002C707D" w:rsidP="0065348F">
      <w:pPr>
        <w:numPr>
          <w:ilvl w:val="0"/>
          <w:numId w:val="7"/>
        </w:numPr>
        <w:spacing w:line="360" w:lineRule="auto"/>
        <w:ind w:left="720"/>
        <w:jc w:val="both"/>
      </w:pPr>
      <w:r w:rsidRPr="009A7163">
        <w:t>How does this specific model contribute to women’s empowerment?</w:t>
      </w:r>
    </w:p>
    <w:p w14:paraId="3421C932" w14:textId="4E34E66B" w:rsidR="002C707D" w:rsidRPr="009A7163" w:rsidRDefault="002C707D" w:rsidP="00293176">
      <w:pPr>
        <w:spacing w:after="240" w:line="360" w:lineRule="auto"/>
        <w:ind w:firstLine="720"/>
        <w:jc w:val="both"/>
      </w:pPr>
      <w:r w:rsidRPr="009A7163">
        <w:t>This chapter describes the methods I used in this investigation. I discuss the rationale for the research and methodological approach. I then go on to describe the research sample, research design and methods of data collection</w:t>
      </w:r>
      <w:r w:rsidR="00AA25A9" w:rsidRPr="009A7163">
        <w:t>,</w:t>
      </w:r>
      <w:r w:rsidRPr="009A7163">
        <w:t xml:space="preserve"> and then the data analysis and synthesis. The chapter culminates with a discussion of ethical considerations, issues of trustworthiness, and the limitations of the study. </w:t>
      </w:r>
    </w:p>
    <w:p w14:paraId="0F3054EA" w14:textId="778E1D3D" w:rsidR="002C707D" w:rsidRPr="009A7163" w:rsidRDefault="0065348F" w:rsidP="00293176">
      <w:pPr>
        <w:pStyle w:val="Heading2"/>
        <w:rPr>
          <w:lang w:val="en-GB"/>
        </w:rPr>
      </w:pPr>
      <w:bookmarkStart w:id="36" w:name="_Toc526819272"/>
      <w:r w:rsidRPr="009A7163">
        <w:rPr>
          <w:lang w:val="en-GB"/>
        </w:rPr>
        <w:t xml:space="preserve">3.2  </w:t>
      </w:r>
      <w:r w:rsidR="002C707D" w:rsidRPr="009A7163">
        <w:rPr>
          <w:lang w:val="en-GB"/>
        </w:rPr>
        <w:t>Methodology</w:t>
      </w:r>
      <w:bookmarkEnd w:id="36"/>
    </w:p>
    <w:p w14:paraId="38E04F01" w14:textId="587BAB72" w:rsidR="00903EC3" w:rsidRPr="009A7163" w:rsidRDefault="002C707D" w:rsidP="005218D3">
      <w:pPr>
        <w:spacing w:line="360" w:lineRule="auto"/>
        <w:ind w:firstLine="720"/>
        <w:jc w:val="both"/>
      </w:pPr>
      <w:r w:rsidRPr="009A7163">
        <w:t>This research takes a feminist approach and is guided by five feminist research principles by Doucet and Mauthner (2006): 1) the research is done by, for and about women; 2) it engages with the methodology</w:t>
      </w:r>
      <w:r w:rsidR="00AA25A9" w:rsidRPr="009A7163">
        <w:t xml:space="preserve">, </w:t>
      </w:r>
      <w:r w:rsidRPr="009A7163">
        <w:t>as opposed to traditional research</w:t>
      </w:r>
      <w:r w:rsidR="009709D1" w:rsidRPr="009A7163">
        <w:rPr>
          <w:rStyle w:val="FootnoteReference"/>
        </w:rPr>
        <w:footnoteReference w:id="52"/>
      </w:r>
      <w:r w:rsidRPr="009A7163">
        <w:t>; 3) its objectives include both the construction of new knowledge and the production of social change; 4) it considers issues of power and actively seeks to remove the power imbalance between research and subject</w:t>
      </w:r>
      <w:r w:rsidR="00AA25A9" w:rsidRPr="009A7163">
        <w:t>, as well as being</w:t>
      </w:r>
      <w:r w:rsidRPr="009A7163">
        <w:t xml:space="preserve"> politically motivated in that </w:t>
      </w:r>
      <w:r w:rsidRPr="009A7163">
        <w:lastRenderedPageBreak/>
        <w:t>it seeks to change social inequality; and 5) it begins with the standpoints and experiences of women. The fifth point is a concern for reflexivity and placing the researcher the in the same world as those being researched (Doucet and Mauthner, 2006</w:t>
      </w:r>
      <w:r w:rsidR="00BB20DB" w:rsidRPr="009A7163">
        <w:t>).</w:t>
      </w:r>
      <w:r w:rsidR="005218D3" w:rsidRPr="009A7163">
        <w:t xml:space="preserve"> </w:t>
      </w:r>
      <w:r w:rsidR="00903EC3" w:rsidRPr="009A7163">
        <w:t>Whilst</w:t>
      </w:r>
      <w:r w:rsidR="005218D3" w:rsidRPr="009A7163">
        <w:t xml:space="preserve"> definitions of what feminist research and </w:t>
      </w:r>
      <w:r w:rsidR="00AE09EA" w:rsidRPr="009A7163">
        <w:t>methodologies</w:t>
      </w:r>
      <w:r w:rsidR="005218D3" w:rsidRPr="009A7163">
        <w:t xml:space="preserve"> are diverse wit</w:t>
      </w:r>
      <w:r w:rsidR="00AE09EA" w:rsidRPr="009A7163">
        <w:t>h much debate over differences and definitions</w:t>
      </w:r>
      <w:r w:rsidR="00AA25A9" w:rsidRPr="009A7163">
        <w:t>,</w:t>
      </w:r>
      <w:r w:rsidR="00AE09EA" w:rsidRPr="009A7163">
        <w:rPr>
          <w:rStyle w:val="FootnoteReference"/>
        </w:rPr>
        <w:footnoteReference w:id="53"/>
      </w:r>
      <w:r w:rsidR="005218D3" w:rsidRPr="009A7163">
        <w:t xml:space="preserve"> f</w:t>
      </w:r>
      <w:r w:rsidR="0084307B" w:rsidRPr="009A7163">
        <w:rPr>
          <w:rFonts w:ascii="TimesNewRomanPSMT" w:hAnsi="TimesNewRomanPSMT" w:cs="TimesNewRomanPSMT"/>
        </w:rPr>
        <w:t>eminists have argued that the main purpose of the feminist research is to overcome the invisibility and distortion of female experience (Lather, 1988)</w:t>
      </w:r>
      <w:r w:rsidR="00AA25A9" w:rsidRPr="009A7163">
        <w:rPr>
          <w:rFonts w:ascii="TimesNewRomanPSMT" w:hAnsi="TimesNewRomanPSMT" w:cs="TimesNewRomanPSMT"/>
        </w:rPr>
        <w:t>. R</w:t>
      </w:r>
      <w:r w:rsidR="0084307B" w:rsidRPr="009A7163">
        <w:rPr>
          <w:rFonts w:ascii="TimesNewRomanPSMT" w:hAnsi="TimesNewRomanPSMT" w:cs="TimesNewRomanPSMT"/>
        </w:rPr>
        <w:t xml:space="preserve">esearch for the sake of research is insufficient, </w:t>
      </w:r>
      <w:r w:rsidR="00AA25A9" w:rsidRPr="009A7163">
        <w:rPr>
          <w:rFonts w:ascii="TimesNewRomanPSMT" w:hAnsi="TimesNewRomanPSMT" w:cs="TimesNewRomanPSMT"/>
        </w:rPr>
        <w:t xml:space="preserve">and </w:t>
      </w:r>
      <w:r w:rsidR="0084307B" w:rsidRPr="009A7163">
        <w:rPr>
          <w:rFonts w:ascii="TimesNewRomanPSMT" w:hAnsi="TimesNewRomanPSMT" w:cs="TimesNewRomanPSMT"/>
        </w:rPr>
        <w:t>rather changing the status quo must be the starting point of the scientific enquiry (Mies, 1983).</w:t>
      </w:r>
      <w:r w:rsidR="00AE09EA" w:rsidRPr="009A7163">
        <w:rPr>
          <w:rFonts w:ascii="TimesNewRomanPSMT" w:hAnsi="TimesNewRomanPSMT" w:cs="TimesNewRomanPSMT"/>
        </w:rPr>
        <w:t xml:space="preserve"> </w:t>
      </w:r>
      <w:r w:rsidR="0084307B" w:rsidRPr="009A7163">
        <w:rPr>
          <w:rFonts w:ascii="TimesNewRomanPSMT" w:hAnsi="TimesNewRomanPSMT" w:cs="TimesNewRomanPSMT"/>
        </w:rPr>
        <w:t xml:space="preserve"> </w:t>
      </w:r>
      <w:r w:rsidR="00BB20DB" w:rsidRPr="009A7163">
        <w:rPr>
          <w:rFonts w:ascii="TimesNewRomanPSMT" w:hAnsi="TimesNewRomanPSMT" w:cs="TimesNewRomanPSMT"/>
        </w:rPr>
        <w:t>So,</w:t>
      </w:r>
      <w:r w:rsidR="00C60C34" w:rsidRPr="009A7163">
        <w:rPr>
          <w:rFonts w:ascii="TimesNewRomanPSMT" w:hAnsi="TimesNewRomanPSMT" w:cs="TimesNewRomanPSMT"/>
        </w:rPr>
        <w:t xml:space="preserve"> whilst ‘there is no one definition of feminist research</w:t>
      </w:r>
      <w:r w:rsidR="00FE5EB3" w:rsidRPr="009A7163">
        <w:rPr>
          <w:rFonts w:ascii="TimesNewRomanPSMT" w:hAnsi="TimesNewRomanPSMT" w:cs="TimesNewRomanPSMT"/>
        </w:rPr>
        <w:t>…</w:t>
      </w:r>
      <w:r w:rsidR="00C60C34" w:rsidRPr="009A7163">
        <w:rPr>
          <w:rFonts w:ascii="TimesNewRomanPSMT" w:hAnsi="TimesNewRomanPSMT" w:cs="TimesNewRomanPSMT"/>
        </w:rPr>
        <w:t>it is important that research be identified as feminist to advance feminist causes’ (Dankoski, 2000, p.</w:t>
      </w:r>
      <w:r w:rsidR="00AA25A9" w:rsidRPr="009A7163">
        <w:rPr>
          <w:rFonts w:ascii="TimesNewRomanPSMT" w:hAnsi="TimesNewRomanPSMT" w:cs="TimesNewRomanPSMT"/>
        </w:rPr>
        <w:t xml:space="preserve"> </w:t>
      </w:r>
      <w:r w:rsidR="00C60C34" w:rsidRPr="009A7163">
        <w:rPr>
          <w:rFonts w:ascii="TimesNewRomanPSMT" w:hAnsi="TimesNewRomanPSMT" w:cs="TimesNewRomanPSMT"/>
        </w:rPr>
        <w:t>3)</w:t>
      </w:r>
      <w:r w:rsidR="00BB20DB" w:rsidRPr="009A7163">
        <w:rPr>
          <w:rFonts w:ascii="TimesNewRomanPSMT" w:hAnsi="TimesNewRomanPSMT" w:cs="TimesNewRomanPSMT"/>
        </w:rPr>
        <w:t xml:space="preserve">. </w:t>
      </w:r>
      <w:r w:rsidR="007A6126" w:rsidRPr="009A7163">
        <w:rPr>
          <w:rFonts w:ascii="TimesNewRomanPSMT" w:hAnsi="TimesNewRomanPSMT" w:cs="TimesNewRomanPSMT"/>
        </w:rPr>
        <w:t xml:space="preserve">The central </w:t>
      </w:r>
      <w:r w:rsidR="00AA25A9" w:rsidRPr="009A7163">
        <w:rPr>
          <w:rFonts w:ascii="TimesNewRomanPSMT" w:hAnsi="TimesNewRomanPSMT" w:cs="TimesNewRomanPSMT"/>
        </w:rPr>
        <w:t>focus</w:t>
      </w:r>
      <w:r w:rsidR="007A6126" w:rsidRPr="009A7163">
        <w:rPr>
          <w:rFonts w:ascii="TimesNewRomanPSMT" w:hAnsi="TimesNewRomanPSMT" w:cs="TimesNewRomanPSMT"/>
        </w:rPr>
        <w:t xml:space="preserve"> of m</w:t>
      </w:r>
      <w:r w:rsidR="00C60C34" w:rsidRPr="009A7163">
        <w:rPr>
          <w:rFonts w:ascii="TimesNewRomanPSMT" w:hAnsi="TimesNewRomanPSMT" w:cs="TimesNewRomanPSMT"/>
        </w:rPr>
        <w:t>y research was</w:t>
      </w:r>
      <w:r w:rsidR="00AA25A9" w:rsidRPr="009A7163">
        <w:rPr>
          <w:rFonts w:ascii="TimesNewRomanPSMT" w:hAnsi="TimesNewRomanPSMT" w:cs="TimesNewRomanPSMT"/>
        </w:rPr>
        <w:t xml:space="preserve"> concerned</w:t>
      </w:r>
      <w:r w:rsidR="007A6126" w:rsidRPr="009A7163">
        <w:rPr>
          <w:rFonts w:ascii="TimesNewRomanPSMT" w:hAnsi="TimesNewRomanPSMT" w:cs="TimesNewRomanPSMT"/>
        </w:rPr>
        <w:t xml:space="preserve"> </w:t>
      </w:r>
      <w:r w:rsidR="00AA25A9" w:rsidRPr="009A7163">
        <w:rPr>
          <w:rFonts w:ascii="TimesNewRomanPSMT" w:hAnsi="TimesNewRomanPSMT" w:cs="TimesNewRomanPSMT"/>
        </w:rPr>
        <w:t xml:space="preserve">with </w:t>
      </w:r>
      <w:r w:rsidR="007A6126" w:rsidRPr="009A7163">
        <w:rPr>
          <w:rFonts w:ascii="TimesNewRomanPSMT" w:hAnsi="TimesNewRomanPSMT" w:cs="TimesNewRomanPSMT"/>
        </w:rPr>
        <w:t xml:space="preserve">gender inequities, </w:t>
      </w:r>
      <w:r w:rsidR="00C60C34" w:rsidRPr="009A7163">
        <w:rPr>
          <w:rFonts w:ascii="TimesNewRomanPSMT" w:hAnsi="TimesNewRomanPSMT" w:cs="TimesNewRomanPSMT"/>
        </w:rPr>
        <w:t>social change and justice and the women’s voices were the therefore the starting point for my research.</w:t>
      </w:r>
      <w:r w:rsidR="009D6293" w:rsidRPr="009A7163">
        <w:t xml:space="preserve"> </w:t>
      </w:r>
    </w:p>
    <w:p w14:paraId="4C364F00" w14:textId="2EDCD9F0" w:rsidR="002C707D" w:rsidRPr="009A7163" w:rsidRDefault="001061E1" w:rsidP="00903EC3">
      <w:pPr>
        <w:spacing w:line="360" w:lineRule="auto"/>
        <w:ind w:firstLine="720"/>
        <w:jc w:val="both"/>
        <w:rPr>
          <w:rFonts w:ascii="TimesNewRomanPSMT" w:hAnsi="TimesNewRomanPSMT" w:cs="TimesNewRomanPSMT"/>
        </w:rPr>
      </w:pPr>
      <w:r w:rsidRPr="009A7163">
        <w:t xml:space="preserve">In my research I </w:t>
      </w:r>
      <w:r w:rsidR="005218D3" w:rsidRPr="009A7163">
        <w:t xml:space="preserve">primarily </w:t>
      </w:r>
      <w:r w:rsidRPr="009A7163">
        <w:t xml:space="preserve">focused on women and </w:t>
      </w:r>
      <w:r w:rsidR="002C707D" w:rsidRPr="009A7163">
        <w:t>whilst I recogn</w:t>
      </w:r>
      <w:r w:rsidR="00C95A06" w:rsidRPr="009A7163">
        <w:t>ise</w:t>
      </w:r>
      <w:r w:rsidR="002C707D" w:rsidRPr="009A7163">
        <w:t xml:space="preserve">d the importance of capturing perspectives of family members (in particular men and other primary carers) along with cooperative members and experts in Nicaragua, I was committed to focusing not only on women, but for women and with women. I was careful, however, not to completely exclude men, which has been a criticism of gender </w:t>
      </w:r>
      <w:r w:rsidR="003A45EE" w:rsidRPr="009A7163">
        <w:t xml:space="preserve">research </w:t>
      </w:r>
      <w:r w:rsidR="002C707D" w:rsidRPr="009A7163">
        <w:t xml:space="preserve"> (Gujit and Kaul Shah, 1998, p. 7)</w:t>
      </w:r>
      <w:r w:rsidR="00AA25A9" w:rsidRPr="009A7163">
        <w:t>, which is</w:t>
      </w:r>
      <w:r w:rsidR="002C707D" w:rsidRPr="009A7163">
        <w:t xml:space="preserve"> because, as Connell (2003) state</w:t>
      </w:r>
      <w:r w:rsidR="009709D1" w:rsidRPr="009A7163">
        <w:t>s</w:t>
      </w:r>
      <w:r w:rsidR="002C707D" w:rsidRPr="009A7163">
        <w:t>, 'men and boys around the world are unavoidablv involved in gender issues’</w:t>
      </w:r>
      <w:r w:rsidR="00AA25A9" w:rsidRPr="009A7163">
        <w:t xml:space="preserve"> (p. 3)</w:t>
      </w:r>
      <w:r w:rsidR="002C707D" w:rsidRPr="009A7163">
        <w:t xml:space="preserve">. </w:t>
      </w:r>
      <w:r w:rsidR="005218D3" w:rsidRPr="009A7163">
        <w:t>Whilst other perspectiv</w:t>
      </w:r>
      <w:r w:rsidR="009709D1" w:rsidRPr="009A7163">
        <w:t>e</w:t>
      </w:r>
      <w:r w:rsidR="005218D3" w:rsidRPr="009A7163">
        <w:t>s were important and became an important part of my research, t</w:t>
      </w:r>
      <w:r w:rsidR="002C707D" w:rsidRPr="009A7163">
        <w:t>he particular importance of taking women into account in this research project – and thus placing them at the centre – is because their unpaid work has consistently been undervalued, invisibili</w:t>
      </w:r>
      <w:r w:rsidR="00570E7B" w:rsidRPr="009A7163">
        <w:t>zed</w:t>
      </w:r>
      <w:r w:rsidR="002C707D" w:rsidRPr="009A7163">
        <w:t xml:space="preserve"> and unaccounted</w:t>
      </w:r>
      <w:r w:rsidR="00AA25A9" w:rsidRPr="009A7163">
        <w:t>,</w:t>
      </w:r>
      <w:r w:rsidR="002C707D" w:rsidRPr="009A7163">
        <w:t xml:space="preserve"> as outlined in Chapter Two.</w:t>
      </w:r>
    </w:p>
    <w:p w14:paraId="5E9D715F" w14:textId="77BBFF9C" w:rsidR="00BD1428" w:rsidRPr="009A7163" w:rsidRDefault="00903EC3" w:rsidP="00E72744">
      <w:pPr>
        <w:spacing w:line="360" w:lineRule="auto"/>
        <w:ind w:firstLine="720"/>
        <w:jc w:val="both"/>
      </w:pPr>
      <w:r w:rsidRPr="009A7163">
        <w:t>Thus,</w:t>
      </w:r>
      <w:r w:rsidR="00E72744" w:rsidRPr="009A7163">
        <w:t xml:space="preserve"> as</w:t>
      </w:r>
      <w:r w:rsidR="00B537F8" w:rsidRPr="009A7163">
        <w:t xml:space="preserve"> a feminist</w:t>
      </w:r>
      <w:r w:rsidR="00AA25A9" w:rsidRPr="009A7163">
        <w:t>,</w:t>
      </w:r>
      <w:r w:rsidR="00B537F8" w:rsidRPr="009A7163">
        <w:t xml:space="preserve"> my work was concerned with both </w:t>
      </w:r>
      <w:r w:rsidR="00511A37" w:rsidRPr="009A7163">
        <w:t>theory and practice (praxis)</w:t>
      </w:r>
      <w:r w:rsidR="00AA25A9" w:rsidRPr="009A7163">
        <w:t>.</w:t>
      </w:r>
      <w:r w:rsidR="00511A37" w:rsidRPr="009A7163">
        <w:t xml:space="preserve"> </w:t>
      </w:r>
      <w:r w:rsidR="00BF019A" w:rsidRPr="009A7163">
        <w:t>I had a politica</w:t>
      </w:r>
      <w:r w:rsidR="00511A37" w:rsidRPr="009A7163">
        <w:t xml:space="preserve">l commitment to produce useful </w:t>
      </w:r>
      <w:r w:rsidR="00BF019A" w:rsidRPr="009A7163">
        <w:t>knowledge that co</w:t>
      </w:r>
      <w:r w:rsidR="00511A37" w:rsidRPr="009A7163">
        <w:t>uld potentially make a difference</w:t>
      </w:r>
      <w:r w:rsidR="00BF019A" w:rsidRPr="009A7163">
        <w:t xml:space="preserve"> to women’s lives through social and individual change</w:t>
      </w:r>
      <w:r w:rsidR="00E72744" w:rsidRPr="009A7163">
        <w:t xml:space="preserve"> and to make visible what has been previously ignored</w:t>
      </w:r>
      <w:r w:rsidR="00BF019A" w:rsidRPr="009A7163">
        <w:t xml:space="preserve">. Part of this commitment to a feminist praxis is about challenging the silences and gaps </w:t>
      </w:r>
      <w:r w:rsidR="00511A37" w:rsidRPr="009A7163">
        <w:t xml:space="preserve">in mainstream research and </w:t>
      </w:r>
      <w:r w:rsidR="00BF019A" w:rsidRPr="009A7163">
        <w:t>about the choice of methods and research group</w:t>
      </w:r>
      <w:r w:rsidR="00511A37" w:rsidRPr="009A7163">
        <w:t xml:space="preserve"> we select</w:t>
      </w:r>
      <w:r w:rsidR="00BF019A" w:rsidRPr="009A7163">
        <w:t>.</w:t>
      </w:r>
      <w:r w:rsidR="00E72744" w:rsidRPr="009A7163">
        <w:rPr>
          <w:rFonts w:ascii="TimesNewRomanPSMT" w:hAnsi="TimesNewRomanPSMT" w:cs="TimesNewRomanPSMT"/>
          <w:sz w:val="20"/>
          <w:szCs w:val="20"/>
        </w:rPr>
        <w:t xml:space="preserve"> </w:t>
      </w:r>
      <w:r w:rsidR="00E72744" w:rsidRPr="009A7163">
        <w:t xml:space="preserve">The knowledge about </w:t>
      </w:r>
      <w:r w:rsidR="00E72744" w:rsidRPr="009A7163">
        <w:lastRenderedPageBreak/>
        <w:t xml:space="preserve">women’s lives and experiences are either absent or has been constructed by men from their own perspective. </w:t>
      </w:r>
      <w:r w:rsidR="009D6895" w:rsidRPr="009A7163">
        <w:t>In this</w:t>
      </w:r>
      <w:r w:rsidR="00511A37" w:rsidRPr="009A7163">
        <w:t xml:space="preserve"> research</w:t>
      </w:r>
      <w:r w:rsidR="00224BE1" w:rsidRPr="009A7163">
        <w:t xml:space="preserve">, my </w:t>
      </w:r>
      <w:r w:rsidR="00511A37" w:rsidRPr="009A7163">
        <w:t>commitment to visibilizing the</w:t>
      </w:r>
      <w:r w:rsidR="00224BE1" w:rsidRPr="009A7163">
        <w:t xml:space="preserve"> value given to women’s work was ce</w:t>
      </w:r>
      <w:r w:rsidR="009D6895" w:rsidRPr="009A7163">
        <w:t xml:space="preserve">ntral </w:t>
      </w:r>
      <w:r w:rsidR="00511A37" w:rsidRPr="009A7163">
        <w:t xml:space="preserve">since it is a cost that has previously not been recognised. </w:t>
      </w:r>
      <w:r w:rsidR="00E72744" w:rsidRPr="009A7163">
        <w:t>The exclusion of women’s voices in the construction of knowledge is another key area in feminist research.</w:t>
      </w:r>
    </w:p>
    <w:p w14:paraId="7C5E9C04" w14:textId="6D18F365" w:rsidR="00B537F8" w:rsidRPr="009A7163" w:rsidRDefault="00511A37" w:rsidP="002C707D">
      <w:pPr>
        <w:spacing w:line="360" w:lineRule="auto"/>
        <w:ind w:firstLine="720"/>
        <w:jc w:val="both"/>
      </w:pPr>
      <w:r w:rsidRPr="009A7163">
        <w:t>A f</w:t>
      </w:r>
      <w:r w:rsidR="009D6895" w:rsidRPr="009A7163">
        <w:t>eminist praxis</w:t>
      </w:r>
      <w:r w:rsidR="00BF019A" w:rsidRPr="009A7163">
        <w:t xml:space="preserve"> also centres on a commitment and concern to reveal what is going on women’s lives (and also men’s so we can better understand their thinking and behaviours)</w:t>
      </w:r>
      <w:r w:rsidR="009D6895" w:rsidRPr="009A7163">
        <w:t xml:space="preserve"> and </w:t>
      </w:r>
      <w:r w:rsidR="00BF019A" w:rsidRPr="009A7163">
        <w:t xml:space="preserve">to not exploit </w:t>
      </w:r>
      <w:r w:rsidR="009D6895" w:rsidRPr="009A7163">
        <w:t>the subject or subject matter in the process</w:t>
      </w:r>
      <w:r w:rsidR="00AA25A9" w:rsidRPr="009A7163">
        <w:t>. As such,</w:t>
      </w:r>
      <w:r w:rsidRPr="009A7163">
        <w:t xml:space="preserve"> every research choice is a political act.</w:t>
      </w:r>
      <w:r w:rsidR="009D6895" w:rsidRPr="009A7163">
        <w:t xml:space="preserve"> For this reason, I tried to be</w:t>
      </w:r>
      <w:r w:rsidRPr="009A7163">
        <w:t xml:space="preserve"> aware of my</w:t>
      </w:r>
      <w:r w:rsidR="009D6895" w:rsidRPr="009A7163">
        <w:t xml:space="preserve"> presence in the</w:t>
      </w:r>
      <w:r w:rsidR="00BF019A" w:rsidRPr="009A7163">
        <w:t xml:space="preserve"> lives</w:t>
      </w:r>
      <w:r w:rsidR="009D6895" w:rsidRPr="009A7163">
        <w:t xml:space="preserve"> of the participants</w:t>
      </w:r>
      <w:r w:rsidR="00BF019A" w:rsidRPr="009A7163">
        <w:t xml:space="preserve"> and the research process</w:t>
      </w:r>
      <w:r w:rsidRPr="009A7163">
        <w:t xml:space="preserve"> overall</w:t>
      </w:r>
      <w:r w:rsidR="00BF019A" w:rsidRPr="009A7163">
        <w:t>. I reflected</w:t>
      </w:r>
      <w:r w:rsidR="00224BE1" w:rsidRPr="009A7163">
        <w:t xml:space="preserve"> </w:t>
      </w:r>
      <w:r w:rsidR="00BC3D5B" w:rsidRPr="009A7163">
        <w:t>regularly,</w:t>
      </w:r>
      <w:r w:rsidR="00224BE1" w:rsidRPr="009A7163">
        <w:t xml:space="preserve"> and </w:t>
      </w:r>
      <w:r w:rsidRPr="009A7163">
        <w:t xml:space="preserve">I </w:t>
      </w:r>
      <w:r w:rsidR="00224BE1" w:rsidRPr="009A7163">
        <w:t xml:space="preserve">valued reflexivity and emotion as a source of insight and as an essential part of research. </w:t>
      </w:r>
      <w:r w:rsidR="009D6895" w:rsidRPr="009A7163">
        <w:t xml:space="preserve"> Being sensitive and being aware of methodology was a priority in my </w:t>
      </w:r>
      <w:r w:rsidR="00BC3D5B" w:rsidRPr="009A7163">
        <w:t>fieldwork.</w:t>
      </w:r>
      <w:r w:rsidRPr="009A7163">
        <w:t xml:space="preserve"> </w:t>
      </w:r>
      <w:r w:rsidR="009D6895" w:rsidRPr="009A7163">
        <w:t>Millen (1997) sums up my concerns here</w:t>
      </w:r>
      <w:r w:rsidR="00224BE1" w:rsidRPr="009A7163">
        <w:t>:</w:t>
      </w:r>
    </w:p>
    <w:p w14:paraId="7BC58491" w14:textId="3A47AA0F" w:rsidR="00224BE1" w:rsidRPr="009A7163" w:rsidRDefault="00224BE1" w:rsidP="007A3A29">
      <w:pPr>
        <w:spacing w:after="180"/>
        <w:ind w:left="720"/>
        <w:jc w:val="both"/>
      </w:pPr>
      <w:r w:rsidRPr="009A7163">
        <w:t xml:space="preserve">Any research may be considered </w:t>
      </w:r>
      <w:r w:rsidR="00181E66" w:rsidRPr="009A7163">
        <w:t>“</w:t>
      </w:r>
      <w:r w:rsidRPr="009A7163">
        <w:t>feminist</w:t>
      </w:r>
      <w:r w:rsidR="00181E66" w:rsidRPr="009A7163">
        <w:t>”</w:t>
      </w:r>
      <w:r w:rsidRPr="009A7163">
        <w:t xml:space="preserve"> which incorporates two main areas</w:t>
      </w:r>
      <w:r w:rsidR="00155A84" w:rsidRPr="009A7163">
        <w:t xml:space="preserve">: </w:t>
      </w:r>
      <w:r w:rsidRPr="009A7163">
        <w:t xml:space="preserve">a sensitivity of the role of gender within society and the differential experiences of males and females and a critical approach to the tools of research on society, the </w:t>
      </w:r>
      <w:r w:rsidR="009D6895" w:rsidRPr="009A7163">
        <w:t>structure</w:t>
      </w:r>
      <w:r w:rsidRPr="009A7163">
        <w:t xml:space="preserve">s of methodology and epistemology within which </w:t>
      </w:r>
      <w:r w:rsidR="00181E66" w:rsidRPr="009A7163">
        <w:t>“</w:t>
      </w:r>
      <w:r w:rsidRPr="009A7163">
        <w:t>knowledge</w:t>
      </w:r>
      <w:r w:rsidR="00181E66" w:rsidRPr="009A7163">
        <w:t>”</w:t>
      </w:r>
      <w:r w:rsidRPr="009A7163">
        <w:t xml:space="preserve"> is placed within the public domain… </w:t>
      </w:r>
      <w:r w:rsidR="00181E66" w:rsidRPr="009A7163">
        <w:t>(p. 63)</w:t>
      </w:r>
    </w:p>
    <w:p w14:paraId="534C5B8D" w14:textId="37156DED" w:rsidR="00224BE1" w:rsidRPr="009A7163" w:rsidRDefault="00BC3D5B" w:rsidP="00383F81">
      <w:pPr>
        <w:spacing w:line="360" w:lineRule="auto"/>
        <w:jc w:val="both"/>
      </w:pPr>
      <w:r w:rsidRPr="009A7163">
        <w:t>Millen</w:t>
      </w:r>
      <w:r w:rsidR="00181E66" w:rsidRPr="009A7163">
        <w:t xml:space="preserve"> (1997) </w:t>
      </w:r>
      <w:r w:rsidRPr="009A7163">
        <w:t>also argue</w:t>
      </w:r>
      <w:r w:rsidR="009709D1" w:rsidRPr="009A7163">
        <w:t>s</w:t>
      </w:r>
      <w:r w:rsidRPr="009A7163">
        <w:t xml:space="preserve"> that feminist research should be defined by the values that it upholds. </w:t>
      </w:r>
      <w:r w:rsidR="009D6895" w:rsidRPr="009A7163">
        <w:t>The importance of sensitivity</w:t>
      </w:r>
      <w:r w:rsidR="00511A37" w:rsidRPr="009A7163">
        <w:t xml:space="preserve"> and reflexivity resounds with Ramazanogulu</w:t>
      </w:r>
      <w:r w:rsidR="00181E66" w:rsidRPr="009A7163">
        <w:t>’s</w:t>
      </w:r>
      <w:r w:rsidR="00511A37" w:rsidRPr="009A7163">
        <w:t xml:space="preserve"> (1989) argument that research from a feminist methodological standpoint </w:t>
      </w:r>
      <w:r w:rsidR="001C39AB" w:rsidRPr="009A7163">
        <w:t>would</w:t>
      </w:r>
      <w:r w:rsidR="00511A37" w:rsidRPr="009A7163">
        <w:t xml:space="preserve"> provide understandings of women’s experience as they understand it, interpreted in the light of feminist inceptions of gender relations. Whilst this is important, I also recognise that there are many types of feminism and ways of being feminist.</w:t>
      </w:r>
    </w:p>
    <w:p w14:paraId="1D1E4F1E" w14:textId="4C4E1160" w:rsidR="009E3A14" w:rsidRPr="009A7163" w:rsidRDefault="002C707D" w:rsidP="00BB1071">
      <w:pPr>
        <w:spacing w:line="360" w:lineRule="auto"/>
        <w:ind w:firstLine="720"/>
        <w:jc w:val="both"/>
      </w:pPr>
      <w:r w:rsidRPr="009A7163">
        <w:t>Second, as the researcher, I engaged with research methodology, modifying and innovating conventional or mainstream ways of collecting and analysing data</w:t>
      </w:r>
      <w:r w:rsidR="00181E66" w:rsidRPr="009A7163">
        <w:t xml:space="preserve">. In particular, with respect to </w:t>
      </w:r>
      <w:r w:rsidRPr="009A7163">
        <w:t>my quantitative methods on time use</w:t>
      </w:r>
      <w:r w:rsidR="00181E66" w:rsidRPr="009A7163">
        <w:t>,</w:t>
      </w:r>
      <w:r w:rsidRPr="009A7163">
        <w:t xml:space="preserve"> I incorporated a number of participatory methods, which led to an iterative and sometimes messy process guided by an aim of avoiding further power inequalities. As a feminist with a commitment to empowerment, participatory research methods could have been an obvious choice to a reader due to their perceived egalitarian nature (</w:t>
      </w:r>
      <w:r w:rsidR="00181E66" w:rsidRPr="009A7163">
        <w:t>se</w:t>
      </w:r>
      <w:r w:rsidRPr="009A7163">
        <w:t>e Chambers</w:t>
      </w:r>
      <w:r w:rsidR="00181E66" w:rsidRPr="009A7163">
        <w:t>,</w:t>
      </w:r>
      <w:r w:rsidRPr="009A7163">
        <w:t xml:space="preserve"> 1997, Guijt and Shah, 1999)</w:t>
      </w:r>
      <w:r w:rsidR="00181E66" w:rsidRPr="009A7163">
        <w:t>;</w:t>
      </w:r>
      <w:r w:rsidRPr="009A7163">
        <w:t xml:space="preserve"> </w:t>
      </w:r>
      <w:r w:rsidR="00181E66" w:rsidRPr="009A7163">
        <w:t>h</w:t>
      </w:r>
      <w:r w:rsidRPr="009A7163">
        <w:t xml:space="preserve">owever, it was structurally impossible to use 100% participatory methods and I was unable to design an open and consultative process. So whilst I used some participatory methods, I chose not to </w:t>
      </w:r>
      <w:r w:rsidR="001E2E23" w:rsidRPr="009A7163">
        <w:t xml:space="preserve">classify all </w:t>
      </w:r>
      <w:r w:rsidR="00155A84" w:rsidRPr="009A7163">
        <w:t xml:space="preserve">of </w:t>
      </w:r>
      <w:r w:rsidRPr="009A7163">
        <w:t xml:space="preserve">my research as participatory from the onset, which was also a decision based on 17 years of experience in Nicaragua and </w:t>
      </w:r>
      <w:r w:rsidRPr="009A7163">
        <w:lastRenderedPageBreak/>
        <w:t>my understanding of structural constraints and inequalities</w:t>
      </w:r>
      <w:r w:rsidR="001E2E23" w:rsidRPr="009A7163">
        <w:t xml:space="preserve"> (including the time cost to the women of participatory research)</w:t>
      </w:r>
      <w:r w:rsidRPr="009A7163">
        <w:t xml:space="preserve"> coupled with the complications around ‘living up to the empowerment’ claim of participatory research methods (Crawley, 1998).</w:t>
      </w:r>
      <w:r w:rsidR="00181E66" w:rsidRPr="009A7163">
        <w:rPr>
          <w:vertAlign w:val="superscript"/>
        </w:rPr>
        <w:footnoteReference w:id="54"/>
      </w:r>
      <w:r w:rsidRPr="009A7163">
        <w:t xml:space="preserve"> As Cornwall et al. (1995) state, ‘In practice, participatory research rarely follows the smooth pathway implied by theoretical writings. All research takes place in complex social and political environments’ (p. 1672).</w:t>
      </w:r>
      <w:r w:rsidR="00C358BA" w:rsidRPr="009A7163">
        <w:t xml:space="preserve"> </w:t>
      </w:r>
      <w:r w:rsidR="0065424E" w:rsidRPr="009A7163">
        <w:t xml:space="preserve"> Furthermore, with gender as a central point this was even more challenging since my primary focus was on women and thus meeting the challenge of equitable participatory development was even harder. Participatory processes have been criticised for being unlikely to be equally accessible or open to al</w:t>
      </w:r>
      <w:r w:rsidR="0026279B" w:rsidRPr="009A7163">
        <w:t>l</w:t>
      </w:r>
      <w:r w:rsidR="0065424E" w:rsidRPr="009A7163">
        <w:t xml:space="preserve"> sections of </w:t>
      </w:r>
      <w:r w:rsidR="00181E66" w:rsidRPr="009A7163">
        <w:t xml:space="preserve">a </w:t>
      </w:r>
      <w:r w:rsidR="0065424E" w:rsidRPr="009A7163">
        <w:t>community (Mosse, 1993</w:t>
      </w:r>
      <w:r w:rsidR="00181E66" w:rsidRPr="009A7163">
        <w:t>;</w:t>
      </w:r>
      <w:r w:rsidR="0065424E" w:rsidRPr="009A7163">
        <w:t xml:space="preserve"> Guijt and Kaul Shaul, 1999)</w:t>
      </w:r>
      <w:r w:rsidR="00C95810" w:rsidRPr="009A7163">
        <w:t xml:space="preserve"> and whether participatory methodology or methods are actually empowering (Mullender and Ward, 1991</w:t>
      </w:r>
      <w:r w:rsidR="00181E66" w:rsidRPr="009A7163">
        <w:t>;</w:t>
      </w:r>
      <w:r w:rsidR="00C95810" w:rsidRPr="009A7163">
        <w:t xml:space="preserve"> Crawley, 1999</w:t>
      </w:r>
      <w:r w:rsidR="00181E66" w:rsidRPr="009A7163">
        <w:t>;</w:t>
      </w:r>
      <w:r w:rsidR="00C95810" w:rsidRPr="009A7163">
        <w:t xml:space="preserve"> Guijt and Kaul Shaul, 1999)</w:t>
      </w:r>
      <w:r w:rsidR="0065424E" w:rsidRPr="009A7163">
        <w:t xml:space="preserve">. </w:t>
      </w:r>
      <w:r w:rsidR="005530CC" w:rsidRPr="009A7163">
        <w:t xml:space="preserve">If participatory development is explicitly concerned with </w:t>
      </w:r>
      <w:r w:rsidR="00181E66" w:rsidRPr="009A7163">
        <w:t xml:space="preserve">the </w:t>
      </w:r>
      <w:r w:rsidR="005530CC" w:rsidRPr="009A7163">
        <w:t xml:space="preserve">effects of inequality, it is crucial that gender inequalities are addressed. </w:t>
      </w:r>
      <w:r w:rsidR="00F37B6B" w:rsidRPr="009A7163">
        <w:t xml:space="preserve">My aim was to enable the research participants to analyse their own </w:t>
      </w:r>
      <w:r w:rsidR="0026279B" w:rsidRPr="009A7163">
        <w:t>realities and hopefully catalyse</w:t>
      </w:r>
      <w:r w:rsidR="0065424E" w:rsidRPr="009A7163">
        <w:t xml:space="preserve"> a </w:t>
      </w:r>
      <w:r w:rsidR="0026279B" w:rsidRPr="009A7163">
        <w:t>process</w:t>
      </w:r>
      <w:r w:rsidR="0065424E" w:rsidRPr="009A7163">
        <w:t xml:space="preserve"> that led to new forms of awareness of their situation and </w:t>
      </w:r>
      <w:r w:rsidR="0026279B" w:rsidRPr="009A7163">
        <w:t>language to talk about their realities</w:t>
      </w:r>
      <w:r w:rsidR="0065424E" w:rsidRPr="009A7163">
        <w:t>.</w:t>
      </w:r>
      <w:r w:rsidR="00A04D4F" w:rsidRPr="009A7163">
        <w:t xml:space="preserve"> </w:t>
      </w:r>
      <w:r w:rsidR="00C95810" w:rsidRPr="009A7163">
        <w:t xml:space="preserve">Cornwall </w:t>
      </w:r>
      <w:r w:rsidR="00181E66" w:rsidRPr="009A7163">
        <w:t xml:space="preserve">(1999), </w:t>
      </w:r>
      <w:r w:rsidR="00141F1A" w:rsidRPr="009A7163">
        <w:t>however</w:t>
      </w:r>
      <w:r w:rsidR="00181E66" w:rsidRPr="009A7163">
        <w:t>,</w:t>
      </w:r>
      <w:r w:rsidR="00141F1A" w:rsidRPr="009A7163">
        <w:t xml:space="preserve"> </w:t>
      </w:r>
      <w:r w:rsidR="00C95810" w:rsidRPr="009A7163">
        <w:t xml:space="preserve">advises: </w:t>
      </w:r>
      <w:r w:rsidR="00181E66" w:rsidRPr="009A7163">
        <w:t>‘</w:t>
      </w:r>
      <w:r w:rsidR="00C95810" w:rsidRPr="009A7163">
        <w:t xml:space="preserve">PRA [participatory rural appraisal] becomes </w:t>
      </w:r>
      <w:r w:rsidR="00181E66" w:rsidRPr="009A7163">
        <w:t>“</w:t>
      </w:r>
      <w:r w:rsidR="00C95810" w:rsidRPr="009A7163">
        <w:t>participatory</w:t>
      </w:r>
      <w:r w:rsidR="00181E66" w:rsidRPr="009A7163">
        <w:t>”</w:t>
      </w:r>
      <w:r w:rsidR="00C95810" w:rsidRPr="009A7163">
        <w:t xml:space="preserve"> in a political sense, only when allied with the explicit aim of bringing about changes that transform current inequalities</w:t>
      </w:r>
      <w:r w:rsidR="00181E66" w:rsidRPr="009A7163">
        <w:t>’</w:t>
      </w:r>
      <w:r w:rsidR="00C95810" w:rsidRPr="009A7163">
        <w:t xml:space="preserve"> (</w:t>
      </w:r>
      <w:r w:rsidR="00181E66" w:rsidRPr="009A7163">
        <w:t>p</w:t>
      </w:r>
      <w:r w:rsidR="00C95810" w:rsidRPr="009A7163">
        <w:t>.</w:t>
      </w:r>
      <w:r w:rsidR="00181E66" w:rsidRPr="009A7163">
        <w:t xml:space="preserve"> </w:t>
      </w:r>
      <w:r w:rsidR="00C95810" w:rsidRPr="009A7163">
        <w:t xml:space="preserve">47). I </w:t>
      </w:r>
      <w:r w:rsidR="005530CC" w:rsidRPr="009A7163">
        <w:t>choose to use a small selection of participatory methods: drama and visual diagram activities (on time use, agricultural calendar</w:t>
      </w:r>
      <w:r w:rsidR="00181E66" w:rsidRPr="009A7163">
        <w:t xml:space="preserve"> and the</w:t>
      </w:r>
      <w:r w:rsidR="005530CC" w:rsidRPr="009A7163">
        <w:t xml:space="preserve"> gendered division of labour) and group reflections to initiate a process of gender sensitization</w:t>
      </w:r>
      <w:r w:rsidR="00141F1A" w:rsidRPr="009A7163">
        <w:t xml:space="preserve"> as part of my methods</w:t>
      </w:r>
      <w:r w:rsidR="005530CC" w:rsidRPr="009A7163">
        <w:t>.</w:t>
      </w:r>
    </w:p>
    <w:p w14:paraId="6AF0C699" w14:textId="7A631810" w:rsidR="00A04D4F" w:rsidRPr="009A7163" w:rsidRDefault="002C707D" w:rsidP="00827FA1">
      <w:pPr>
        <w:spacing w:line="360" w:lineRule="auto"/>
        <w:ind w:firstLine="720"/>
        <w:jc w:val="both"/>
      </w:pPr>
      <w:r w:rsidRPr="009A7163">
        <w:t xml:space="preserve">I decided on a mixed-methods approach using both qualitative and quantitative methods </w:t>
      </w:r>
      <w:r w:rsidR="004C6415" w:rsidRPr="009A7163">
        <w:t>that has been</w:t>
      </w:r>
      <w:r w:rsidRPr="009A7163">
        <w:t xml:space="preserve"> more recentl</w:t>
      </w:r>
      <w:r w:rsidR="004C6415" w:rsidRPr="009A7163">
        <w:t xml:space="preserve">y </w:t>
      </w:r>
      <w:r w:rsidRPr="009A7163">
        <w:t>embraced in feminist research (Letherby, 2003; McLafferty, 1995</w:t>
      </w:r>
      <w:r w:rsidR="004C6415" w:rsidRPr="009A7163">
        <w:t>;</w:t>
      </w:r>
      <w:r w:rsidRPr="009A7163">
        <w:t xml:space="preserve"> Plummer and Sheppard, 2001). </w:t>
      </w:r>
      <w:r w:rsidR="003607E7" w:rsidRPr="009A7163">
        <w:t>Informed by arguments of feminist geographers such as Linda Peake</w:t>
      </w:r>
      <w:r w:rsidR="00F33861" w:rsidRPr="009A7163">
        <w:t>,</w:t>
      </w:r>
      <w:r w:rsidR="003607E7" w:rsidRPr="009A7163">
        <w:t xml:space="preserve"> I saw the value in </w:t>
      </w:r>
      <w:r w:rsidR="0089536B" w:rsidRPr="009A7163">
        <w:t xml:space="preserve">including </w:t>
      </w:r>
      <w:r w:rsidR="003607E7" w:rsidRPr="009A7163">
        <w:t xml:space="preserve">quantitative methods as a means </w:t>
      </w:r>
      <w:r w:rsidR="009709D1" w:rsidRPr="009A7163">
        <w:t>of extending</w:t>
      </w:r>
      <w:r w:rsidR="003607E7" w:rsidRPr="009A7163">
        <w:t xml:space="preserve"> my understanding of </w:t>
      </w:r>
      <w:r w:rsidR="004C6415" w:rsidRPr="009A7163">
        <w:t>unpaid care work</w:t>
      </w:r>
      <w:r w:rsidR="003607E7" w:rsidRPr="009A7163">
        <w:t xml:space="preserve"> </w:t>
      </w:r>
      <w:r w:rsidR="009709D1" w:rsidRPr="009A7163">
        <w:t xml:space="preserve">(UCW) </w:t>
      </w:r>
      <w:r w:rsidR="003607E7" w:rsidRPr="009A7163">
        <w:t xml:space="preserve">and </w:t>
      </w:r>
      <w:r w:rsidR="00145204" w:rsidRPr="009A7163">
        <w:t xml:space="preserve">also </w:t>
      </w:r>
      <w:r w:rsidR="003607E7" w:rsidRPr="009A7163">
        <w:t xml:space="preserve">provide the women participating in the study </w:t>
      </w:r>
      <w:r w:rsidR="00145204" w:rsidRPr="009A7163">
        <w:t>(</w:t>
      </w:r>
      <w:r w:rsidR="003607E7" w:rsidRPr="009A7163">
        <w:t>and their respective organizations</w:t>
      </w:r>
      <w:r w:rsidR="00145204" w:rsidRPr="009A7163">
        <w:t>)</w:t>
      </w:r>
      <w:r w:rsidR="003607E7" w:rsidRPr="009A7163">
        <w:t xml:space="preserve"> with numbers that could be of value. Peake (2008) </w:t>
      </w:r>
      <w:r w:rsidR="00682FBB" w:rsidRPr="009A7163">
        <w:t xml:space="preserve">warns </w:t>
      </w:r>
      <w:r w:rsidR="00770954" w:rsidRPr="009A7163">
        <w:t xml:space="preserve">that ‘feminists who can conduct only qualitative research are limited to asking only certain types of questions, those for </w:t>
      </w:r>
      <w:r w:rsidR="00770954" w:rsidRPr="009A7163">
        <w:lastRenderedPageBreak/>
        <w:t>which qualitative methods are appropriate; they can ask, for example about the nature of domestic violence but not about its extent’</w:t>
      </w:r>
      <w:r w:rsidR="009671FD" w:rsidRPr="009A7163">
        <w:t xml:space="preserve"> (p.</w:t>
      </w:r>
      <w:r w:rsidR="004C6415" w:rsidRPr="009A7163">
        <w:t xml:space="preserve"> </w:t>
      </w:r>
      <w:r w:rsidR="009671FD" w:rsidRPr="009A7163">
        <w:t xml:space="preserve">145). Peake </w:t>
      </w:r>
      <w:r w:rsidR="004C6415" w:rsidRPr="009A7163">
        <w:t xml:space="preserve">(2008) </w:t>
      </w:r>
      <w:r w:rsidR="009671FD" w:rsidRPr="009A7163">
        <w:t>also insists that ‘f</w:t>
      </w:r>
      <w:r w:rsidR="00027E44" w:rsidRPr="009A7163">
        <w:t>or those feminist geographers concerned with the social construction of knowledge there also needs to be a re-emphasizing of the links between activism, social change and research as opposed to a focus primarily on questions of feminist epistemology and the diversionary debate over quantitative</w:t>
      </w:r>
      <w:r w:rsidR="009671FD" w:rsidRPr="009A7163">
        <w:t xml:space="preserve"> versus qualitative research’ (p.</w:t>
      </w:r>
      <w:r w:rsidR="004C6415" w:rsidRPr="009A7163">
        <w:t xml:space="preserve"> </w:t>
      </w:r>
      <w:r w:rsidR="00027E44" w:rsidRPr="009A7163">
        <w:t xml:space="preserve">146). </w:t>
      </w:r>
      <w:r w:rsidR="0089536B" w:rsidRPr="009A7163">
        <w:t xml:space="preserve">Resistance to using quantitative methods </w:t>
      </w:r>
      <w:r w:rsidR="00145204" w:rsidRPr="009A7163">
        <w:t>by Northern feminists</w:t>
      </w:r>
      <w:r w:rsidR="004C6415" w:rsidRPr="009A7163">
        <w:t>,</w:t>
      </w:r>
      <w:r w:rsidR="00145204" w:rsidRPr="009A7163">
        <w:t xml:space="preserve"> according to Peake</w:t>
      </w:r>
      <w:r w:rsidR="004C6415" w:rsidRPr="009A7163">
        <w:t>,</w:t>
      </w:r>
      <w:r w:rsidR="00145204" w:rsidRPr="009A7163">
        <w:t xml:space="preserve"> is largely </w:t>
      </w:r>
      <w:r w:rsidR="000977D2" w:rsidRPr="009A7163">
        <w:t xml:space="preserve">in ignorance of the situation </w:t>
      </w:r>
      <w:r w:rsidR="004C6415" w:rsidRPr="009A7163">
        <w:t>faced by</w:t>
      </w:r>
      <w:r w:rsidR="000977D2" w:rsidRPr="009A7163">
        <w:t xml:space="preserve"> grassroots women's </w:t>
      </w:r>
      <w:r w:rsidR="0089536B" w:rsidRPr="009A7163">
        <w:t>organizations in the South f</w:t>
      </w:r>
      <w:r w:rsidR="000977D2" w:rsidRPr="009A7163">
        <w:t xml:space="preserve">or whom research funding is often tied </w:t>
      </w:r>
      <w:r w:rsidR="00145204" w:rsidRPr="009A7163">
        <w:t>to</w:t>
      </w:r>
      <w:r w:rsidR="000977D2" w:rsidRPr="009A7163">
        <w:t xml:space="preserve"> </w:t>
      </w:r>
      <w:r w:rsidR="00145204" w:rsidRPr="009A7163">
        <w:t>the</w:t>
      </w:r>
      <w:r w:rsidR="000977D2" w:rsidRPr="009A7163">
        <w:t xml:space="preserve"> </w:t>
      </w:r>
      <w:r w:rsidR="00145204" w:rsidRPr="009A7163">
        <w:t>production of quantified data (</w:t>
      </w:r>
      <w:r w:rsidR="001A68A8" w:rsidRPr="009A7163">
        <w:t>ibid)</w:t>
      </w:r>
      <w:r w:rsidR="00145204" w:rsidRPr="009A7163">
        <w:t xml:space="preserve">. </w:t>
      </w:r>
    </w:p>
    <w:p w14:paraId="450A46C4" w14:textId="525B7D74" w:rsidR="000977D2" w:rsidRPr="009A7163" w:rsidRDefault="00A04D4F" w:rsidP="00827FA1">
      <w:pPr>
        <w:spacing w:line="360" w:lineRule="auto"/>
        <w:ind w:firstLine="720"/>
        <w:jc w:val="both"/>
      </w:pPr>
      <w:r w:rsidRPr="009A7163">
        <w:t>Whilst I valued Peake’s perspective on making research fit the needs of the participants, I choose a mixed</w:t>
      </w:r>
      <w:r w:rsidR="004C6415" w:rsidRPr="009A7163">
        <w:t>-</w:t>
      </w:r>
      <w:r w:rsidRPr="009A7163">
        <w:t xml:space="preserve">methods approach. </w:t>
      </w:r>
      <w:r w:rsidR="00E96DF6" w:rsidRPr="009A7163">
        <w:t>I value qualitat</w:t>
      </w:r>
      <w:r w:rsidR="001F19F5" w:rsidRPr="009A7163">
        <w:t xml:space="preserve">ive methods </w:t>
      </w:r>
      <w:r w:rsidR="00E96DF6" w:rsidRPr="009A7163">
        <w:t>for their exploratory nature and the insights that they provide</w:t>
      </w:r>
      <w:r w:rsidR="004C6415" w:rsidRPr="009A7163">
        <w:t>. I also value</w:t>
      </w:r>
      <w:r w:rsidR="00E96DF6" w:rsidRPr="009A7163">
        <w:t xml:space="preserve"> </w:t>
      </w:r>
      <w:r w:rsidR="003556B3" w:rsidRPr="009A7163">
        <w:t>quantitative</w:t>
      </w:r>
      <w:r w:rsidR="00E96DF6" w:rsidRPr="009A7163">
        <w:t xml:space="preserve"> research methods</w:t>
      </w:r>
      <w:r w:rsidR="004C6415" w:rsidRPr="009A7163">
        <w:t>,</w:t>
      </w:r>
      <w:r w:rsidR="00E96DF6" w:rsidRPr="009A7163">
        <w:t xml:space="preserve"> </w:t>
      </w:r>
      <w:r w:rsidR="00827FA1" w:rsidRPr="009A7163">
        <w:t xml:space="preserve">as they produce data </w:t>
      </w:r>
      <w:r w:rsidR="004C6415" w:rsidRPr="009A7163">
        <w:t>that</w:t>
      </w:r>
      <w:r w:rsidR="00827FA1" w:rsidRPr="009A7163">
        <w:t xml:space="preserve"> </w:t>
      </w:r>
      <w:r w:rsidR="00E96DF6" w:rsidRPr="009A7163">
        <w:t xml:space="preserve">can be used to quantify the problem </w:t>
      </w:r>
      <w:r w:rsidR="00827FA1" w:rsidRPr="009A7163">
        <w:t>and later t</w:t>
      </w:r>
      <w:r w:rsidR="00E96DF6" w:rsidRPr="009A7163">
        <w:t xml:space="preserve">ransformed into usable statistics. </w:t>
      </w:r>
      <w:r w:rsidR="00D5377B" w:rsidRPr="009A7163">
        <w:t>N</w:t>
      </w:r>
      <w:r w:rsidR="009F6C2D" w:rsidRPr="009A7163">
        <w:t>umbers can help campaign for political change and</w:t>
      </w:r>
      <w:r w:rsidR="004C6415" w:rsidRPr="009A7163">
        <w:t>,</w:t>
      </w:r>
      <w:r w:rsidR="009F6C2D" w:rsidRPr="009A7163">
        <w:t xml:space="preserve"> in the field of business</w:t>
      </w:r>
      <w:r w:rsidR="004C6415" w:rsidRPr="009A7163">
        <w:t>,</w:t>
      </w:r>
      <w:r w:rsidR="009F6C2D" w:rsidRPr="009A7163">
        <w:t xml:space="preserve"> help to address and negotiate fairness. </w:t>
      </w:r>
      <w:r w:rsidR="00827FA1" w:rsidRPr="009A7163">
        <w:t xml:space="preserve">So, for these </w:t>
      </w:r>
      <w:r w:rsidR="003556B3" w:rsidRPr="009A7163">
        <w:t>reasons</w:t>
      </w:r>
      <w:r w:rsidR="00827FA1" w:rsidRPr="009A7163">
        <w:t xml:space="preserve"> I found mixed methods the most appropriate for my case studies. Furthermore, </w:t>
      </w:r>
      <w:r w:rsidR="00145204" w:rsidRPr="009A7163">
        <w:t>I hoped that my research methods would be sensitive to the different stakeh</w:t>
      </w:r>
      <w:r w:rsidR="00276249" w:rsidRPr="009A7163">
        <w:t xml:space="preserve">olders involved </w:t>
      </w:r>
      <w:r w:rsidR="00145204" w:rsidRPr="009A7163">
        <w:t>and that my research questions would not be limiting.</w:t>
      </w:r>
      <w:r w:rsidR="005B7C69" w:rsidRPr="009A7163">
        <w:t xml:space="preserve"> For this </w:t>
      </w:r>
      <w:r w:rsidR="00EF7593" w:rsidRPr="009A7163">
        <w:t>reason,</w:t>
      </w:r>
      <w:r w:rsidR="005B7C69" w:rsidRPr="009A7163">
        <w:t xml:space="preserve"> my research questions and methodo</w:t>
      </w:r>
      <w:r w:rsidR="00276249" w:rsidRPr="009A7163">
        <w:t xml:space="preserve">logical decisions </w:t>
      </w:r>
      <w:r w:rsidR="008F00F5" w:rsidRPr="009A7163">
        <w:t xml:space="preserve">were designed </w:t>
      </w:r>
      <w:r w:rsidR="005B7C69" w:rsidRPr="009A7163">
        <w:t xml:space="preserve">with the needs of the research participants in the Global South, the </w:t>
      </w:r>
      <w:r w:rsidR="00EF7593" w:rsidRPr="009A7163">
        <w:t>B</w:t>
      </w:r>
      <w:r w:rsidR="004C6415" w:rsidRPr="009A7163">
        <w:t xml:space="preserve">ody </w:t>
      </w:r>
      <w:r w:rsidR="00EF7593" w:rsidRPr="009A7163">
        <w:t>S</w:t>
      </w:r>
      <w:r w:rsidR="004C6415" w:rsidRPr="009A7163">
        <w:t xml:space="preserve">hop </w:t>
      </w:r>
      <w:r w:rsidR="00EF7593" w:rsidRPr="009A7163">
        <w:t>I</w:t>
      </w:r>
      <w:r w:rsidR="004C6415" w:rsidRPr="009A7163">
        <w:t>nternational (BSI)</w:t>
      </w:r>
      <w:r w:rsidR="00EF7593" w:rsidRPr="009A7163">
        <w:t xml:space="preserve"> and academic rigo</w:t>
      </w:r>
      <w:r w:rsidR="00077CA5" w:rsidRPr="009A7163">
        <w:t>u</w:t>
      </w:r>
      <w:r w:rsidR="00EF7593" w:rsidRPr="009A7163">
        <w:t xml:space="preserve">r </w:t>
      </w:r>
      <w:r w:rsidR="005B7C69" w:rsidRPr="009A7163">
        <w:t>in the North</w:t>
      </w:r>
      <w:r w:rsidR="00276249" w:rsidRPr="009A7163">
        <w:t xml:space="preserve"> </w:t>
      </w:r>
      <w:r w:rsidR="008F00F5" w:rsidRPr="009A7163">
        <w:t>in mind and with the broader hope</w:t>
      </w:r>
      <w:r w:rsidR="00276249" w:rsidRPr="009A7163">
        <w:t xml:space="preserve"> that my research could be linked to </w:t>
      </w:r>
      <w:r w:rsidR="008F00F5" w:rsidRPr="009A7163">
        <w:t>activism</w:t>
      </w:r>
      <w:r w:rsidR="00276249" w:rsidRPr="009A7163">
        <w:t xml:space="preserve"> and social change</w:t>
      </w:r>
      <w:r w:rsidR="005B7C69" w:rsidRPr="009A7163">
        <w:t>.</w:t>
      </w:r>
      <w:r w:rsidR="00EF7593" w:rsidRPr="009A7163">
        <w:t xml:space="preserve"> I designed the research for the women</w:t>
      </w:r>
      <w:r w:rsidR="005A5E25" w:rsidRPr="009A7163">
        <w:t xml:space="preserve">: </w:t>
      </w:r>
      <w:r w:rsidR="001409EE" w:rsidRPr="009A7163">
        <w:t>firstly</w:t>
      </w:r>
      <w:r w:rsidR="001A68A8" w:rsidRPr="009A7163">
        <w:t>,</w:t>
      </w:r>
      <w:r w:rsidR="001409EE" w:rsidRPr="009A7163">
        <w:t xml:space="preserve"> for the participants of the scheme that may benefit </w:t>
      </w:r>
      <w:r w:rsidR="004B7B12" w:rsidRPr="009A7163">
        <w:t xml:space="preserve">immediately </w:t>
      </w:r>
      <w:r w:rsidR="001409EE" w:rsidRPr="009A7163">
        <w:t xml:space="preserve">from feedback given to </w:t>
      </w:r>
      <w:r w:rsidR="005A5E25" w:rsidRPr="009A7163">
        <w:t>BSI and</w:t>
      </w:r>
      <w:r w:rsidR="001A68A8" w:rsidRPr="009A7163">
        <w:t>, secondly,</w:t>
      </w:r>
      <w:r w:rsidR="005A5E25" w:rsidRPr="009A7163">
        <w:t xml:space="preserve"> then for future participants</w:t>
      </w:r>
      <w:r w:rsidR="001409EE" w:rsidRPr="009A7163">
        <w:t xml:space="preserve"> who may eventually benefit </w:t>
      </w:r>
      <w:r w:rsidR="00064DAA" w:rsidRPr="009A7163">
        <w:t>if policy</w:t>
      </w:r>
      <w:r w:rsidR="001409EE" w:rsidRPr="009A7163">
        <w:t xml:space="preserve"> changes took place.</w:t>
      </w:r>
      <w:r w:rsidR="004B7B12" w:rsidRPr="009A7163">
        <w:t xml:space="preserve"> Overall,</w:t>
      </w:r>
      <w:r w:rsidR="001409EE" w:rsidRPr="009A7163">
        <w:t xml:space="preserve"> I</w:t>
      </w:r>
      <w:r w:rsidR="00EF7593" w:rsidRPr="009A7163">
        <w:t xml:space="preserve"> hoped that the research results would provide important insights for the initiative and other similar pricing models</w:t>
      </w:r>
      <w:r w:rsidR="00222933" w:rsidRPr="009A7163">
        <w:t xml:space="preserve"> going forward</w:t>
      </w:r>
      <w:r w:rsidR="00EF7593" w:rsidRPr="009A7163">
        <w:t>.</w:t>
      </w:r>
    </w:p>
    <w:p w14:paraId="5A81A377" w14:textId="7B2900D9" w:rsidR="002C707D" w:rsidRPr="009A7163" w:rsidRDefault="002C707D" w:rsidP="002C707D">
      <w:pPr>
        <w:spacing w:line="360" w:lineRule="auto"/>
        <w:ind w:firstLine="720"/>
        <w:jc w:val="both"/>
      </w:pPr>
      <w:r w:rsidRPr="009A7163">
        <w:t xml:space="preserve">My choice of research methods was informed and sensitive to context. If my research was to investigate how women’s realities operate in a gendered society by locating myself in this context and acknowledging the interplay and layers of power, I was conscious of what was realistic and what I could achieve both as researcher and ‘outsider’, and also with women in rural areas. My priority was not to raise expectations or do any harm. Nicaragua has suffered years of ambitious development projects, small and large, that have made promises, raised expectations and left the beneficiaries </w:t>
      </w:r>
      <w:r w:rsidRPr="009A7163">
        <w:lastRenderedPageBreak/>
        <w:t>frustrated. It is also important to distinguish between a ‘situation of empowerment’ (participatory methods may create opportunities for empowerment) versus an ‘empowering situation’ (enable women to take control), and so whilst participatory methods ‘may create opportunities for empowerment, they are not automatically empowering’ and in some cases can cause a backlash that can further disempower if particular sensitive subjects are addressed (e.g. violence, alcohol abuse) but women are unlikely to resolve (Guijt and Shah</w:t>
      </w:r>
      <w:r w:rsidR="00B65473" w:rsidRPr="009A7163">
        <w:t>,</w:t>
      </w:r>
      <w:r w:rsidRPr="009A7163">
        <w:t xml:space="preserve"> 1999, p. 29).</w:t>
      </w:r>
    </w:p>
    <w:p w14:paraId="3A68FEB9" w14:textId="5B2566B1" w:rsidR="002C707D" w:rsidRPr="009A7163" w:rsidRDefault="002C707D" w:rsidP="002C707D">
      <w:pPr>
        <w:spacing w:line="360" w:lineRule="auto"/>
        <w:ind w:firstLine="720"/>
        <w:jc w:val="both"/>
      </w:pPr>
      <w:r w:rsidRPr="009A7163">
        <w:t xml:space="preserve">Furthermore, if the subject of my research was unpaid work and how women spend their time, a very delicate aspect of this was people’s time. I did, however, consult with other local feminist practitioners on the design and content of my methods extensively before and during the fieldwork. In the early stages of pre-fieldwork and then in the pilot, I consulted with feminist author and popular education theorist, Helen Dixon, who is a British-Nicaraguan feminist writer and translator, development consultant and social movement activist with 25 years of experience working in Nicaragua and with Latin America and the Caribbean women's networks. I also consulted with international time-use survey specialist from South Africa, Debbie Budlander, and local geographer, Dr. Adalila Molina Membreño, who is a survey and GPS expert from the </w:t>
      </w:r>
      <w:r w:rsidRPr="009A7163">
        <w:rPr>
          <w:i/>
        </w:rPr>
        <w:t xml:space="preserve">Centro De Investigacion En Sistemas De Informacion Geografica </w:t>
      </w:r>
      <w:r w:rsidRPr="009A7163">
        <w:t>(CSIG), which is part of the Nicaraguan National Autonomous University, León (UNAN-León). After this I worked with Fernanda Siles, a young Nicaraguan feminist sociologist and popular education expert, artist, and facilitator-multiplier of theatre for the oppressed, who participated in every stage of my research as my assistant (</w:t>
      </w:r>
      <w:r w:rsidR="00B65473" w:rsidRPr="009A7163">
        <w:t xml:space="preserve">including research </w:t>
      </w:r>
      <w:r w:rsidRPr="009A7163">
        <w:t xml:space="preserve">design, </w:t>
      </w:r>
      <w:r w:rsidR="00B65473" w:rsidRPr="009A7163">
        <w:t xml:space="preserve">data </w:t>
      </w:r>
      <w:r w:rsidRPr="009A7163">
        <w:t>collection</w:t>
      </w:r>
      <w:r w:rsidR="00B65473" w:rsidRPr="009A7163">
        <w:t>/</w:t>
      </w:r>
      <w:r w:rsidRPr="009A7163">
        <w:t>analysis, and presentation). Finally, I regularly consulted with the gender coordinators and managers from each cooperative in the case studies throughout the fieldwork.</w:t>
      </w:r>
    </w:p>
    <w:p w14:paraId="5DF89109" w14:textId="1DB495FF" w:rsidR="002C707D" w:rsidRPr="009A7163" w:rsidRDefault="002C707D" w:rsidP="00C0163B">
      <w:pPr>
        <w:spacing w:line="360" w:lineRule="auto"/>
        <w:ind w:firstLine="720"/>
        <w:jc w:val="both"/>
      </w:pPr>
      <w:r w:rsidRPr="009A7163">
        <w:t>In terms of challenging more conventional ways of collecting data, I modified the quantitative methods used (specifically surveys, both household and time use), which in the past were criticised as not being feminist because of their supposed scientific objectivity, value neutrality and for their ‘disembodied nature</w:t>
      </w:r>
      <w:r w:rsidR="00FE5EB3" w:rsidRPr="009A7163">
        <w:t>…</w:t>
      </w:r>
      <w:r w:rsidRPr="009A7163">
        <w:t xml:space="preserve">[in]capable of reflecting the complexity and richness of women’s lives’ (Kwan, 2001, p. 3). Surveys were chosen because of their usefulness for ‘providing a broad “picture” of the social, spatial, or temporal inequalities women experienced at various spatial scales’ and because the ‘results of quantitative analysis are often more forceful in political discourse than qualitative data’ (Kwan, 2001, p. 8). In my </w:t>
      </w:r>
      <w:r w:rsidR="000426CC" w:rsidRPr="009A7163">
        <w:t>quantitative</w:t>
      </w:r>
      <w:r w:rsidRPr="009A7163">
        <w:t xml:space="preserve"> methods</w:t>
      </w:r>
      <w:r w:rsidR="001A68A8" w:rsidRPr="009A7163">
        <w:t>,</w:t>
      </w:r>
      <w:r w:rsidRPr="009A7163">
        <w:t xml:space="preserve"> where </w:t>
      </w:r>
      <w:r w:rsidRPr="009A7163">
        <w:lastRenderedPageBreak/>
        <w:t xml:space="preserve">I used </w:t>
      </w:r>
      <w:r w:rsidR="00B65473" w:rsidRPr="009A7163">
        <w:t>h</w:t>
      </w:r>
      <w:r w:rsidRPr="009A7163">
        <w:t>ousehold surveys, I added participatory elements whereby the women used beans to represent decision making in relation to income and by later modifying a standard time use survey</w:t>
      </w:r>
      <w:r w:rsidR="008724E3" w:rsidRPr="009A7163">
        <w:t xml:space="preserve"> (TUS)</w:t>
      </w:r>
      <w:r w:rsidRPr="009A7163">
        <w:t xml:space="preserve"> to become a visual tool named the ‘Time Use Visualisation Instrument</w:t>
      </w:r>
      <w:r w:rsidR="001A68A8" w:rsidRPr="009A7163">
        <w:t>’</w:t>
      </w:r>
      <w:r w:rsidRPr="009A7163">
        <w:t xml:space="preserve"> (TUVI)</w:t>
      </w:r>
      <w:r w:rsidR="00454CAE" w:rsidRPr="009A7163">
        <w:t>.</w:t>
      </w:r>
      <w:r w:rsidR="00B65473" w:rsidRPr="009A7163">
        <w:t xml:space="preserve"> </w:t>
      </w:r>
      <w:r w:rsidRPr="009A7163">
        <w:t>Getting local people to create their own statistics through counting in innovative ways (be it through beans or drawing time) rather than administered surveys is something that Chambers (2007) proposes in his persuasive paper ‘</w:t>
      </w:r>
      <w:r w:rsidRPr="009A7163">
        <w:rPr>
          <w:iCs/>
        </w:rPr>
        <w:t>The Quiet Revolution of Participatory Numbers</w:t>
      </w:r>
      <w:r w:rsidRPr="009A7163">
        <w:t>’. This was an area that caught my attention as my research developed and I observed how counting and visualising prompted questions and self-reflection among the participants around time use and gendered roles.</w:t>
      </w:r>
      <w:r w:rsidR="00D92CD6" w:rsidRPr="009A7163">
        <w:t xml:space="preserve"> </w:t>
      </w:r>
      <w:r w:rsidR="007F59B3" w:rsidRPr="009A7163">
        <w:t>T</w:t>
      </w:r>
      <w:r w:rsidR="00166B06" w:rsidRPr="009A7163">
        <w:t xml:space="preserve">he modifications that I made to the TUS </w:t>
      </w:r>
      <w:r w:rsidR="00C0163B" w:rsidRPr="009A7163">
        <w:t>became an</w:t>
      </w:r>
      <w:r w:rsidR="00166B06" w:rsidRPr="009A7163">
        <w:t xml:space="preserve"> importan</w:t>
      </w:r>
      <w:r w:rsidR="00C0163B" w:rsidRPr="009A7163">
        <w:t>t part of fieldwork as the method of asking and recording time influences the extent to which unpaid work is identified (Budlender, 2007, p.</w:t>
      </w:r>
      <w:r w:rsidR="00B65473" w:rsidRPr="009A7163">
        <w:t xml:space="preserve"> </w:t>
      </w:r>
      <w:r w:rsidR="00C0163B" w:rsidRPr="009A7163">
        <w:t>6)</w:t>
      </w:r>
      <w:r w:rsidR="00B65473" w:rsidRPr="009A7163">
        <w:t>,</w:t>
      </w:r>
      <w:r w:rsidR="00C0163B" w:rsidRPr="009A7163">
        <w:t xml:space="preserve"> and how people speak about time.</w:t>
      </w:r>
      <w:r w:rsidR="002C5CB1" w:rsidRPr="009A7163">
        <w:t xml:space="preserve"> By deleting the boxes, creating a large circle and handing the pen to the women</w:t>
      </w:r>
      <w:r w:rsidR="004B3334" w:rsidRPr="009A7163">
        <w:t>,</w:t>
      </w:r>
      <w:r w:rsidR="002C5CB1" w:rsidRPr="009A7163">
        <w:t xml:space="preserve"> time was recalled and discussed often in a non-linear and contextual way.</w:t>
      </w:r>
      <w:r w:rsidR="00F33861" w:rsidRPr="009A7163">
        <w:t xml:space="preserve"> This change in methodology created a space to reflect</w:t>
      </w:r>
      <w:r w:rsidR="00B65473" w:rsidRPr="009A7163">
        <w:t>,</w:t>
      </w:r>
      <w:r w:rsidR="00F33861" w:rsidRPr="009A7163">
        <w:t xml:space="preserve"> and instead of being limited by the method, the method opened up space to discuss time and reflect in a more organic way.</w:t>
      </w:r>
    </w:p>
    <w:p w14:paraId="674AF50B" w14:textId="5DBE56DD" w:rsidR="007F59B3" w:rsidRPr="009A7163" w:rsidRDefault="002C707D" w:rsidP="00706290">
      <w:pPr>
        <w:spacing w:line="360" w:lineRule="auto"/>
        <w:ind w:firstLine="720"/>
        <w:jc w:val="both"/>
      </w:pPr>
      <w:r w:rsidRPr="009A7163">
        <w:t>Thirdly, my research was concerned with issues of broader social change and social justice (Fonow and Cook</w:t>
      </w:r>
      <w:r w:rsidR="00B65473" w:rsidRPr="009A7163">
        <w:t>,</w:t>
      </w:r>
      <w:r w:rsidRPr="009A7163">
        <w:t xml:space="preserve"> 1991, 2005).</w:t>
      </w:r>
      <w:r w:rsidR="00DF77E7" w:rsidRPr="009A7163">
        <w:t xml:space="preserve"> </w:t>
      </w:r>
      <w:r w:rsidRPr="009A7163">
        <w:t>More specifically, the approach to this study was that of ‘feminist research practice’ (Kelly, 1988), which is character</w:t>
      </w:r>
      <w:r w:rsidR="00C95A06" w:rsidRPr="009A7163">
        <w:t>ise</w:t>
      </w:r>
      <w:r w:rsidRPr="009A7163">
        <w:t xml:space="preserve">d by the questions feminists ask, the location of the researcher in the process of the research and in theorizing and the intended purpose of the work (Letherby, 2003). The objective of my research was to evaluate the extent of women’s unpaid work and its consequences, as well as the pricing scheme and whether it empowers women through its focus on payments going to WEE projects. </w:t>
      </w:r>
      <w:r w:rsidR="00D05DAD" w:rsidRPr="009A7163">
        <w:t>The research methodologies</w:t>
      </w:r>
      <w:r w:rsidR="00DF77E7" w:rsidRPr="009A7163">
        <w:t xml:space="preserve"> that I chose and the questions that I asked allowed both </w:t>
      </w:r>
      <w:r w:rsidR="007F59B3" w:rsidRPr="009A7163">
        <w:t>myself and the participant</w:t>
      </w:r>
      <w:r w:rsidR="00DF77E7" w:rsidRPr="009A7163">
        <w:t xml:space="preserve"> to explore time use, work and its relation to broader structures of social change. </w:t>
      </w:r>
      <w:r w:rsidR="00896212" w:rsidRPr="009A7163">
        <w:t>The reflections that occurred through the research process</w:t>
      </w:r>
      <w:r w:rsidR="007F59B3" w:rsidRPr="009A7163">
        <w:t xml:space="preserve"> happened alongside </w:t>
      </w:r>
      <w:r w:rsidR="00896212" w:rsidRPr="009A7163">
        <w:t>the implementation of the initiative</w:t>
      </w:r>
      <w:r w:rsidR="007F59B3" w:rsidRPr="009A7163">
        <w:t>.</w:t>
      </w:r>
      <w:r w:rsidR="00365698" w:rsidRPr="009A7163">
        <w:t xml:space="preserve"> </w:t>
      </w:r>
      <w:r w:rsidR="00706290" w:rsidRPr="009A7163">
        <w:t xml:space="preserve">Thus, the changes in perceptions around roles reported by the women happened as a result of the repeated TUS interviews and not through an explicit </w:t>
      </w:r>
      <w:r w:rsidR="00B65473" w:rsidRPr="009A7163">
        <w:t>‘</w:t>
      </w:r>
      <w:r w:rsidR="00706290" w:rsidRPr="009A7163">
        <w:t xml:space="preserve">consciousness raising’ element of the initiative </w:t>
      </w:r>
      <w:r w:rsidR="00B65473" w:rsidRPr="009A7163">
        <w:t>that</w:t>
      </w:r>
      <w:r w:rsidR="00706290" w:rsidRPr="009A7163">
        <w:t xml:space="preserve"> had not been contemplated in the design and implementation of the initiative</w:t>
      </w:r>
      <w:r w:rsidR="00706290" w:rsidRPr="009A7163">
        <w:rPr>
          <w:rStyle w:val="CommentReference"/>
          <w:rFonts w:asciiTheme="minorHAnsi" w:eastAsiaTheme="minorEastAsia" w:hAnsiTheme="minorHAnsi" w:cstheme="minorBidi"/>
          <w:lang w:val="en-US"/>
        </w:rPr>
        <w:t>.</w:t>
      </w:r>
      <w:r w:rsidR="00706290" w:rsidRPr="009A7163">
        <w:t xml:space="preserve"> So, w</w:t>
      </w:r>
      <w:r w:rsidR="00365698" w:rsidRPr="009A7163">
        <w:t xml:space="preserve">hilst the </w:t>
      </w:r>
      <w:r w:rsidR="001F4E0F" w:rsidRPr="009A7163">
        <w:t xml:space="preserve">initiative focused on making </w:t>
      </w:r>
      <w:r w:rsidR="006A1E44" w:rsidRPr="009A7163">
        <w:t>the price of women’s labour visible to buyers</w:t>
      </w:r>
      <w:r w:rsidR="001E2E23" w:rsidRPr="009A7163">
        <w:t xml:space="preserve"> by including women</w:t>
      </w:r>
      <w:r w:rsidR="001A68A8" w:rsidRPr="009A7163">
        <w:t>’</w:t>
      </w:r>
      <w:r w:rsidR="001E2E23" w:rsidRPr="009A7163">
        <w:t>s work in the price structure</w:t>
      </w:r>
      <w:r w:rsidR="001F4E0F" w:rsidRPr="009A7163">
        <w:t xml:space="preserve">, my research aim </w:t>
      </w:r>
      <w:r w:rsidR="00987F9E" w:rsidRPr="009A7163">
        <w:t xml:space="preserve">was </w:t>
      </w:r>
      <w:r w:rsidR="001F4E0F" w:rsidRPr="009A7163">
        <w:t xml:space="preserve">to investigate </w:t>
      </w:r>
      <w:r w:rsidR="001A68A8" w:rsidRPr="009A7163">
        <w:t>the</w:t>
      </w:r>
      <w:r w:rsidR="001F4E0F" w:rsidRPr="009A7163">
        <w:t xml:space="preserve"> changes </w:t>
      </w:r>
      <w:r w:rsidR="001A68A8" w:rsidRPr="009A7163">
        <w:t>that the women</w:t>
      </w:r>
      <w:r w:rsidR="00BF0A4A" w:rsidRPr="009A7163">
        <w:t xml:space="preserve"> involved</w:t>
      </w:r>
      <w:r w:rsidR="00706290" w:rsidRPr="009A7163">
        <w:t xml:space="preserve"> </w:t>
      </w:r>
      <w:r w:rsidR="001A68A8" w:rsidRPr="009A7163">
        <w:t xml:space="preserve">experienced </w:t>
      </w:r>
      <w:r w:rsidR="00706290" w:rsidRPr="009A7163">
        <w:t>and evaluate how the pricing model</w:t>
      </w:r>
      <w:r w:rsidR="00B65473" w:rsidRPr="009A7163">
        <w:t xml:space="preserve"> worked</w:t>
      </w:r>
      <w:r w:rsidR="00706290" w:rsidRPr="009A7163">
        <w:t xml:space="preserve"> in practice</w:t>
      </w:r>
      <w:r w:rsidR="001F4E0F" w:rsidRPr="009A7163">
        <w:t>.</w:t>
      </w:r>
      <w:r w:rsidR="007F59B3" w:rsidRPr="009A7163">
        <w:t xml:space="preserve"> </w:t>
      </w:r>
    </w:p>
    <w:p w14:paraId="23E0DCAA" w14:textId="167F43A1" w:rsidR="002C707D" w:rsidRPr="009A7163" w:rsidRDefault="00153072" w:rsidP="00DF77E7">
      <w:pPr>
        <w:spacing w:line="360" w:lineRule="auto"/>
        <w:ind w:firstLine="720"/>
        <w:jc w:val="both"/>
      </w:pPr>
      <w:r w:rsidRPr="009A7163">
        <w:lastRenderedPageBreak/>
        <w:t>I</w:t>
      </w:r>
      <w:r w:rsidR="002C707D" w:rsidRPr="009A7163">
        <w:t xml:space="preserve">n order to maintain a commitment to feminism in theory and in practice, choices about methods were made by taking into account the relationship between knowing and doing and between the process and product (for further discussion on this, see Letherby, 2003). Reflecting on the choice of research methods was important because, as some writers suggest, too much detail has been given to the </w:t>
      </w:r>
      <w:r w:rsidR="00A04D4F" w:rsidRPr="009A7163">
        <w:t>principals</w:t>
      </w:r>
      <w:r w:rsidR="002C707D" w:rsidRPr="009A7163">
        <w:t xml:space="preserve"> involved in feminist research and knowledge production</w:t>
      </w:r>
      <w:r w:rsidR="00E24676" w:rsidRPr="009A7163">
        <w:t>,</w:t>
      </w:r>
      <w:r w:rsidR="002C707D" w:rsidRPr="009A7163">
        <w:t xml:space="preserve"> and not enough focus has been given to exploring the dynamics of actually doing it in the field (Maynard and Purvis, 1994). Thus, the rationale behind the research design comes from this positionality. In practice, this meant that I positioned myself as a ‘non-judgemental’ listener, a ‘non-expert’ whilst being experienced and knowledgeable on the subject of the interview, which is important. I saw the research as an interactive process and the research participants as </w:t>
      </w:r>
      <w:r w:rsidR="002A1D22" w:rsidRPr="009A7163">
        <w:t>participants</w:t>
      </w:r>
      <w:r w:rsidR="002C707D" w:rsidRPr="009A7163">
        <w:t xml:space="preserve"> and not objects of my research. I was aware of focusing on similarities and creating a rapport with research participants. I made the interview spaces collaborative and asked interviewees at the end if they had any questions or wanted to ask m</w:t>
      </w:r>
      <w:r w:rsidR="00B65473" w:rsidRPr="009A7163">
        <w:t>e</w:t>
      </w:r>
      <w:r w:rsidR="002C707D" w:rsidRPr="009A7163">
        <w:t xml:space="preserve"> any questions </w:t>
      </w:r>
      <w:r w:rsidR="00B65473" w:rsidRPr="009A7163">
        <w:t>about</w:t>
      </w:r>
      <w:r w:rsidR="002C707D" w:rsidRPr="009A7163">
        <w:t xml:space="preserve"> my life. I also looked</w:t>
      </w:r>
      <w:r w:rsidR="00B65473" w:rsidRPr="009A7163">
        <w:t xml:space="preserve"> </w:t>
      </w:r>
      <w:r w:rsidR="002C707D" w:rsidRPr="009A7163">
        <w:t>for strategies to connect with the participants and took time to be in their home, often going for a tour of the house or coffee plantations and/or gardens. Whilst this took more of the participants time overall, these interactions were responses to offers from the women to show me around. I was aware of my non-verbal communication and positioning and so made sure I always sat at the same level, I would nod to show agreeance, and use probing questions to invite the interviewee to share more when I felt that intuitively he/she wanted to. In short, I tried to be aware of myself</w:t>
      </w:r>
      <w:r w:rsidR="006E3F97" w:rsidRPr="009A7163">
        <w:t xml:space="preserve"> and </w:t>
      </w:r>
      <w:r w:rsidR="002C707D" w:rsidRPr="009A7163">
        <w:t>my positionality</w:t>
      </w:r>
      <w:r w:rsidR="00E24676" w:rsidRPr="009A7163">
        <w:t xml:space="preserve"> and</w:t>
      </w:r>
      <w:r w:rsidR="002C707D" w:rsidRPr="009A7163">
        <w:t xml:space="preserve"> conscious of my b</w:t>
      </w:r>
      <w:r w:rsidR="007D4C5B" w:rsidRPr="009A7163">
        <w:t>ackground</w:t>
      </w:r>
      <w:r w:rsidR="002C707D" w:rsidRPr="009A7163">
        <w:t xml:space="preserve"> and tried at all times to be flexible, intuitive, open and non-judgemental. I kept women at the centre of the research and wanted to make sure it was grounded in their voice and lived experience. I shared with them my view that their experience and views are the source of my knowledge. Letherby (2003) argue</w:t>
      </w:r>
      <w:r w:rsidR="00E24676" w:rsidRPr="009A7163">
        <w:t>s</w:t>
      </w:r>
      <w:r w:rsidR="002C707D" w:rsidRPr="009A7163">
        <w:t xml:space="preserve"> that seeing things from the perspective of the respondent is a necessary aspect of feminist research, as feminist researchers must remain aware of their 'privileged position' within the relationship.</w:t>
      </w:r>
    </w:p>
    <w:p w14:paraId="047E29CC" w14:textId="0B77C9B3" w:rsidR="002C707D" w:rsidRPr="009A7163" w:rsidRDefault="002C707D" w:rsidP="002C707D">
      <w:pPr>
        <w:spacing w:line="360" w:lineRule="auto"/>
        <w:ind w:firstLine="720"/>
        <w:jc w:val="both"/>
      </w:pPr>
      <w:r w:rsidRPr="009A7163">
        <w:t>The fourth feminist characteristic in research practice is the acknowledgment of power. As Lennon and Whitford (1994) state</w:t>
      </w:r>
      <w:r w:rsidR="00E24676" w:rsidRPr="009A7163">
        <w:t>,</w:t>
      </w:r>
      <w:r w:rsidRPr="009A7163">
        <w:t xml:space="preserve"> ‘Feminism’s most compelling epistemological insight lies in the connections it has made between knowledge and power’ (p. 1). Thus, understanding power and reflexivity are critical components in feminist research and something that I was aware of from the beginning of the research </w:t>
      </w:r>
      <w:r w:rsidRPr="009A7163">
        <w:lastRenderedPageBreak/>
        <w:t>journey. Issues of power are played out in interaction and later the representations of those interactions. I have made sure where possible to reflect and be aware of assuming knowledge on and representing others’ voices. Code (1995) wrote:</w:t>
      </w:r>
    </w:p>
    <w:p w14:paraId="771627E2" w14:textId="1046F69E" w:rsidR="002C707D" w:rsidRPr="009A7163" w:rsidRDefault="002C707D" w:rsidP="007A3A29">
      <w:pPr>
        <w:spacing w:after="180"/>
        <w:ind w:left="720"/>
        <w:jc w:val="both"/>
      </w:pPr>
      <w:r w:rsidRPr="009A7163">
        <w:t xml:space="preserve">Only rarely can we presume to understand exactly how it is for someone else even of our own class, race, sexual orientation and social group. These issues become exacerbated when feminists claim to speak for others across the complexities of difference, with the consequences that the politics of speaking for, about, and on behalf of other women is one of the most contested areas in present day feminist activism and research. </w:t>
      </w:r>
      <w:r w:rsidR="006E3F97" w:rsidRPr="009A7163">
        <w:t>(p. 30)</w:t>
      </w:r>
    </w:p>
    <w:p w14:paraId="280512D2" w14:textId="765819AD" w:rsidR="002C707D" w:rsidRPr="009A7163" w:rsidRDefault="002C707D" w:rsidP="009D6293">
      <w:pPr>
        <w:spacing w:line="360" w:lineRule="auto"/>
        <w:ind w:firstLine="720"/>
        <w:jc w:val="both"/>
      </w:pPr>
      <w:r w:rsidRPr="009A7163">
        <w:t>As part of this understanding, ‘feminists now recognize that researchers and respondents have a “different and unequal relation to knowledge”’ (Glucksman, 1994, p. 150). More recently feminist researchers have considered how power influences knowledge production and construction processes</w:t>
      </w:r>
      <w:r w:rsidR="009D6293" w:rsidRPr="009A7163">
        <w:t>.</w:t>
      </w:r>
      <w:r w:rsidRPr="009A7163">
        <w:t xml:space="preserve"> Thus, it is imperative that researchers need to be reflexive about processes of interpretation and power and how methodology and epistemology intertwine</w:t>
      </w:r>
      <w:r w:rsidR="006E3F97" w:rsidRPr="009A7163">
        <w:t>,</w:t>
      </w:r>
      <w:r w:rsidRPr="009A7163">
        <w:t xml:space="preserve"> which </w:t>
      </w:r>
      <w:r w:rsidR="006E3F97" w:rsidRPr="009A7163">
        <w:t xml:space="preserve">according to Doucet et al. (2006) </w:t>
      </w:r>
      <w:r w:rsidRPr="009A7163">
        <w:t xml:space="preserve">requires a ‘responsible knowing and transparency’ </w:t>
      </w:r>
      <w:r w:rsidR="006E3F97" w:rsidRPr="009A7163">
        <w:t>(</w:t>
      </w:r>
      <w:r w:rsidR="009D6293" w:rsidRPr="009A7163">
        <w:t>p. 40)</w:t>
      </w:r>
      <w:r w:rsidR="006E3F97" w:rsidRPr="009A7163">
        <w:t>. They explain further:</w:t>
      </w:r>
      <w:r w:rsidR="009D6293" w:rsidRPr="009A7163">
        <w:t xml:space="preserve"> ‘The personal, political and ethical dilemmas that arise in negotiating the dynamic relations of power that structure and sustain the institutions and practices through which research knowledge is produced is becoming a key issue within feminist research debates’ (Doucet et al</w:t>
      </w:r>
      <w:r w:rsidR="006E3F97" w:rsidRPr="009A7163">
        <w:t>.</w:t>
      </w:r>
      <w:r w:rsidR="009D6293" w:rsidRPr="009A7163">
        <w:t>, 2006</w:t>
      </w:r>
      <w:r w:rsidR="006E3F97" w:rsidRPr="009A7163">
        <w:t xml:space="preserve">, </w:t>
      </w:r>
      <w:r w:rsidR="009D6293" w:rsidRPr="009A7163">
        <w:t xml:space="preserve">p. 41). </w:t>
      </w:r>
      <w:r w:rsidR="0056548A" w:rsidRPr="009A7163">
        <w:t xml:space="preserve">This was of particular importance to my work because of the ethical issues and </w:t>
      </w:r>
      <w:r w:rsidR="00693A87" w:rsidRPr="009A7163">
        <w:t xml:space="preserve">the complex relationships I was managing between </w:t>
      </w:r>
      <w:r w:rsidR="0056548A" w:rsidRPr="009A7163">
        <w:t>the buyers (</w:t>
      </w:r>
      <w:r w:rsidR="006E3F97" w:rsidRPr="009A7163">
        <w:t xml:space="preserve">e.g., </w:t>
      </w:r>
      <w:r w:rsidR="001B31D5" w:rsidRPr="009A7163">
        <w:t>BSI</w:t>
      </w:r>
      <w:r w:rsidR="0056548A" w:rsidRPr="009A7163">
        <w:t xml:space="preserve">, </w:t>
      </w:r>
      <w:r w:rsidR="006E3F97" w:rsidRPr="009A7163">
        <w:t>c</w:t>
      </w:r>
      <w:r w:rsidR="0056548A" w:rsidRPr="009A7163">
        <w:t>offee buyers), the cooperatives, the households</w:t>
      </w:r>
      <w:r w:rsidR="00E24676" w:rsidRPr="009A7163">
        <w:t>,</w:t>
      </w:r>
      <w:r w:rsidR="00693A87" w:rsidRPr="009A7163">
        <w:t xml:space="preserve"> participants </w:t>
      </w:r>
      <w:r w:rsidR="0056548A" w:rsidRPr="009A7163">
        <w:t xml:space="preserve">and myself as researcher funded by </w:t>
      </w:r>
      <w:r w:rsidR="0037646F" w:rsidRPr="009A7163">
        <w:t xml:space="preserve">both the </w:t>
      </w:r>
      <w:r w:rsidR="0056548A" w:rsidRPr="009A7163">
        <w:t>BS</w:t>
      </w:r>
      <w:r w:rsidR="001201CA" w:rsidRPr="009A7163">
        <w:t>I</w:t>
      </w:r>
      <w:r w:rsidR="0056548A" w:rsidRPr="009A7163">
        <w:t xml:space="preserve"> </w:t>
      </w:r>
      <w:r w:rsidR="0037646F" w:rsidRPr="009A7163">
        <w:t xml:space="preserve">and a </w:t>
      </w:r>
      <w:r w:rsidR="006E3F97" w:rsidRPr="009A7163">
        <w:t>r</w:t>
      </w:r>
      <w:r w:rsidR="0037646F" w:rsidRPr="009A7163">
        <w:t xml:space="preserve">esearch </w:t>
      </w:r>
      <w:r w:rsidR="006E3F97" w:rsidRPr="009A7163">
        <w:t>c</w:t>
      </w:r>
      <w:r w:rsidR="0037646F" w:rsidRPr="009A7163">
        <w:t xml:space="preserve">ouncil </w:t>
      </w:r>
      <w:r w:rsidR="0056548A" w:rsidRPr="009A7163">
        <w:t xml:space="preserve">and </w:t>
      </w:r>
      <w:r w:rsidR="00E24676" w:rsidRPr="009A7163">
        <w:t xml:space="preserve">an </w:t>
      </w:r>
      <w:r w:rsidR="0056548A" w:rsidRPr="009A7163">
        <w:t>ex-employee of both cooperatives and buyers.</w:t>
      </w:r>
      <w:r w:rsidR="00693A87" w:rsidRPr="009A7163">
        <w:t xml:space="preserve"> I acknowledged the complexity of these tensions at appropriate moments in the research process with the different groups of </w:t>
      </w:r>
      <w:r w:rsidR="00BF0A4A" w:rsidRPr="009A7163">
        <w:t>participants and</w:t>
      </w:r>
      <w:r w:rsidR="00693A87" w:rsidRPr="009A7163">
        <w:t xml:space="preserve"> maintained an open and respectful position</w:t>
      </w:r>
      <w:r w:rsidR="000A1428" w:rsidRPr="009A7163">
        <w:t>.</w:t>
      </w:r>
      <w:r w:rsidR="001201CA" w:rsidRPr="009A7163">
        <w:t xml:space="preserve"> For example, one time I was asked to mediate on a price issue with the farmers and buyer</w:t>
      </w:r>
      <w:r w:rsidR="006E3F97" w:rsidRPr="009A7163">
        <w:t>,</w:t>
      </w:r>
      <w:r w:rsidR="001201CA" w:rsidRPr="009A7163">
        <w:t xml:space="preserve"> and I had to remind the participants of my role as investigator. I offered to let the buyers know that the cooperative wanted to speak to them</w:t>
      </w:r>
      <w:r w:rsidR="006E3F97" w:rsidRPr="009A7163">
        <w:t>,</w:t>
      </w:r>
      <w:r w:rsidR="001201CA" w:rsidRPr="009A7163">
        <w:t xml:space="preserve"> but make it clear that I was unable to intervene or influence.</w:t>
      </w:r>
    </w:p>
    <w:p w14:paraId="65AFD6BB" w14:textId="0DD8216D" w:rsidR="002C707D" w:rsidRPr="009A7163" w:rsidRDefault="002C707D" w:rsidP="00E24676">
      <w:pPr>
        <w:spacing w:line="360" w:lineRule="auto"/>
        <w:ind w:firstLine="720"/>
        <w:jc w:val="both"/>
      </w:pPr>
      <w:r w:rsidRPr="009A7163">
        <w:t>Finally, the last characteristic of feminist research practice</w:t>
      </w:r>
      <w:r w:rsidR="002A1D22" w:rsidRPr="009A7163">
        <w:t xml:space="preserve"> – and not exclusive to it</w:t>
      </w:r>
      <w:r w:rsidR="00E24676" w:rsidRPr="009A7163">
        <w:t xml:space="preserve"> –</w:t>
      </w:r>
      <w:r w:rsidRPr="009A7163">
        <w:t xml:space="preserve"> is reflexivity, which means acknowledging the ‘ways in which our subjectivity becomes entangled in the lives of others’ (Denzin, 1997, p. 27)</w:t>
      </w:r>
      <w:r w:rsidR="006E3F97" w:rsidRPr="009A7163">
        <w:t>. Reflexivity</w:t>
      </w:r>
      <w:r w:rsidRPr="009A7163">
        <w:t xml:space="preserve"> stresses the need to reflect, recognise and document the roles we play in co-creating data and in constructing knowledges (Doucet et al., 2006, p. 41). </w:t>
      </w:r>
      <w:r w:rsidR="00202958" w:rsidRPr="009A7163">
        <w:t xml:space="preserve">Given the complexity of the relationships I was managing </w:t>
      </w:r>
      <w:r w:rsidR="00AC06CE" w:rsidRPr="009A7163">
        <w:t xml:space="preserve">and the different power relations, I </w:t>
      </w:r>
      <w:r w:rsidR="00A974BD" w:rsidRPr="009A7163">
        <w:t xml:space="preserve">was conscious of my </w:t>
      </w:r>
      <w:r w:rsidR="00A974BD" w:rsidRPr="009A7163">
        <w:lastRenderedPageBreak/>
        <w:t>positionality</w:t>
      </w:r>
      <w:r w:rsidR="006406CC" w:rsidRPr="009A7163">
        <w:t xml:space="preserve"> (age, sex, race, nationality and past job positions)</w:t>
      </w:r>
      <w:r w:rsidR="00A974BD" w:rsidRPr="009A7163">
        <w:t xml:space="preserve"> and </w:t>
      </w:r>
      <w:r w:rsidR="00EF7159" w:rsidRPr="009A7163">
        <w:t xml:space="preserve">thus made an effort to </w:t>
      </w:r>
      <w:r w:rsidR="00A974BD" w:rsidRPr="009A7163">
        <w:t xml:space="preserve">continually reflect on both individual and group dynamics and the wider research process. In order to deal with some of the issues that arose I spoke regularly to my supervisor and kept fieldwork journal entries in order to reflect on </w:t>
      </w:r>
      <w:r w:rsidR="0037646F" w:rsidRPr="009A7163">
        <w:t>the process and my own reactions</w:t>
      </w:r>
      <w:r w:rsidR="00A974BD" w:rsidRPr="009A7163">
        <w:t>.</w:t>
      </w:r>
      <w:r w:rsidR="007D089E" w:rsidRPr="009A7163">
        <w:t xml:space="preserve"> </w:t>
      </w:r>
      <w:r w:rsidRPr="009A7163">
        <w:t xml:space="preserve">This </w:t>
      </w:r>
      <w:r w:rsidR="00EF7159" w:rsidRPr="009A7163">
        <w:t>wa</w:t>
      </w:r>
      <w:r w:rsidRPr="009A7163">
        <w:t>s important because as Smith (1998) warn</w:t>
      </w:r>
      <w:r w:rsidR="00E24676" w:rsidRPr="009A7163">
        <w:t>s</w:t>
      </w:r>
      <w:r w:rsidRPr="009A7163">
        <w:t>, ‘In general, relationships with the researched may</w:t>
      </w:r>
      <w:r w:rsidR="007D4C5B" w:rsidRPr="009A7163">
        <w:t xml:space="preserve"> </w:t>
      </w:r>
      <w:r w:rsidRPr="009A7163">
        <w:t>be reciprocal, asymmetrical or potentially exploitative; and the researcher can adopt a stance of intimidation, ingratiation, self-promotion, or supplication’ (cited in England, 1994 p. 243). Feminists usually seek reciprocal relationships whilst showing empathy and respect for the participants and sharing knowledge where possible whilst demonstrating ‘self-critical sympathetic introspection and the self-conscious analytical scrutiny of the self as researcher’ (England, 1994, p.</w:t>
      </w:r>
      <w:r w:rsidR="006E3F97" w:rsidRPr="009A7163">
        <w:t xml:space="preserve"> </w:t>
      </w:r>
      <w:r w:rsidRPr="009A7163">
        <w:t xml:space="preserve">243–44). One particular moment during my fieldwork that was pivotal in my understanding of this was when I facilitated a participatory gender action learning (GALS) workshop with a group of coffee buyers and FT industry experts who were building a partnership for gender equity in the coffee communities where they source their income </w:t>
      </w:r>
      <w:r w:rsidR="006E3F97" w:rsidRPr="009A7163">
        <w:t>close</w:t>
      </w:r>
      <w:r w:rsidRPr="009A7163">
        <w:t xml:space="preserve"> to one of the research sites for this dissertation.</w:t>
      </w:r>
      <w:r w:rsidR="006E3F97" w:rsidRPr="009A7163">
        <w:rPr>
          <w:vertAlign w:val="superscript"/>
        </w:rPr>
        <w:footnoteReference w:id="55"/>
      </w:r>
      <w:r w:rsidRPr="009A7163">
        <w:t xml:space="preserve"> On a field day visit to one of the houses, the group of seven female coffee buyers and industry experts individually </w:t>
      </w:r>
      <w:r w:rsidR="002A1D22" w:rsidRPr="009A7163">
        <w:t xml:space="preserve">in a group circle </w:t>
      </w:r>
      <w:r w:rsidRPr="009A7163">
        <w:t>asked a woman farmer and spouse of a coffee farmer about their daily routines in detail in an informal conversation over coffee. At the end, the wife of the farmer asked them to do the same and for the first time that day there was silence. Awkward silence. The visitors in not all instances wanted to share the details of their normal daily lives. This illuminated for me the need to be empathetic and in essence be able ‘to put yourself in their shoes’</w:t>
      </w:r>
      <w:r w:rsidR="006E3F97" w:rsidRPr="009A7163">
        <w:t>,</w:t>
      </w:r>
      <w:r w:rsidRPr="009A7163">
        <w:t xml:space="preserve"> as the visitor had not considered what it would be like to be asked about your daily life.</w:t>
      </w:r>
      <w:r w:rsidR="002A1D22" w:rsidRPr="009A7163">
        <w:t xml:space="preserve"> I learnt from this experience about how personal the research questions can feel and made sure I created a sense of rapport and had sufficient time to spend with my participant before launching into my interview questions and survey.</w:t>
      </w:r>
    </w:p>
    <w:p w14:paraId="25CDB8F9" w14:textId="73C7C2AE" w:rsidR="002C707D" w:rsidRPr="009A7163" w:rsidRDefault="002C707D" w:rsidP="002C707D">
      <w:pPr>
        <w:spacing w:line="360" w:lineRule="auto"/>
        <w:ind w:firstLine="720"/>
        <w:jc w:val="both"/>
      </w:pPr>
      <w:r w:rsidRPr="009A7163">
        <w:t>The research methods employed in this study did change as a response to interactions with the research participants. Reinharz (1992) argue</w:t>
      </w:r>
      <w:r w:rsidR="00740D29" w:rsidRPr="009A7163">
        <w:t>s</w:t>
      </w:r>
      <w:r w:rsidRPr="009A7163">
        <w:t xml:space="preserve"> that feminist researchers use multiple methods because of changes that occur to them and to others, so sometimes multiple methods reflect the desire to be responsive to respondents. If our </w:t>
      </w:r>
      <w:r w:rsidRPr="009A7163">
        <w:lastRenderedPageBreak/>
        <w:t>aim is to understand the critical issues in women’s lives, this type of flexibility is important. For my feminist research practice, reflexivity was essential. Reflexivity means a closer and more open relationship with research participants whenever possible in order to give them a greater voice (Kwan, 2010). As Reinharz (1992) propose</w:t>
      </w:r>
      <w:r w:rsidR="00740D29" w:rsidRPr="009A7163">
        <w:t>s</w:t>
      </w:r>
      <w:r w:rsidRPr="009A7163">
        <w:t xml:space="preserve">, we can enhance our understanding both by adding layers of information and by using one type of data to validate or refine another. Layering methods and voices and allowing each to interact and influence the next step of the process became part of my own research process. Innovation is therefore important in the approaches to the use of data as well as in the choice of methods (Letherby, 2003, p. 96). I found this </w:t>
      </w:r>
      <w:r w:rsidR="00740D29" w:rsidRPr="009A7163">
        <w:t>help</w:t>
      </w:r>
      <w:r w:rsidRPr="009A7163">
        <w:t>ful to remember during the research process.</w:t>
      </w:r>
    </w:p>
    <w:p w14:paraId="603DF7A8" w14:textId="6382C0A7" w:rsidR="002C707D" w:rsidRPr="009A7163" w:rsidRDefault="0065348F" w:rsidP="002C707D">
      <w:pPr>
        <w:spacing w:line="360" w:lineRule="auto"/>
        <w:ind w:firstLine="720"/>
        <w:jc w:val="both"/>
      </w:pPr>
      <w:r w:rsidRPr="009A7163">
        <w:t>O</w:t>
      </w:r>
      <w:r w:rsidR="002C707D" w:rsidRPr="009A7163">
        <w:t>verall, I aimed to be reflexive and that my feminist research practice would be an iterative process seeking a democratic approach to knowledge production and community change (Hacker, 2013; Minkler and Wallerstein, 2010). Lykes and Coquillon (2006) argue:</w:t>
      </w:r>
    </w:p>
    <w:p w14:paraId="4452C1A5" w14:textId="2A25AB60" w:rsidR="002C707D" w:rsidRPr="009A7163" w:rsidRDefault="002C707D" w:rsidP="00293176">
      <w:pPr>
        <w:spacing w:after="180"/>
        <w:ind w:left="720"/>
        <w:jc w:val="both"/>
      </w:pPr>
      <w:r w:rsidRPr="009A7163">
        <w:t xml:space="preserve">We argue that researchers who work at the interface of feminisms, participation and action embrace a continuous and iterative process or approach to life, an attitude toward being and doing “in the world” rather than a single research method. This approach seeks to recognize and value multiple intelligences, diverse ways of knowing, and frequently contradictory and sometimes silent or silenced voices among us towards developing “just enough” trust to initiate a co-research process. It requires creating “safe enough” spaces that strive to be inclusive and supportive of these developing relationships, valuing our strengths and capacities whilst being sufficiently challenging to engage us in reflective critical practices that problematize the matrices of power, privilege, and domination that circulate among us and in our social worlds. </w:t>
      </w:r>
      <w:r w:rsidR="00740D29" w:rsidRPr="009A7163">
        <w:t>(p. 335)</w:t>
      </w:r>
    </w:p>
    <w:p w14:paraId="35DBBA13" w14:textId="23CB6317" w:rsidR="002C707D" w:rsidRPr="009A7163" w:rsidRDefault="002A1D22" w:rsidP="007A3A29">
      <w:pPr>
        <w:spacing w:after="240" w:line="360" w:lineRule="auto"/>
        <w:jc w:val="both"/>
      </w:pPr>
      <w:r w:rsidRPr="009A7163">
        <w:t>I also wanted to gain insight into my subject area and to delve deeper in the subject area and f</w:t>
      </w:r>
      <w:r w:rsidR="002C707D" w:rsidRPr="009A7163">
        <w:t>or this reason, I decided that the most suitable feminist research approach for this study was case study design. As a form of research methodology, case study is an intensive description and analysis of a phenomenon, social unit or system bound by time or place (Berg, 2004; Creswell, 2007; Flick, 2009). As Merriam (1998) state</w:t>
      </w:r>
      <w:r w:rsidR="00C86EB9" w:rsidRPr="009A7163">
        <w:t>s</w:t>
      </w:r>
      <w:r w:rsidR="002C707D" w:rsidRPr="009A7163">
        <w:t xml:space="preserve">, case study is an ideal method as it focuses on ‘discovery rather than confirmation. Insights gleaned from case studies can directly influence policy, practice, and future research’ (p. 19). </w:t>
      </w:r>
    </w:p>
    <w:p w14:paraId="497E2A4B" w14:textId="0659F269" w:rsidR="002C707D" w:rsidRPr="009A7163" w:rsidRDefault="0065348F" w:rsidP="00293176">
      <w:pPr>
        <w:pStyle w:val="Heading2"/>
        <w:rPr>
          <w:lang w:val="en-GB"/>
        </w:rPr>
      </w:pPr>
      <w:bookmarkStart w:id="37" w:name="_Toc526819273"/>
      <w:r w:rsidRPr="009A7163">
        <w:rPr>
          <w:lang w:val="en-GB"/>
        </w:rPr>
        <w:t xml:space="preserve">3.3  </w:t>
      </w:r>
      <w:r w:rsidR="002C707D" w:rsidRPr="009A7163">
        <w:rPr>
          <w:lang w:val="en-GB"/>
        </w:rPr>
        <w:t>Pilot Study</w:t>
      </w:r>
      <w:bookmarkEnd w:id="37"/>
    </w:p>
    <w:p w14:paraId="08294C5A" w14:textId="05BF34D1" w:rsidR="002C707D" w:rsidRPr="009A7163" w:rsidRDefault="002C707D" w:rsidP="00293176">
      <w:pPr>
        <w:spacing w:after="240" w:line="360" w:lineRule="auto"/>
        <w:ind w:firstLine="720"/>
        <w:jc w:val="both"/>
      </w:pPr>
      <w:r w:rsidRPr="009A7163">
        <w:t xml:space="preserve">Fieldwork in Nicaragua was preceded by a one-month pilot study that took place in January and February of 2014. The first objective of the pilot was to visit the </w:t>
      </w:r>
      <w:r w:rsidRPr="009A7163">
        <w:lastRenderedPageBreak/>
        <w:t>cooperative office and introduce my research proposal to the management, board of director and other staff would be directly engaged with my work</w:t>
      </w:r>
      <w:r w:rsidR="00945932" w:rsidRPr="009A7163">
        <w:t>,</w:t>
      </w:r>
      <w:r w:rsidRPr="009A7163">
        <w:t xml:space="preserve"> such as the gender coordinator</w:t>
      </w:r>
      <w:r w:rsidR="001756E8" w:rsidRPr="009A7163">
        <w:t>. There were two reasons for this: I wanted to obt</w:t>
      </w:r>
      <w:r w:rsidRPr="009A7163">
        <w:t xml:space="preserve">ain </w:t>
      </w:r>
      <w:r w:rsidR="001756E8" w:rsidRPr="009A7163">
        <w:t xml:space="preserve">their </w:t>
      </w:r>
      <w:r w:rsidRPr="009A7163">
        <w:t xml:space="preserve">permission to undertake </w:t>
      </w:r>
      <w:r w:rsidR="00C86EB9" w:rsidRPr="009A7163">
        <w:t>the research</w:t>
      </w:r>
      <w:r w:rsidRPr="009A7163">
        <w:t xml:space="preserve"> and</w:t>
      </w:r>
      <w:r w:rsidR="001756E8" w:rsidRPr="009A7163">
        <w:t xml:space="preserve"> </w:t>
      </w:r>
      <w:r w:rsidRPr="009A7163">
        <w:t xml:space="preserve">offer them a space to provide feedback on my fieldwork plan and timeline. The second objective </w:t>
      </w:r>
      <w:r w:rsidR="001756E8" w:rsidRPr="009A7163">
        <w:t xml:space="preserve">of the pilot </w:t>
      </w:r>
      <w:r w:rsidRPr="009A7163">
        <w:t>was to sign a memorandum of understanding (MOU)</w:t>
      </w:r>
      <w:r w:rsidR="001756E8" w:rsidRPr="009A7163">
        <w:t xml:space="preserve"> with each cooperative</w:t>
      </w:r>
      <w:r w:rsidRPr="009A7163">
        <w:t xml:space="preserve"> that stated my goals based on my proposed research plan and clarified objectives and deliverables. I was wary of creating expectations I couldn’t meet. A signed MOU was done for both case studies. The third objective was to design and implement a pilot of the </w:t>
      </w:r>
      <w:r w:rsidR="008724E3" w:rsidRPr="009A7163">
        <w:t>TUS</w:t>
      </w:r>
      <w:r w:rsidRPr="009A7163">
        <w:t xml:space="preserve"> with</w:t>
      </w:r>
      <w:r w:rsidR="008724E3" w:rsidRPr="009A7163">
        <w:t xml:space="preserve"> the</w:t>
      </w:r>
      <w:r w:rsidRPr="009A7163">
        <w:t xml:space="preserve"> local geographer and survey and GPS expert, Dr. Adalila Molina Membreño, </w:t>
      </w:r>
      <w:r w:rsidR="008724E3" w:rsidRPr="009A7163">
        <w:t>mentioned above</w:t>
      </w:r>
      <w:r w:rsidRPr="009A7163">
        <w:t xml:space="preserve">. Dr. Molina was chosen as she has undertaken international investigations </w:t>
      </w:r>
      <w:r w:rsidR="001756E8" w:rsidRPr="009A7163">
        <w:t>with</w:t>
      </w:r>
      <w:r w:rsidRPr="009A7163">
        <w:t xml:space="preserve"> both academic research institutions in Europe and NGOs and knows both the cooperatives and the terrain very well. We initially collaborated and she arranged for her undergraduate students to be available for training as enumerators of the TUS survey. Whilst she provided invaluable advice at this early stage of the TUS design, the trial TUS with student enumerators was unsuccessful for a number of reasons. Whilst I initially believed that using a team of TUS enumerators would help me undertake more numerous TUS surveys</w:t>
      </w:r>
      <w:r w:rsidR="001756E8" w:rsidRPr="009A7163">
        <w:t>,</w:t>
      </w:r>
      <w:r w:rsidRPr="009A7163">
        <w:t xml:space="preserve"> the difference in TUS information collected varied significantly</w:t>
      </w:r>
      <w:r w:rsidR="001756E8" w:rsidRPr="009A7163">
        <w:t>.</w:t>
      </w:r>
      <w:r w:rsidRPr="009A7163">
        <w:t xml:space="preserve"> I ultimately decided that I needed to do the surveys with one other carefully selected person and do fewer. Thus, I decided to seek out recommendations for a researcher assistant who had emotional intelligence, an attitude open to participatory development, an awareness of non-violent communication and hopefully someone creative and able to take decisions independently. I spent the rest of my time identifying this person during this phase. I was fortunate to meet and contract Fernanda Siles, </w:t>
      </w:r>
      <w:r w:rsidR="008724E3" w:rsidRPr="009A7163">
        <w:t>who, has mentioned above, became my research assistant for the entire research process.</w:t>
      </w:r>
      <w:r w:rsidRPr="009A7163">
        <w:t xml:space="preserve"> The benefits of the pilot study w</w:t>
      </w:r>
      <w:r w:rsidR="001756E8" w:rsidRPr="009A7163">
        <w:t>ere</w:t>
      </w:r>
      <w:r w:rsidRPr="009A7163">
        <w:t xml:space="preserve"> that it allowed me to define an optimal relationship with different stakeholders</w:t>
      </w:r>
      <w:r w:rsidR="001756E8" w:rsidRPr="009A7163">
        <w:t>,</w:t>
      </w:r>
      <w:r w:rsidRPr="009A7163">
        <w:t xml:space="preserve"> which was important </w:t>
      </w:r>
      <w:r w:rsidR="001756E8" w:rsidRPr="009A7163">
        <w:t>for</w:t>
      </w:r>
      <w:r w:rsidRPr="009A7163">
        <w:t xml:space="preserve"> redefining my role in an environment </w:t>
      </w:r>
      <w:r w:rsidR="001756E8" w:rsidRPr="009A7163">
        <w:t>in which I had been rooted</w:t>
      </w:r>
      <w:r w:rsidRPr="009A7163">
        <w:t xml:space="preserve"> for many years. </w:t>
      </w:r>
    </w:p>
    <w:p w14:paraId="3362C8A7" w14:textId="4960C2CB" w:rsidR="002C707D" w:rsidRPr="009A7163" w:rsidRDefault="0065348F" w:rsidP="00293176">
      <w:pPr>
        <w:pStyle w:val="Heading2"/>
        <w:rPr>
          <w:lang w:val="en-GB"/>
        </w:rPr>
      </w:pPr>
      <w:bookmarkStart w:id="38" w:name="_Toc526819274"/>
      <w:r w:rsidRPr="009A7163">
        <w:rPr>
          <w:lang w:val="en-GB"/>
        </w:rPr>
        <w:t xml:space="preserve">3.4  </w:t>
      </w:r>
      <w:r w:rsidR="002C707D" w:rsidRPr="009A7163">
        <w:rPr>
          <w:lang w:val="en-GB"/>
        </w:rPr>
        <w:t>Data Collection Methods</w:t>
      </w:r>
      <w:bookmarkEnd w:id="38"/>
    </w:p>
    <w:p w14:paraId="6FB86BBB" w14:textId="7DF9A7F4" w:rsidR="002C707D" w:rsidRPr="009A7163" w:rsidRDefault="002C707D" w:rsidP="00293176">
      <w:pPr>
        <w:spacing w:after="240" w:line="360" w:lineRule="auto"/>
        <w:ind w:firstLine="720"/>
        <w:jc w:val="both"/>
      </w:pPr>
      <w:r w:rsidRPr="009A7163">
        <w:t xml:space="preserve">This section will discuss the three data collection methods employed in the study. Quantitative data was collected via surveys to collect information on participants, time use, household assets, decision making and access to resources, amongst other aspects. Qualitative data was collected via focus groups and interviews to gain more </w:t>
      </w:r>
      <w:r w:rsidRPr="009A7163">
        <w:lastRenderedPageBreak/>
        <w:t xml:space="preserve">insight into perspectives around valuing and defining time use, the distribution of paid and unpaid work between family members in and among coffee and sesame producers and the factors that influence these roles. The following discussion explains how these methods were employed in this study. </w:t>
      </w:r>
    </w:p>
    <w:p w14:paraId="1109E690" w14:textId="633E1861" w:rsidR="002C707D" w:rsidRPr="009A7163" w:rsidRDefault="0065348F" w:rsidP="00293176">
      <w:pPr>
        <w:pStyle w:val="Heading3"/>
      </w:pPr>
      <w:bookmarkStart w:id="39" w:name="_Toc526819275"/>
      <w:r w:rsidRPr="009A7163">
        <w:t xml:space="preserve">3.4.1  </w:t>
      </w:r>
      <w:r w:rsidR="002C707D" w:rsidRPr="009A7163">
        <w:t>Surveys</w:t>
      </w:r>
      <w:bookmarkEnd w:id="39"/>
    </w:p>
    <w:p w14:paraId="43DEDF14" w14:textId="2A6E1195" w:rsidR="002C707D" w:rsidRPr="009A7163" w:rsidRDefault="0065348F" w:rsidP="00293176">
      <w:pPr>
        <w:spacing w:after="240" w:line="360" w:lineRule="auto"/>
        <w:ind w:firstLine="720"/>
        <w:jc w:val="both"/>
      </w:pPr>
      <w:r w:rsidRPr="009A7163">
        <w:t>D</w:t>
      </w:r>
      <w:r w:rsidR="002C707D" w:rsidRPr="009A7163">
        <w:t xml:space="preserve">ifferent types of surveys were employed in this </w:t>
      </w:r>
      <w:r w:rsidR="001756E8" w:rsidRPr="009A7163">
        <w:t>study</w:t>
      </w:r>
      <w:r w:rsidR="002C707D" w:rsidRPr="009A7163">
        <w:t xml:space="preserve"> to collect information about different dimensions, namely </w:t>
      </w:r>
      <w:r w:rsidR="008724E3" w:rsidRPr="009A7163">
        <w:t>TUS,</w:t>
      </w:r>
      <w:r w:rsidR="002C707D" w:rsidRPr="009A7163">
        <w:t xml:space="preserve"> a general survey with a TUS component and a Household Care Survey (HCS). </w:t>
      </w:r>
    </w:p>
    <w:p w14:paraId="185F200A" w14:textId="67A8AE84" w:rsidR="0065348F" w:rsidRPr="009A7163" w:rsidRDefault="0065348F" w:rsidP="00293176">
      <w:pPr>
        <w:pStyle w:val="Heading4"/>
      </w:pPr>
      <w:bookmarkStart w:id="40" w:name="_Toc526819276"/>
      <w:r w:rsidRPr="009A7163">
        <w:t xml:space="preserve">3.4.1.1 </w:t>
      </w:r>
      <w:r w:rsidR="002C707D" w:rsidRPr="009A7163">
        <w:t>Time Use Surveys</w:t>
      </w:r>
      <w:bookmarkEnd w:id="40"/>
      <w:r w:rsidR="002C707D" w:rsidRPr="009A7163">
        <w:t xml:space="preserve"> </w:t>
      </w:r>
    </w:p>
    <w:p w14:paraId="5820E804" w14:textId="68E451F4" w:rsidR="002C707D" w:rsidRPr="009A7163" w:rsidRDefault="002C707D" w:rsidP="008C041F">
      <w:pPr>
        <w:spacing w:line="360" w:lineRule="auto"/>
        <w:ind w:firstLine="720"/>
        <w:jc w:val="both"/>
      </w:pPr>
      <w:r w:rsidRPr="009A7163">
        <w:t xml:space="preserve">TUS attempt to show how individuals spend their time during the day or week. This may provide evidence of the gendered division of labour within households and the interdependence of women’s and men’s paid and unpaid work (Beneria, 2003; Elson, 2000; Esquivel et al., 2008; UNDP, 1995). The key objective of TUS is to measure and analyse the time spent during a 24-hour period by various individuals aged 15 years and older, including women, men, girls and boys, recording all activities, including paid and unpaid work and leisure activities. TUS record the activities done by different individuals from a representative selection of households and the time spent on each activity. The time spent on an activity is measured in terms of the number of minutes or hours within a 24-hour period. Time-use data can reveal the details of an individual’s ‘daily life with a combination of specificity and comprehensiveness’ not achieved in any other type of survey data (United Nations, </w:t>
      </w:r>
      <w:r w:rsidR="007D4C5B" w:rsidRPr="009A7163">
        <w:t>2005, p.</w:t>
      </w:r>
      <w:r w:rsidR="00C86EB9" w:rsidRPr="009A7163">
        <w:t xml:space="preserve"> </w:t>
      </w:r>
      <w:r w:rsidR="007D4C5B" w:rsidRPr="009A7163">
        <w:t>8</w:t>
      </w:r>
      <w:r w:rsidRPr="009A7163">
        <w:t>). In my fieldwork, I planned to interview the women participating in the initiative and then a further one or two more members of the household (either husband or secondary principal carer)</w:t>
      </w:r>
      <w:r w:rsidR="0074377A" w:rsidRPr="009A7163">
        <w:t xml:space="preserve"> along with my research assistant</w:t>
      </w:r>
      <w:r w:rsidR="007D4C5B" w:rsidRPr="009A7163">
        <w:t xml:space="preserve"> Fernanda Siles</w:t>
      </w:r>
      <w:r w:rsidRPr="009A7163">
        <w:t xml:space="preserve">. </w:t>
      </w:r>
      <w:r w:rsidR="007D4C5B" w:rsidRPr="009A7163">
        <w:t>We</w:t>
      </w:r>
      <w:r w:rsidRPr="009A7163">
        <w:t xml:space="preserve"> chose to go on a weekday and weekend in order to get an idea of a weekday and weekend (in particular I was interested in rest and whether the women’s routines varied over the weekend as well as seasonally). </w:t>
      </w:r>
      <w:r w:rsidR="007D4C5B" w:rsidRPr="009A7163">
        <w:t>We</w:t>
      </w:r>
      <w:r w:rsidRPr="009A7163">
        <w:t xml:space="preserve"> asked the participants what they did the day before. This was repeated three times over different periods in the agricultural cycle in order capture seasonal </w:t>
      </w:r>
      <w:r w:rsidR="00F62934" w:rsidRPr="009A7163">
        <w:t xml:space="preserve">variance (high-mid-low points) </w:t>
      </w:r>
      <w:r w:rsidRPr="009A7163">
        <w:t xml:space="preserve">e.g., pre-harvest, harvest and post-harvest. </w:t>
      </w:r>
    </w:p>
    <w:p w14:paraId="2DFD0FCB" w14:textId="1C3A2863" w:rsidR="00BA228B" w:rsidRPr="009A7163" w:rsidRDefault="0065348F" w:rsidP="001662C8">
      <w:pPr>
        <w:spacing w:line="360" w:lineRule="auto"/>
        <w:ind w:firstLine="720"/>
        <w:jc w:val="both"/>
      </w:pPr>
      <w:r w:rsidRPr="009A7163">
        <w:rPr>
          <w:bCs/>
          <w:iCs/>
        </w:rPr>
        <w:lastRenderedPageBreak/>
        <w:t>T</w:t>
      </w:r>
      <w:r w:rsidR="002C707D" w:rsidRPr="009A7163">
        <w:rPr>
          <w:bCs/>
          <w:iCs/>
        </w:rPr>
        <w:t xml:space="preserve">here are a number of limitations around the use of </w:t>
      </w:r>
      <w:r w:rsidR="008724E3" w:rsidRPr="009A7163">
        <w:rPr>
          <w:bCs/>
          <w:iCs/>
        </w:rPr>
        <w:t>TUS for data collection.</w:t>
      </w:r>
      <w:r w:rsidR="002C707D" w:rsidRPr="009A7163">
        <w:rPr>
          <w:bCs/>
          <w:iCs/>
          <w:vertAlign w:val="superscript"/>
        </w:rPr>
        <w:footnoteReference w:id="56"/>
      </w:r>
      <w:r w:rsidR="002C707D" w:rsidRPr="009A7163">
        <w:rPr>
          <w:bCs/>
          <w:iCs/>
        </w:rPr>
        <w:t xml:space="preserve"> </w:t>
      </w:r>
      <w:r w:rsidR="008724E3" w:rsidRPr="009A7163">
        <w:rPr>
          <w:bCs/>
          <w:iCs/>
        </w:rPr>
        <w:t>T</w:t>
      </w:r>
      <w:r w:rsidR="002C707D" w:rsidRPr="009A7163">
        <w:rPr>
          <w:bCs/>
          <w:iCs/>
        </w:rPr>
        <w:t xml:space="preserve">he first issue relates to memory lapse whereby recalling activities </w:t>
      </w:r>
      <w:r w:rsidR="004D06D8" w:rsidRPr="009A7163">
        <w:t>under</w:t>
      </w:r>
      <w:r w:rsidR="008724E3" w:rsidRPr="009A7163">
        <w:t>taken during</w:t>
      </w:r>
      <w:r w:rsidR="004D06D8" w:rsidRPr="009A7163">
        <w:t xml:space="preserve"> various time slots </w:t>
      </w:r>
      <w:r w:rsidR="002C707D" w:rsidRPr="009A7163">
        <w:t xml:space="preserve">within a 24-hour period from the day before the interview may </w:t>
      </w:r>
      <w:r w:rsidR="008724E3" w:rsidRPr="009A7163">
        <w:t xml:space="preserve">be difficult for respondents </w:t>
      </w:r>
      <w:r w:rsidR="002C707D" w:rsidRPr="009A7163">
        <w:t xml:space="preserve">due to memory lapse and also because of the way women experience </w:t>
      </w:r>
      <w:r w:rsidR="001C7FEF" w:rsidRPr="009A7163">
        <w:t xml:space="preserve">time </w:t>
      </w:r>
      <w:r w:rsidR="002C707D" w:rsidRPr="009A7163">
        <w:t>differently. This was an issue in my research</w:t>
      </w:r>
      <w:r w:rsidR="00644F86" w:rsidRPr="009A7163">
        <w:t xml:space="preserve"> as many of the participants didn’t have watches or clocks and so it was difficult for them to be specific on exact time spent on </w:t>
      </w:r>
      <w:r w:rsidR="00E21B43" w:rsidRPr="009A7163">
        <w:t>activities</w:t>
      </w:r>
      <w:r w:rsidR="002C707D" w:rsidRPr="009A7163">
        <w:t>.</w:t>
      </w:r>
      <w:r w:rsidR="00984B7A" w:rsidRPr="009A7163">
        <w:t xml:space="preserve"> </w:t>
      </w:r>
      <w:r w:rsidR="00B93DBD" w:rsidRPr="009A7163">
        <w:t>Further</w:t>
      </w:r>
      <w:r w:rsidR="00197741" w:rsidRPr="009A7163">
        <w:t>more, there is the</w:t>
      </w:r>
      <w:r w:rsidR="00B93DBD" w:rsidRPr="009A7163">
        <w:t xml:space="preserve"> fundamental </w:t>
      </w:r>
      <w:r w:rsidR="00197741" w:rsidRPr="009A7163">
        <w:t>criticism that modern time is a product of the Western industrial revo</w:t>
      </w:r>
      <w:r w:rsidR="00BF0A4A" w:rsidRPr="009A7163">
        <w:t>lu</w:t>
      </w:r>
      <w:r w:rsidR="00197741" w:rsidRPr="009A7163">
        <w:t>tion</w:t>
      </w:r>
      <w:r w:rsidR="00BF0A4A" w:rsidRPr="009A7163">
        <w:t>. I</w:t>
      </w:r>
      <w:r w:rsidR="00197741" w:rsidRPr="009A7163">
        <w:t>n thi</w:t>
      </w:r>
      <w:r w:rsidR="00BF0A4A" w:rsidRPr="009A7163">
        <w:t>s context TUS are never neutral</w:t>
      </w:r>
      <w:r w:rsidR="00197741" w:rsidRPr="009A7163">
        <w:t xml:space="preserve"> as they impose the </w:t>
      </w:r>
      <w:r w:rsidR="00984B7A" w:rsidRPr="009A7163">
        <w:t>‘</w:t>
      </w:r>
      <w:r w:rsidR="00197741" w:rsidRPr="009A7163">
        <w:t>habi</w:t>
      </w:r>
      <w:r w:rsidR="001201CA" w:rsidRPr="009A7163">
        <w:t>t of the factory’ on</w:t>
      </w:r>
      <w:r w:rsidR="00197741" w:rsidRPr="009A7163">
        <w:t xml:space="preserve"> agrarian ways of being. One could question</w:t>
      </w:r>
      <w:r w:rsidR="00984B7A" w:rsidRPr="009A7163">
        <w:t>,</w:t>
      </w:r>
      <w:r w:rsidR="00197741" w:rsidRPr="009A7163">
        <w:t xml:space="preserve"> therefore</w:t>
      </w:r>
      <w:r w:rsidR="00984B7A" w:rsidRPr="009A7163">
        <w:t>,</w:t>
      </w:r>
      <w:r w:rsidR="00197741" w:rsidRPr="009A7163">
        <w:t xml:space="preserve"> if the only way for women to be recogni</w:t>
      </w:r>
      <w:r w:rsidR="00984B7A" w:rsidRPr="009A7163">
        <w:t>s</w:t>
      </w:r>
      <w:r w:rsidR="00197741" w:rsidRPr="009A7163">
        <w:t>ed is if the</w:t>
      </w:r>
      <w:r w:rsidR="00BF0A4A" w:rsidRPr="009A7163">
        <w:t>y</w:t>
      </w:r>
      <w:r w:rsidR="00197741" w:rsidRPr="009A7163">
        <w:t xml:space="preserve"> fit into other people’s group models</w:t>
      </w:r>
      <w:r w:rsidR="00984B7A" w:rsidRPr="009A7163">
        <w:t>,</w:t>
      </w:r>
      <w:r w:rsidR="00197741" w:rsidRPr="009A7163">
        <w:t xml:space="preserve"> </w:t>
      </w:r>
      <w:r w:rsidR="00BF0A4A" w:rsidRPr="009A7163">
        <w:t>e.g.</w:t>
      </w:r>
      <w:r w:rsidR="00984B7A" w:rsidRPr="009A7163">
        <w:t>,</w:t>
      </w:r>
      <w:r w:rsidR="00197741" w:rsidRPr="009A7163">
        <w:t xml:space="preserve"> that of their male partners, the cooperative leaders view point, their </w:t>
      </w:r>
      <w:r w:rsidR="001201CA" w:rsidRPr="009A7163">
        <w:t xml:space="preserve">global North feminist allies </w:t>
      </w:r>
      <w:r w:rsidR="00197741" w:rsidRPr="009A7163">
        <w:t xml:space="preserve">and into a model of </w:t>
      </w:r>
      <w:r w:rsidR="00984B7A" w:rsidRPr="009A7163">
        <w:t>‘</w:t>
      </w:r>
      <w:r w:rsidR="00197741" w:rsidRPr="009A7163">
        <w:t>industrialised</w:t>
      </w:r>
      <w:r w:rsidR="00984B7A" w:rsidRPr="009A7163">
        <w:t>’</w:t>
      </w:r>
      <w:r w:rsidR="00197741" w:rsidRPr="009A7163">
        <w:t xml:space="preserve"> time.</w:t>
      </w:r>
      <w:r w:rsidR="00BF0A4A" w:rsidRPr="009A7163">
        <w:t xml:space="preserve"> </w:t>
      </w:r>
      <w:r w:rsidR="001662C8" w:rsidRPr="009A7163">
        <w:t>Foucault (1991) spoke of this in his seminal book</w:t>
      </w:r>
      <w:r w:rsidR="00984B7A" w:rsidRPr="009A7163">
        <w:t>,</w:t>
      </w:r>
      <w:r w:rsidR="001662C8" w:rsidRPr="009A7163">
        <w:t xml:space="preserve"> </w:t>
      </w:r>
      <w:r w:rsidR="001662C8" w:rsidRPr="009A7163">
        <w:rPr>
          <w:i/>
        </w:rPr>
        <w:t>Discipline and Punish</w:t>
      </w:r>
      <w:r w:rsidR="00C86EB9" w:rsidRPr="009A7163">
        <w:rPr>
          <w:i/>
        </w:rPr>
        <w:t>ment</w:t>
      </w:r>
      <w:r w:rsidR="001662C8" w:rsidRPr="009A7163">
        <w:rPr>
          <w:i/>
        </w:rPr>
        <w:t xml:space="preserve">: The </w:t>
      </w:r>
      <w:r w:rsidR="00984B7A" w:rsidRPr="009A7163">
        <w:rPr>
          <w:i/>
        </w:rPr>
        <w:t>B</w:t>
      </w:r>
      <w:r w:rsidR="001662C8" w:rsidRPr="009A7163">
        <w:rPr>
          <w:i/>
        </w:rPr>
        <w:t>irth of the Prison</w:t>
      </w:r>
      <w:r w:rsidR="00984B7A" w:rsidRPr="009A7163">
        <w:t xml:space="preserve">, in which he </w:t>
      </w:r>
      <w:r w:rsidR="001662C8" w:rsidRPr="009A7163">
        <w:t>observed that the first way of controlling any activity in a certain space was to timetable it. Timetables impose rhythms, cycles and occupations and ensure an effective use of space in the time provided</w:t>
      </w:r>
      <w:r w:rsidR="00477CC3" w:rsidRPr="009A7163">
        <w:t>. They were</w:t>
      </w:r>
      <w:r w:rsidR="001662C8" w:rsidRPr="009A7163">
        <w:t xml:space="preserve"> </w:t>
      </w:r>
      <w:r w:rsidR="00984B7A" w:rsidRPr="009A7163">
        <w:t xml:space="preserve">an </w:t>
      </w:r>
      <w:r w:rsidR="001662C8" w:rsidRPr="009A7163">
        <w:t>attempt to ‘assure quality of the time used’ (</w:t>
      </w:r>
      <w:r w:rsidR="00984B7A" w:rsidRPr="009A7163">
        <w:t xml:space="preserve">Foucault, </w:t>
      </w:r>
      <w:r w:rsidR="001662C8" w:rsidRPr="009A7163">
        <w:t>1991, p.</w:t>
      </w:r>
      <w:r w:rsidR="00984B7A" w:rsidRPr="009A7163">
        <w:t xml:space="preserve"> </w:t>
      </w:r>
      <w:r w:rsidR="001662C8" w:rsidRPr="009A7163">
        <w:t xml:space="preserve">151). Strict </w:t>
      </w:r>
      <w:r w:rsidR="00FD4AA8" w:rsidRPr="009A7163">
        <w:t>models</w:t>
      </w:r>
      <w:r w:rsidR="002245B9" w:rsidRPr="009A7163">
        <w:t xml:space="preserve"> of time expressed in timetables originated in the </w:t>
      </w:r>
      <w:r w:rsidR="00FD4AA8" w:rsidRPr="009A7163">
        <w:t>monasteries</w:t>
      </w:r>
      <w:r w:rsidR="002245B9" w:rsidRPr="009A7163">
        <w:t xml:space="preserve"> and were later implemented in schools, hospitals and factories. Foucault </w:t>
      </w:r>
      <w:r w:rsidR="00984B7A" w:rsidRPr="009A7163">
        <w:t xml:space="preserve">(1991) </w:t>
      </w:r>
      <w:r w:rsidR="002245B9" w:rsidRPr="009A7163">
        <w:t>assert</w:t>
      </w:r>
      <w:r w:rsidR="00C86EB9" w:rsidRPr="009A7163">
        <w:t>s</w:t>
      </w:r>
      <w:r w:rsidR="002245B9" w:rsidRPr="009A7163">
        <w:t xml:space="preserve">: </w:t>
      </w:r>
    </w:p>
    <w:p w14:paraId="6B633CA3" w14:textId="704FDCC7" w:rsidR="00BA228B" w:rsidRPr="009A7163" w:rsidRDefault="002245B9" w:rsidP="007A3A29">
      <w:pPr>
        <w:spacing w:after="180"/>
        <w:ind w:left="720"/>
        <w:jc w:val="both"/>
      </w:pPr>
      <w:r w:rsidRPr="009A7163">
        <w:t>Th</w:t>
      </w:r>
      <w:r w:rsidR="00FD4AA8" w:rsidRPr="009A7163">
        <w:t>e new disciplines had no diffi</w:t>
      </w:r>
      <w:r w:rsidR="00FD4AA8" w:rsidRPr="009A7163">
        <w:softHyphen/>
      </w:r>
      <w:r w:rsidRPr="009A7163">
        <w:t xml:space="preserve">culty in taking up their place in the old forms; the schools and poor- houses extended the life and the </w:t>
      </w:r>
      <w:r w:rsidR="00FD4AA8" w:rsidRPr="009A7163">
        <w:t>regularity of the monastic com</w:t>
      </w:r>
      <w:r w:rsidR="00FD4AA8" w:rsidRPr="009A7163">
        <w:softHyphen/>
      </w:r>
      <w:r w:rsidRPr="009A7163">
        <w:t>munities to which they were often attached</w:t>
      </w:r>
      <w:r w:rsidR="00FE5EB3" w:rsidRPr="009A7163">
        <w:t>…</w:t>
      </w:r>
      <w:r w:rsidR="00BA228B" w:rsidRPr="009A7163">
        <w:t xml:space="preserve">but even in the nineteenth century, when the rural populations were needed in industry, they were sometimes formed into </w:t>
      </w:r>
      <w:r w:rsidR="00984B7A" w:rsidRPr="009A7163">
        <w:t>“</w:t>
      </w:r>
      <w:r w:rsidR="00BA228B" w:rsidRPr="009A7163">
        <w:t>congregations</w:t>
      </w:r>
      <w:r w:rsidR="00984B7A" w:rsidRPr="009A7163">
        <w:t>”</w:t>
      </w:r>
      <w:r w:rsidR="00BA228B" w:rsidRPr="009A7163">
        <w:t xml:space="preserve">, in an attempt to inure them to work in the workshops; the framework of the </w:t>
      </w:r>
      <w:r w:rsidR="00984B7A" w:rsidRPr="009A7163">
        <w:t>“</w:t>
      </w:r>
      <w:r w:rsidR="00BA228B" w:rsidRPr="009A7163">
        <w:t>factory-monastery</w:t>
      </w:r>
      <w:r w:rsidR="00984B7A" w:rsidRPr="009A7163">
        <w:t>”</w:t>
      </w:r>
      <w:r w:rsidR="00BA228B" w:rsidRPr="009A7163">
        <w:t xml:space="preserve"> </w:t>
      </w:r>
      <w:r w:rsidR="000D5F18" w:rsidRPr="009A7163">
        <w:t>imposed upon the workers (p.</w:t>
      </w:r>
      <w:r w:rsidR="00B80CB8" w:rsidRPr="009A7163">
        <w:t xml:space="preserve"> </w:t>
      </w:r>
      <w:r w:rsidR="000D5F18" w:rsidRPr="009A7163">
        <w:t>149</w:t>
      </w:r>
      <w:r w:rsidR="00984B7A" w:rsidRPr="009A7163">
        <w:t>–</w:t>
      </w:r>
      <w:r w:rsidR="000D5F18" w:rsidRPr="009A7163">
        <w:t>150)</w:t>
      </w:r>
    </w:p>
    <w:p w14:paraId="689304C6" w14:textId="774DEE58" w:rsidR="000D5F18" w:rsidRPr="009A7163" w:rsidRDefault="000D5F18" w:rsidP="001662C8">
      <w:pPr>
        <w:spacing w:line="360" w:lineRule="auto"/>
        <w:ind w:firstLine="720"/>
        <w:jc w:val="both"/>
      </w:pPr>
      <w:r w:rsidRPr="009A7163">
        <w:t xml:space="preserve">Foucault </w:t>
      </w:r>
      <w:r w:rsidR="00984B7A" w:rsidRPr="009A7163">
        <w:t xml:space="preserve">(1999) </w:t>
      </w:r>
      <w:r w:rsidRPr="009A7163">
        <w:t>assert</w:t>
      </w:r>
      <w:r w:rsidR="00B80CB8" w:rsidRPr="009A7163">
        <w:t>s</w:t>
      </w:r>
      <w:r w:rsidRPr="009A7163">
        <w:t xml:space="preserve"> that increasi</w:t>
      </w:r>
      <w:r w:rsidR="001662C8" w:rsidRPr="009A7163">
        <w:t xml:space="preserve">ngly detailed and managed </w:t>
      </w:r>
      <w:r w:rsidR="00984B7A" w:rsidRPr="009A7163">
        <w:t xml:space="preserve">time </w:t>
      </w:r>
      <w:r w:rsidRPr="009A7163">
        <w:t>was to be made useful with no wast</w:t>
      </w:r>
      <w:r w:rsidR="001662C8" w:rsidRPr="009A7163">
        <w:t xml:space="preserve">e, </w:t>
      </w:r>
      <w:r w:rsidR="00984B7A" w:rsidRPr="009A7163">
        <w:t>stating</w:t>
      </w:r>
      <w:r w:rsidR="001662C8" w:rsidRPr="009A7163">
        <w:t>: ‘Time measured and paid must also be a time without impurities or defects; a time of good quality, throughout which the body is constantly applied to its exercise. Precision and application are, with regularity, the funda</w:t>
      </w:r>
      <w:r w:rsidR="001662C8" w:rsidRPr="009A7163">
        <w:softHyphen/>
        <w:t xml:space="preserve">mental virtues of disciplinary time’ </w:t>
      </w:r>
      <w:r w:rsidR="00984B7A" w:rsidRPr="009A7163">
        <w:t>(</w:t>
      </w:r>
      <w:r w:rsidR="001662C8" w:rsidRPr="009A7163">
        <w:t>p.</w:t>
      </w:r>
      <w:r w:rsidR="00984B7A" w:rsidRPr="009A7163">
        <w:t xml:space="preserve"> </w:t>
      </w:r>
      <w:r w:rsidR="001662C8" w:rsidRPr="009A7163">
        <w:t xml:space="preserve">151). Foucault </w:t>
      </w:r>
      <w:r w:rsidR="00984B7A" w:rsidRPr="009A7163">
        <w:t xml:space="preserve">(1999) </w:t>
      </w:r>
      <w:r w:rsidR="001662C8" w:rsidRPr="009A7163">
        <w:t>further note</w:t>
      </w:r>
      <w:r w:rsidR="00B80CB8" w:rsidRPr="009A7163">
        <w:t>s</w:t>
      </w:r>
      <w:r w:rsidR="001662C8" w:rsidRPr="009A7163">
        <w:t xml:space="preserve"> that timetable activities were broken down into smaller elements to increase efficiency and therein the control of the bodies involved</w:t>
      </w:r>
      <w:r w:rsidR="00984B7A" w:rsidRPr="009A7163">
        <w:t>, explaining that,</w:t>
      </w:r>
      <w:r w:rsidR="001662C8" w:rsidRPr="009A7163">
        <w:t xml:space="preserve"> </w:t>
      </w:r>
      <w:r w:rsidR="00477CC3" w:rsidRPr="009A7163">
        <w:t>‘</w:t>
      </w:r>
      <w:r w:rsidR="002245B9" w:rsidRPr="009A7163">
        <w:t xml:space="preserve">In the correct use of the </w:t>
      </w:r>
      <w:r w:rsidR="002245B9" w:rsidRPr="009A7163">
        <w:lastRenderedPageBreak/>
        <w:t>body, which makes possible a correct use of time, nothing must remain idle or useless: everything must be called upon to form the support of the act required. A well-disciplined body forms the operational context of the slightest gesture</w:t>
      </w:r>
      <w:r w:rsidR="00B80CB8" w:rsidRPr="009A7163">
        <w:t>…</w:t>
      </w:r>
      <w:r w:rsidR="00984B7A" w:rsidRPr="009A7163">
        <w:t xml:space="preserve">’ </w:t>
      </w:r>
      <w:r w:rsidR="00477CC3" w:rsidRPr="009A7163">
        <w:t>(p</w:t>
      </w:r>
      <w:r w:rsidR="001662C8" w:rsidRPr="009A7163">
        <w:t>.</w:t>
      </w:r>
      <w:r w:rsidR="00984B7A" w:rsidRPr="009A7163">
        <w:t xml:space="preserve"> </w:t>
      </w:r>
      <w:r w:rsidR="001662C8" w:rsidRPr="009A7163">
        <w:t>151)</w:t>
      </w:r>
      <w:r w:rsidR="00477CC3" w:rsidRPr="009A7163">
        <w:t xml:space="preserve">. Time use and viewing activities divided into sections </w:t>
      </w:r>
      <w:r w:rsidR="00984B7A" w:rsidRPr="009A7163">
        <w:t xml:space="preserve">based on how time is valued </w:t>
      </w:r>
      <w:r w:rsidR="00477CC3" w:rsidRPr="009A7163">
        <w:t>in terms of efficiency</w:t>
      </w:r>
      <w:r w:rsidR="00984B7A" w:rsidRPr="009A7163">
        <w:t>,</w:t>
      </w:r>
      <w:r w:rsidR="00477CC3" w:rsidRPr="009A7163">
        <w:t xml:space="preserve"> i.e.</w:t>
      </w:r>
      <w:r w:rsidR="00984B7A" w:rsidRPr="009A7163">
        <w:t>,</w:t>
      </w:r>
      <w:r w:rsidR="00477CC3" w:rsidRPr="009A7163">
        <w:t xml:space="preserve"> in relation to production</w:t>
      </w:r>
      <w:r w:rsidR="00984B7A" w:rsidRPr="009A7163">
        <w:t>,</w:t>
      </w:r>
      <w:r w:rsidR="00477CC3" w:rsidRPr="009A7163">
        <w:t xml:space="preserve"> is not neutral or value free.  </w:t>
      </w:r>
    </w:p>
    <w:p w14:paraId="7BBF718A" w14:textId="4744274F" w:rsidR="00BF0A4A" w:rsidRPr="009A7163" w:rsidRDefault="0034314A" w:rsidP="002064B0">
      <w:pPr>
        <w:spacing w:line="360" w:lineRule="auto"/>
        <w:ind w:firstLine="720"/>
        <w:jc w:val="both"/>
      </w:pPr>
      <w:r w:rsidRPr="009A7163">
        <w:t>Another limitation</w:t>
      </w:r>
      <w:r w:rsidR="00F52AFF" w:rsidRPr="009A7163">
        <w:t xml:space="preserve"> highlighted by Waring </w:t>
      </w:r>
      <w:r w:rsidR="00984B7A" w:rsidRPr="009A7163">
        <w:t>(</w:t>
      </w:r>
      <w:r w:rsidR="007D4C5B" w:rsidRPr="009A7163">
        <w:t>2010</w:t>
      </w:r>
      <w:r w:rsidR="00984B7A" w:rsidRPr="009A7163">
        <w:t xml:space="preserve">) </w:t>
      </w:r>
      <w:r w:rsidR="00F52AFF" w:rsidRPr="009A7163">
        <w:t>is when TUS are used to produce data but without being guided or useful for creating policies. She argues that TUS data may be of interest to government official</w:t>
      </w:r>
      <w:r w:rsidR="00984B7A" w:rsidRPr="009A7163">
        <w:t>,</w:t>
      </w:r>
      <w:r w:rsidR="00F52AFF" w:rsidRPr="009A7163">
        <w:t xml:space="preserve"> but its usefulness for servin</w:t>
      </w:r>
      <w:r w:rsidR="00D66854" w:rsidRPr="009A7163">
        <w:t>g</w:t>
      </w:r>
      <w:r w:rsidR="00F52AFF" w:rsidRPr="009A7163">
        <w:t xml:space="preserve"> a purpose can sometimes be lost in the proces</w:t>
      </w:r>
      <w:r w:rsidR="00984B7A" w:rsidRPr="009A7163">
        <w:t>s, stating:</w:t>
      </w:r>
    </w:p>
    <w:p w14:paraId="0FF70ED7" w14:textId="1CA4CF07" w:rsidR="00F52AFF" w:rsidRPr="009A7163" w:rsidRDefault="00F52AFF" w:rsidP="007A3A29">
      <w:pPr>
        <w:pStyle w:val="NormalWeb"/>
        <w:spacing w:before="0" w:beforeAutospacing="0" w:after="180" w:afterAutospacing="0"/>
        <w:ind w:left="720"/>
        <w:jc w:val="both"/>
        <w:rPr>
          <w:rFonts w:eastAsia="Times New Roman"/>
          <w:lang w:eastAsia="en-US"/>
        </w:rPr>
      </w:pPr>
      <w:r w:rsidRPr="009A7163">
        <w:t xml:space="preserve">I </w:t>
      </w:r>
      <w:r w:rsidRPr="009A7163">
        <w:rPr>
          <w:rFonts w:eastAsia="Times New Roman"/>
          <w:lang w:eastAsia="en-US"/>
        </w:rPr>
        <w:t xml:space="preserve">am now categorically convinced that imputation is an unnecessary step in the most effective use of the time use data. Imputation diminishes the value of the raw data and converts it to an abstract through which the most important details for strategic policy interventions have been lost. Certainly, I recognize the activists’ desires to use imputation to support their submitted arguments in order to gain the attention of finance ministries and other multilateral agencies, but there is no need to assign or impute a monetary value for this work for strategic policy purposes. (Waring, </w:t>
      </w:r>
      <w:r w:rsidR="007D4C5B" w:rsidRPr="009A7163">
        <w:rPr>
          <w:rFonts w:eastAsia="Times New Roman"/>
          <w:lang w:eastAsia="en-US"/>
        </w:rPr>
        <w:t>2010</w:t>
      </w:r>
      <w:r w:rsidR="00B80CB8" w:rsidRPr="009A7163">
        <w:rPr>
          <w:rFonts w:eastAsia="Times New Roman"/>
          <w:lang w:eastAsia="en-US"/>
        </w:rPr>
        <w:t>,</w:t>
      </w:r>
      <w:r w:rsidR="00984B7A" w:rsidRPr="009A7163">
        <w:rPr>
          <w:rFonts w:eastAsia="Times New Roman"/>
          <w:lang w:eastAsia="en-US"/>
        </w:rPr>
        <w:t xml:space="preserve"> </w:t>
      </w:r>
      <w:r w:rsidRPr="009A7163">
        <w:rPr>
          <w:rFonts w:eastAsia="Times New Roman"/>
          <w:lang w:eastAsia="en-US"/>
        </w:rPr>
        <w:t>p.</w:t>
      </w:r>
      <w:r w:rsidR="00984B7A" w:rsidRPr="009A7163">
        <w:rPr>
          <w:rFonts w:eastAsia="Times New Roman"/>
          <w:lang w:eastAsia="en-US"/>
        </w:rPr>
        <w:t xml:space="preserve"> </w:t>
      </w:r>
      <w:r w:rsidRPr="009A7163">
        <w:rPr>
          <w:rFonts w:eastAsia="Times New Roman"/>
          <w:lang w:eastAsia="en-US"/>
        </w:rPr>
        <w:t>227)</w:t>
      </w:r>
    </w:p>
    <w:p w14:paraId="5C55E8EF" w14:textId="56D7BA51" w:rsidR="00F52AFF" w:rsidRPr="009A7163" w:rsidRDefault="00F52AFF" w:rsidP="007A3A29">
      <w:pPr>
        <w:pStyle w:val="NormalWeb"/>
        <w:spacing w:before="0" w:beforeAutospacing="0" w:after="0" w:afterAutospacing="0" w:line="360" w:lineRule="auto"/>
        <w:ind w:firstLine="720"/>
        <w:jc w:val="both"/>
      </w:pPr>
      <w:r w:rsidRPr="009A7163">
        <w:rPr>
          <w:rFonts w:eastAsia="Times New Roman"/>
          <w:lang w:eastAsia="en-US"/>
        </w:rPr>
        <w:t xml:space="preserve">Waring </w:t>
      </w:r>
      <w:r w:rsidR="007D4C5B" w:rsidRPr="009A7163">
        <w:rPr>
          <w:rFonts w:eastAsia="Times New Roman"/>
          <w:lang w:eastAsia="en-US"/>
        </w:rPr>
        <w:t>(2010)</w:t>
      </w:r>
      <w:r w:rsidR="00984B7A" w:rsidRPr="009A7163">
        <w:rPr>
          <w:rFonts w:eastAsia="Times New Roman"/>
          <w:lang w:eastAsia="en-US"/>
        </w:rPr>
        <w:t xml:space="preserve"> </w:t>
      </w:r>
      <w:r w:rsidRPr="009A7163">
        <w:rPr>
          <w:rFonts w:eastAsia="Times New Roman"/>
          <w:lang w:eastAsia="en-US"/>
        </w:rPr>
        <w:t xml:space="preserve">argues that the design of any instrument to capture data for policy decisions must be closely related to strategic objectives to avoid a ‘grab bag’ approach (Waring, </w:t>
      </w:r>
      <w:r w:rsidR="007D4C5B" w:rsidRPr="009A7163">
        <w:rPr>
          <w:rFonts w:eastAsia="Times New Roman"/>
          <w:lang w:eastAsia="en-US"/>
        </w:rPr>
        <w:t>2010</w:t>
      </w:r>
      <w:r w:rsidR="00B80CB8" w:rsidRPr="009A7163">
        <w:rPr>
          <w:rFonts w:eastAsia="Times New Roman"/>
          <w:lang w:eastAsia="en-US"/>
        </w:rPr>
        <w:t>,</w:t>
      </w:r>
      <w:r w:rsidR="00984B7A" w:rsidRPr="009A7163">
        <w:rPr>
          <w:rFonts w:eastAsia="Times New Roman"/>
          <w:lang w:eastAsia="en-US"/>
        </w:rPr>
        <w:t xml:space="preserve"> </w:t>
      </w:r>
      <w:r w:rsidRPr="009A7163">
        <w:rPr>
          <w:rFonts w:eastAsia="Times New Roman"/>
          <w:lang w:eastAsia="en-US"/>
        </w:rPr>
        <w:t>p.</w:t>
      </w:r>
      <w:r w:rsidR="00984B7A" w:rsidRPr="009A7163">
        <w:rPr>
          <w:rFonts w:eastAsia="Times New Roman"/>
          <w:lang w:eastAsia="en-US"/>
        </w:rPr>
        <w:t xml:space="preserve"> </w:t>
      </w:r>
      <w:r w:rsidRPr="009A7163">
        <w:rPr>
          <w:rFonts w:eastAsia="Times New Roman"/>
          <w:lang w:eastAsia="en-US"/>
        </w:rPr>
        <w:t>239)</w:t>
      </w:r>
      <w:r w:rsidR="00984B7A" w:rsidRPr="009A7163">
        <w:rPr>
          <w:rFonts w:eastAsia="Times New Roman"/>
          <w:lang w:eastAsia="en-US"/>
        </w:rPr>
        <w:t xml:space="preserve">. </w:t>
      </w:r>
      <w:r w:rsidR="00DC36A7" w:rsidRPr="009A7163">
        <w:rPr>
          <w:rFonts w:eastAsia="Times New Roman"/>
          <w:lang w:eastAsia="en-US"/>
        </w:rPr>
        <w:t>TUS can at times be at risk of being too</w:t>
      </w:r>
      <w:r w:rsidR="0020199E" w:rsidRPr="009A7163">
        <w:rPr>
          <w:rFonts w:eastAsia="Times New Roman"/>
          <w:lang w:eastAsia="en-US"/>
        </w:rPr>
        <w:t xml:space="preserve"> long and therein gather information for the study </w:t>
      </w:r>
      <w:r w:rsidR="00984B7A" w:rsidRPr="009A7163">
        <w:rPr>
          <w:rFonts w:eastAsia="Times New Roman"/>
          <w:lang w:eastAsia="en-US"/>
        </w:rPr>
        <w:t>that</w:t>
      </w:r>
      <w:r w:rsidR="0020199E" w:rsidRPr="009A7163">
        <w:rPr>
          <w:rFonts w:eastAsia="Times New Roman"/>
          <w:lang w:eastAsia="en-US"/>
        </w:rPr>
        <w:t xml:space="preserve"> may be not be useful, if TUS is undertaken as personal interview method, bias can be introduced (different interviewers may give distinct interpretations to questions, in process of probing interviews may suggest answers, personal </w:t>
      </w:r>
      <w:r w:rsidR="00AA3129" w:rsidRPr="009A7163">
        <w:rPr>
          <w:rFonts w:eastAsia="Times New Roman"/>
          <w:lang w:eastAsia="en-US"/>
        </w:rPr>
        <w:t>characteristics</w:t>
      </w:r>
      <w:r w:rsidR="0020199E" w:rsidRPr="009A7163">
        <w:rPr>
          <w:rFonts w:eastAsia="Times New Roman"/>
          <w:lang w:eastAsia="en-US"/>
        </w:rPr>
        <w:t xml:space="preserve"> of interviewers may influce attitudes. </w:t>
      </w:r>
      <w:r w:rsidR="005F0AFD" w:rsidRPr="009A7163">
        <w:rPr>
          <w:rFonts w:eastAsia="Times New Roman"/>
          <w:lang w:eastAsia="en-US"/>
        </w:rPr>
        <w:t>Furthermore,</w:t>
      </w:r>
      <w:r w:rsidR="0020199E" w:rsidRPr="009A7163">
        <w:rPr>
          <w:rFonts w:eastAsia="Times New Roman"/>
          <w:lang w:eastAsia="en-US"/>
        </w:rPr>
        <w:t xml:space="preserve"> if open coding is used, it can create repetition and unnecessary information</w:t>
      </w:r>
      <w:r w:rsidR="00B80CB8" w:rsidRPr="009A7163">
        <w:rPr>
          <w:rFonts w:eastAsia="Times New Roman"/>
          <w:lang w:eastAsia="en-US"/>
        </w:rPr>
        <w:t>.</w:t>
      </w:r>
      <w:r w:rsidR="0020199E" w:rsidRPr="009A7163">
        <w:rPr>
          <w:rFonts w:eastAsia="Times New Roman"/>
          <w:lang w:eastAsia="en-US"/>
        </w:rPr>
        <w:t xml:space="preserve"> TUS also raise issues of time use measurement units</w:t>
      </w:r>
      <w:r w:rsidR="0066243D" w:rsidRPr="009A7163">
        <w:rPr>
          <w:rFonts w:eastAsia="Times New Roman"/>
          <w:lang w:eastAsia="en-US"/>
        </w:rPr>
        <w:t>.</w:t>
      </w:r>
      <w:r w:rsidR="00642A82" w:rsidRPr="009A7163">
        <w:rPr>
          <w:rFonts w:eastAsia="Times New Roman"/>
          <w:lang w:eastAsia="en-US"/>
        </w:rPr>
        <w:t xml:space="preserve"> </w:t>
      </w:r>
    </w:p>
    <w:p w14:paraId="7E2F3DC7" w14:textId="2D139F13" w:rsidR="001441DA" w:rsidRPr="009A7163" w:rsidRDefault="002C707D" w:rsidP="002064B0">
      <w:pPr>
        <w:spacing w:line="360" w:lineRule="auto"/>
        <w:ind w:firstLine="720"/>
        <w:jc w:val="both"/>
      </w:pPr>
      <w:r w:rsidRPr="009A7163">
        <w:t xml:space="preserve">A </w:t>
      </w:r>
      <w:r w:rsidR="0034314A" w:rsidRPr="009A7163">
        <w:t xml:space="preserve">third </w:t>
      </w:r>
      <w:r w:rsidRPr="009A7163">
        <w:t xml:space="preserve">issue is that of </w:t>
      </w:r>
      <w:r w:rsidR="00430E65" w:rsidRPr="009A7163">
        <w:t>non-response</w:t>
      </w:r>
      <w:r w:rsidRPr="009A7163">
        <w:t xml:space="preserve"> or women not being available or willing to participate in a TUS. This occurred a number of times with women participants who were not at their houses when we arrived due to housework duties outside of the house (</w:t>
      </w:r>
      <w:r w:rsidR="001441DA" w:rsidRPr="009A7163">
        <w:t xml:space="preserve">e.g., </w:t>
      </w:r>
      <w:r w:rsidRPr="009A7163">
        <w:t>washing in a nearby river, tending to animals or family plots of land or due to organizational work</w:t>
      </w:r>
      <w:r w:rsidR="001441DA" w:rsidRPr="009A7163">
        <w:t xml:space="preserve">, </w:t>
      </w:r>
      <w:r w:rsidRPr="009A7163">
        <w:t xml:space="preserve">including workshops and/or meetings related to the initiative). </w:t>
      </w:r>
    </w:p>
    <w:p w14:paraId="61C42C98" w14:textId="77257BE8" w:rsidR="00644F86" w:rsidRPr="009A7163" w:rsidRDefault="001441DA" w:rsidP="002064B0">
      <w:pPr>
        <w:spacing w:line="360" w:lineRule="auto"/>
        <w:ind w:firstLine="720"/>
        <w:jc w:val="both"/>
      </w:pPr>
      <w:r w:rsidRPr="009A7163">
        <w:t>A fourth</w:t>
      </w:r>
      <w:r w:rsidR="002C707D" w:rsidRPr="009A7163">
        <w:t xml:space="preserve"> stated limitation with TUS is a lack of pictorial/participatory element</w:t>
      </w:r>
      <w:r w:rsidR="001C7FEF" w:rsidRPr="009A7163">
        <w:t xml:space="preserve">. </w:t>
      </w:r>
      <w:r w:rsidR="002C707D" w:rsidRPr="009A7163">
        <w:t>Action Aid (</w:t>
      </w:r>
      <w:r w:rsidR="00B80CB8" w:rsidRPr="009A7163">
        <w:t>s</w:t>
      </w:r>
      <w:r w:rsidR="002C707D" w:rsidRPr="009A7163">
        <w:t>ee ActionAid, 2013) and Oxfam (</w:t>
      </w:r>
      <w:r w:rsidRPr="009A7163">
        <w:t>s</w:t>
      </w:r>
      <w:r w:rsidR="002C707D" w:rsidRPr="009A7163">
        <w:t>ee Kidder and Pionetti, 2013) have developed more participatory and visual ways of collecting time use data.</w:t>
      </w:r>
      <w:r w:rsidR="00B550C1" w:rsidRPr="009A7163">
        <w:t xml:space="preserve"> </w:t>
      </w:r>
      <w:r w:rsidR="002C707D" w:rsidRPr="009A7163">
        <w:t xml:space="preserve">I piloted a time use visualisation instrument (TUVI) as a response to the limitations of the structure of the </w:t>
      </w:r>
      <w:r w:rsidR="008724E3" w:rsidRPr="009A7163">
        <w:t>TUS</w:t>
      </w:r>
      <w:r w:rsidR="002C707D" w:rsidRPr="009A7163">
        <w:t xml:space="preserve"> and this will be discussed in more detail below. </w:t>
      </w:r>
      <w:r w:rsidR="003F4570" w:rsidRPr="009A7163">
        <w:t xml:space="preserve">The </w:t>
      </w:r>
      <w:r w:rsidR="008724E3" w:rsidRPr="009A7163">
        <w:t>TUS</w:t>
      </w:r>
      <w:r w:rsidR="003F4570" w:rsidRPr="009A7163">
        <w:t xml:space="preserve"> were more </w:t>
      </w:r>
      <w:r w:rsidR="003F4570" w:rsidRPr="009A7163">
        <w:lastRenderedPageBreak/>
        <w:t>participatory</w:t>
      </w:r>
      <w:r w:rsidR="002317DE" w:rsidRPr="009A7163">
        <w:t xml:space="preserve"> than standard TUS</w:t>
      </w:r>
      <w:r w:rsidR="003F4570" w:rsidRPr="009A7163">
        <w:t xml:space="preserve"> </w:t>
      </w:r>
      <w:r w:rsidR="004B3334" w:rsidRPr="009A7163">
        <w:t xml:space="preserve">tables </w:t>
      </w:r>
      <w:r w:rsidR="00E705DF" w:rsidRPr="009A7163">
        <w:t xml:space="preserve">filled out by </w:t>
      </w:r>
      <w:r w:rsidR="0076015F" w:rsidRPr="009A7163">
        <w:t xml:space="preserve">an </w:t>
      </w:r>
      <w:r w:rsidR="00E705DF" w:rsidRPr="009A7163">
        <w:t xml:space="preserve">interviewer; </w:t>
      </w:r>
      <w:r w:rsidR="004B3334" w:rsidRPr="009A7163">
        <w:t xml:space="preserve">as the TUVI </w:t>
      </w:r>
      <w:r w:rsidR="003F4570" w:rsidRPr="009A7163">
        <w:t xml:space="preserve">gave the participants the </w:t>
      </w:r>
      <w:r w:rsidR="00580D3C" w:rsidRPr="009A7163">
        <w:t>opportunity to</w:t>
      </w:r>
      <w:r w:rsidR="003F4570" w:rsidRPr="009A7163">
        <w:t xml:space="preserve"> visualise </w:t>
      </w:r>
      <w:r w:rsidR="00580D3C" w:rsidRPr="009A7163">
        <w:t xml:space="preserve">and reflect on </w:t>
      </w:r>
      <w:r w:rsidR="003F4570" w:rsidRPr="009A7163">
        <w:t xml:space="preserve">their time use. </w:t>
      </w:r>
      <w:r w:rsidR="00580D3C" w:rsidRPr="009A7163">
        <w:t xml:space="preserve">The </w:t>
      </w:r>
      <w:r w:rsidR="0076015F" w:rsidRPr="009A7163">
        <w:t xml:space="preserve">visual </w:t>
      </w:r>
      <w:r w:rsidR="004B3334" w:rsidRPr="009A7163">
        <w:t xml:space="preserve">circle of time allowed </w:t>
      </w:r>
      <w:r w:rsidR="00580D3C" w:rsidRPr="009A7163">
        <w:t>for a non-linear approach to discussions on time use whereby participants could go back and fill in spaces</w:t>
      </w:r>
      <w:r w:rsidRPr="009A7163">
        <w:t>,</w:t>
      </w:r>
      <w:r w:rsidR="00580D3C" w:rsidRPr="009A7163">
        <w:t xml:space="preserve"> start at different points on the clock face or diverge from the paper and talk about something that was important to them. </w:t>
      </w:r>
      <w:r w:rsidR="00644F86" w:rsidRPr="009A7163">
        <w:t xml:space="preserve">Whilst the TUVI was developed as a response to the issues with standard TUS, the repeated use of the TUVI </w:t>
      </w:r>
      <w:r w:rsidR="00644F86" w:rsidRPr="009A7163">
        <w:rPr>
          <w:bCs/>
        </w:rPr>
        <w:t xml:space="preserve">produced a process of reflection with the women participants </w:t>
      </w:r>
      <w:r w:rsidRPr="009A7163">
        <w:rPr>
          <w:bCs/>
        </w:rPr>
        <w:t>that</w:t>
      </w:r>
      <w:r w:rsidR="00644F86" w:rsidRPr="009A7163">
        <w:rPr>
          <w:bCs/>
        </w:rPr>
        <w:t xml:space="preserve"> was cited</w:t>
      </w:r>
      <w:r w:rsidR="001C7FEF" w:rsidRPr="009A7163">
        <w:rPr>
          <w:bCs/>
        </w:rPr>
        <w:t xml:space="preserve"> by the women </w:t>
      </w:r>
      <w:r w:rsidR="00644F86" w:rsidRPr="009A7163">
        <w:rPr>
          <w:bCs/>
        </w:rPr>
        <w:t>as</w:t>
      </w:r>
      <w:r w:rsidR="001C7FEF" w:rsidRPr="009A7163">
        <w:rPr>
          <w:bCs/>
        </w:rPr>
        <w:t xml:space="preserve"> being</w:t>
      </w:r>
      <w:r w:rsidR="00644F86" w:rsidRPr="009A7163">
        <w:rPr>
          <w:bCs/>
        </w:rPr>
        <w:t xml:space="preserve"> very valuable to the</w:t>
      </w:r>
      <w:r w:rsidR="001C7FEF" w:rsidRPr="009A7163">
        <w:rPr>
          <w:bCs/>
        </w:rPr>
        <w:t>m</w:t>
      </w:r>
      <w:r w:rsidR="00644F86" w:rsidRPr="009A7163">
        <w:rPr>
          <w:bCs/>
        </w:rPr>
        <w:t xml:space="preserve">. </w:t>
      </w:r>
      <w:r w:rsidR="00C27776" w:rsidRPr="009A7163">
        <w:rPr>
          <w:bCs/>
        </w:rPr>
        <w:t xml:space="preserve">When the TUVI was piloted in a group space, a number of the women began to comment on how they could actually do more with their time and they began to view themselves as not being </w:t>
      </w:r>
      <w:r w:rsidRPr="009A7163">
        <w:rPr>
          <w:bCs/>
        </w:rPr>
        <w:t>‘</w:t>
      </w:r>
      <w:r w:rsidR="00C27776" w:rsidRPr="009A7163">
        <w:rPr>
          <w:bCs/>
        </w:rPr>
        <w:t>efficient</w:t>
      </w:r>
      <w:r w:rsidRPr="009A7163">
        <w:rPr>
          <w:bCs/>
        </w:rPr>
        <w:t>’</w:t>
      </w:r>
      <w:r w:rsidR="00C27776" w:rsidRPr="009A7163">
        <w:rPr>
          <w:bCs/>
        </w:rPr>
        <w:t xml:space="preserve"> and turned inwards. </w:t>
      </w:r>
      <w:r w:rsidR="00630E32" w:rsidRPr="009A7163">
        <w:rPr>
          <w:bCs/>
        </w:rPr>
        <w:t>However,</w:t>
      </w:r>
      <w:r w:rsidR="00C27776" w:rsidRPr="009A7163">
        <w:rPr>
          <w:bCs/>
        </w:rPr>
        <w:t xml:space="preserve"> when </w:t>
      </w:r>
      <w:r w:rsidR="00630E32" w:rsidRPr="009A7163">
        <w:rPr>
          <w:bCs/>
        </w:rPr>
        <w:t>the women reflected individually</w:t>
      </w:r>
      <w:r w:rsidR="00C27776" w:rsidRPr="009A7163">
        <w:rPr>
          <w:bCs/>
        </w:rPr>
        <w:t>, they began to identify overall patterns and how their work was connected to other members of the family as well as production.</w:t>
      </w:r>
      <w:r w:rsidR="00B3467C" w:rsidRPr="009A7163">
        <w:rPr>
          <w:bCs/>
        </w:rPr>
        <w:t xml:space="preserve"> </w:t>
      </w:r>
      <w:r w:rsidR="00644F86" w:rsidRPr="009A7163">
        <w:rPr>
          <w:bCs/>
        </w:rPr>
        <w:t>These un</w:t>
      </w:r>
      <w:r w:rsidR="001C7FEF" w:rsidRPr="009A7163">
        <w:rPr>
          <w:bCs/>
        </w:rPr>
        <w:t>expected</w:t>
      </w:r>
      <w:r w:rsidR="00644F86" w:rsidRPr="009A7163">
        <w:rPr>
          <w:bCs/>
        </w:rPr>
        <w:t xml:space="preserve"> </w:t>
      </w:r>
      <w:r w:rsidR="00CB469C" w:rsidRPr="009A7163">
        <w:rPr>
          <w:bCs/>
        </w:rPr>
        <w:t>processes as a result of TUS</w:t>
      </w:r>
      <w:r w:rsidR="00644F86" w:rsidRPr="009A7163">
        <w:rPr>
          <w:bCs/>
        </w:rPr>
        <w:t xml:space="preserve"> will be detailed in the results chapters.</w:t>
      </w:r>
    </w:p>
    <w:p w14:paraId="070211B1" w14:textId="34979320" w:rsidR="002C707D" w:rsidRPr="009A7163" w:rsidRDefault="002C707D" w:rsidP="00C22AFE">
      <w:pPr>
        <w:spacing w:line="360" w:lineRule="auto"/>
        <w:ind w:firstLine="720"/>
        <w:jc w:val="both"/>
      </w:pPr>
      <w:r w:rsidRPr="009A7163">
        <w:t>Lastly</w:t>
      </w:r>
      <w:r w:rsidR="001441DA" w:rsidRPr="009A7163">
        <w:t>,</w:t>
      </w:r>
      <w:r w:rsidRPr="009A7163">
        <w:t xml:space="preserve"> as a reflection on the methods of TUS, there is no objective way of collecting time use data</w:t>
      </w:r>
      <w:r w:rsidR="001441DA" w:rsidRPr="009A7163">
        <w:t>.</w:t>
      </w:r>
      <w:r w:rsidRPr="009A7163">
        <w:t xml:space="preserve"> </w:t>
      </w:r>
      <w:r w:rsidR="001441DA" w:rsidRPr="009A7163">
        <w:t>A</w:t>
      </w:r>
      <w:r w:rsidRPr="009A7163">
        <w:t>ll questionnaires – even supposedly value-free diaries – structure respondents’ answers in different ways, and the analysis shapes results. Furthermore, lists (either exhaustive or short tasks lists) show researchers</w:t>
      </w:r>
      <w:r w:rsidR="001441DA" w:rsidRPr="009A7163">
        <w:t>’</w:t>
      </w:r>
      <w:r w:rsidRPr="009A7163">
        <w:t xml:space="preserve"> interests by singling out some issues and leaving out others, and by wording activities in ways that might (or might not) sound familiar to respondents. </w:t>
      </w:r>
      <w:r w:rsidR="00B80CB8" w:rsidRPr="009A7163">
        <w:t>T</w:t>
      </w:r>
      <w:r w:rsidRPr="009A7163">
        <w:t>ime slots</w:t>
      </w:r>
      <w:r w:rsidR="00B80CB8" w:rsidRPr="009A7163">
        <w:t xml:space="preserve"> in diaries</w:t>
      </w:r>
      <w:r w:rsidRPr="009A7163">
        <w:t xml:space="preserve"> also signal what a significant activity is and is not.</w:t>
      </w:r>
    </w:p>
    <w:p w14:paraId="756D705E" w14:textId="35F413CF" w:rsidR="002C707D" w:rsidRPr="009A7163" w:rsidRDefault="002C707D" w:rsidP="002C707D">
      <w:pPr>
        <w:spacing w:line="360" w:lineRule="auto"/>
        <w:ind w:firstLine="720"/>
        <w:jc w:val="both"/>
      </w:pPr>
      <w:r w:rsidRPr="009A7163">
        <w:t xml:space="preserve">A number of these limitations came up during my fieldwork, which led to modifications in the time use instrument. What follows is a description of each version of the </w:t>
      </w:r>
      <w:r w:rsidR="008724E3" w:rsidRPr="009A7163">
        <w:t>TUS</w:t>
      </w:r>
      <w:r w:rsidRPr="009A7163">
        <w:t xml:space="preserve"> that was used:</w:t>
      </w:r>
    </w:p>
    <w:p w14:paraId="027CACEB" w14:textId="3663BA98" w:rsidR="002C707D" w:rsidRPr="009A7163" w:rsidRDefault="002C707D" w:rsidP="003D3C63">
      <w:pPr>
        <w:numPr>
          <w:ilvl w:val="0"/>
          <w:numId w:val="4"/>
        </w:numPr>
        <w:spacing w:line="360" w:lineRule="auto"/>
        <w:jc w:val="both"/>
      </w:pPr>
      <w:r w:rsidRPr="009A7163">
        <w:rPr>
          <w:i/>
          <w:u w:val="single"/>
        </w:rPr>
        <w:t>TUS 1</w:t>
      </w:r>
      <w:r w:rsidRPr="009A7163">
        <w:t>: In this first round of the data collection, the TUS, named TUVI 1, started from 4am and finished at 4am in hourly spots. The TUS was based on a 24-hour recall of the previous day and the participants were asked to talk about what they did each hour. There were three columns for each hour: principal activity, simultaneous activities and observations. This TUS was revised seven times (via consultation with key contacts at cooperative and mini pilots) until the final version was ready to be administered. We had issues with this TUS format due to the small boxes and the non-linear way that women talked about time. It was hard to fill in the table boxes neatly, engage with the women, and actively listen</w:t>
      </w:r>
      <w:r w:rsidR="005C5C8E" w:rsidRPr="009A7163">
        <w:t xml:space="preserve"> simultaneously</w:t>
      </w:r>
      <w:r w:rsidR="00B80CB8" w:rsidRPr="009A7163">
        <w:t xml:space="preserve"> (s</w:t>
      </w:r>
      <w:r w:rsidR="005C5C8E" w:rsidRPr="009A7163">
        <w:t>ee Appendix D</w:t>
      </w:r>
      <w:r w:rsidRPr="009A7163">
        <w:t xml:space="preserve"> for TUS 1)</w:t>
      </w:r>
      <w:r w:rsidR="00B80CB8" w:rsidRPr="009A7163">
        <w:t>.</w:t>
      </w:r>
    </w:p>
    <w:p w14:paraId="04025851" w14:textId="04451988" w:rsidR="002C707D" w:rsidRPr="009A7163" w:rsidRDefault="002C707D" w:rsidP="003D3C63">
      <w:pPr>
        <w:numPr>
          <w:ilvl w:val="0"/>
          <w:numId w:val="4"/>
        </w:numPr>
        <w:spacing w:line="360" w:lineRule="auto"/>
        <w:jc w:val="both"/>
      </w:pPr>
      <w:r w:rsidRPr="009A7163">
        <w:rPr>
          <w:i/>
          <w:u w:val="single"/>
        </w:rPr>
        <w:lastRenderedPageBreak/>
        <w:t>TUS 2</w:t>
      </w:r>
      <w:r w:rsidRPr="009A7163">
        <w:rPr>
          <w:u w:val="single"/>
        </w:rPr>
        <w:t>:</w:t>
      </w:r>
      <w:r w:rsidRPr="009A7163">
        <w:t xml:space="preserve"> This was part of a Household Care Survey (to be discussed below) and was a one-day recall similar to TUS 1. The difference was it had pre-defined categories </w:t>
      </w:r>
      <w:r w:rsidR="001441DA" w:rsidRPr="009A7163">
        <w:t>that gave</w:t>
      </w:r>
      <w:r w:rsidRPr="009A7163">
        <w:t xml:space="preserve"> codes for tim</w:t>
      </w:r>
      <w:r w:rsidR="005C5C8E" w:rsidRPr="009A7163">
        <w:t>e use activities (see Appendix E</w:t>
      </w:r>
      <w:r w:rsidRPr="009A7163">
        <w:t xml:space="preserve"> for TUS 2</w:t>
      </w:r>
      <w:r w:rsidR="00213104" w:rsidRPr="009A7163">
        <w:t>-HCA</w:t>
      </w:r>
      <w:r w:rsidRPr="009A7163">
        <w:t>)</w:t>
      </w:r>
      <w:r w:rsidR="001441DA" w:rsidRPr="009A7163">
        <w:t>. This</w:t>
      </w:r>
      <w:r w:rsidRPr="009A7163">
        <w:t xml:space="preserve"> meant that as the women named the activity they undertook in the hour slot, a code was written down to correspond to that </w:t>
      </w:r>
      <w:r w:rsidR="001441DA" w:rsidRPr="009A7163">
        <w:t>slot</w:t>
      </w:r>
      <w:r w:rsidRPr="009A7163">
        <w:t>. There was space for other codes to be generated if women mentioned ones that were not on the list. The TUS also had extra columns to capture simultaneous activities. Unlike TUS 1, there were specific questions for each column. The first asked: What was the principal activity that you were you doing at this hour? The second column asked: What else were you doing? The third column asked: Were you looking after a minor in this moment? And the last column asked: Were you responsible for looking after an adult who requires special care in this moment/hour also? The purpose of separating these questions into columns was due to the common observation that the simultaneous activity that women preform is consistently underreported in TUS (Budlander, 2007). The issue with this TUS version was that again it was hard to locate codes and fill out the hourly activities, as well as simultaneous activities, whilst the women talked about their day. Often the women would forget activities (and some even saw the list, asked about it and began to diligently add activities in in order to comply with the list), go back to certain activities later</w:t>
      </w:r>
      <w:r w:rsidR="001441DA" w:rsidRPr="009A7163">
        <w:t xml:space="preserve"> or</w:t>
      </w:r>
      <w:r w:rsidRPr="009A7163">
        <w:t xml:space="preserve"> be unaware of exact time spent on activities or even the hour that they undertook the activities. Whilst engaging in an active and empathetic interview, it was cumbersome to search for codes and add whilst listening to the women.</w:t>
      </w:r>
    </w:p>
    <w:p w14:paraId="6902BD98" w14:textId="465779AE" w:rsidR="002C707D" w:rsidRPr="009A7163" w:rsidRDefault="002C707D" w:rsidP="003D3C63">
      <w:pPr>
        <w:numPr>
          <w:ilvl w:val="0"/>
          <w:numId w:val="4"/>
        </w:numPr>
        <w:spacing w:line="360" w:lineRule="auto"/>
        <w:jc w:val="both"/>
      </w:pPr>
      <w:r w:rsidRPr="009A7163">
        <w:rPr>
          <w:i/>
          <w:u w:val="single"/>
        </w:rPr>
        <w:t>TUVI 1</w:t>
      </w:r>
      <w:r w:rsidRPr="009A7163">
        <w:t>: The third TUS in the third round of research was changed so that instead of it being an administered TUS, the TUS was modified to be a clock face w</w:t>
      </w:r>
      <w:r w:rsidR="004D06D8" w:rsidRPr="009A7163">
        <w:t>ith visual icons (</w:t>
      </w:r>
      <w:r w:rsidR="001441DA" w:rsidRPr="009A7163">
        <w:t>s</w:t>
      </w:r>
      <w:r w:rsidR="004D06D8" w:rsidRPr="009A7163">
        <w:t>ee Appendix F</w:t>
      </w:r>
      <w:r w:rsidRPr="009A7163">
        <w:t xml:space="preserve">) that replaced the codes from the list. This new TUS was to be a visual tool for recalling time and activities and reconstructing the previous day. I decided to change the name from a TUS to a </w:t>
      </w:r>
      <w:r w:rsidR="00B80CB8" w:rsidRPr="009A7163">
        <w:t xml:space="preserve">time use visualisation instrument </w:t>
      </w:r>
      <w:r w:rsidRPr="009A7163">
        <w:t>(TUVI). As I set out in my research approach, I was aware of the tension around participatory methodologies that claim to ‘empower’ and aim to effect change</w:t>
      </w:r>
      <w:r w:rsidR="00C27776" w:rsidRPr="009A7163">
        <w:t xml:space="preserve"> and how often in reality the process is controlled by the interested party</w:t>
      </w:r>
      <w:r w:rsidR="00F46B7E" w:rsidRPr="009A7163">
        <w:t>;</w:t>
      </w:r>
      <w:r w:rsidRPr="009A7163">
        <w:t xml:space="preserve"> however, I chose this participatory tool as it seemed an appropriate modification for the context and I hoped that it would </w:t>
      </w:r>
      <w:r w:rsidRPr="009A7163">
        <w:lastRenderedPageBreak/>
        <w:t>stimulate dialogue, reflection and interaction. Whist I acknowledged that time use data was needed, the standard time use formats were problematic because of how the boxes limited reflection and discussion and stopped flow. The TUVI I designed had a clock face and icons that the women selected for each other and simultaneous activities undertaken in that hour. An extensive list of icons was developed similar to the codes from the TUS 2 but other codes/icons specific to coffee and sesame were</w:t>
      </w:r>
      <w:r w:rsidR="003B3CE3" w:rsidRPr="009A7163">
        <w:t xml:space="preserve"> developed also</w:t>
      </w:r>
      <w:r w:rsidRPr="009A7163">
        <w:t>. Whilst the TUVI generated discussion and interest from the participants, there were a number of issues. First, in a rural context, it’s hard to find a space in a house where you can work with an A3 size of paper and numerous small icons. We frequently found houses did not have tables or cement floors. The paper was large and with many icons it required a large area to work on. Furthermore, the extensive variety pictures/icons were overwhelming</w:t>
      </w:r>
      <w:r w:rsidR="001441DA" w:rsidRPr="009A7163">
        <w:t>,</w:t>
      </w:r>
      <w:r w:rsidRPr="009A7163">
        <w:t xml:space="preserve"> and sometimes the pictures did not always depict the activity even though the icons had already been trialled and amended several times before. Another issue was that at first, for the sake of organization, we placed similar items into boxes; however, by doing this I realised that there was a risk of the categories reinforcing ideas of what is paid work, unpaid work, etc. An interesting observation </w:t>
      </w:r>
      <w:r w:rsidR="00B80CB8" w:rsidRPr="009A7163">
        <w:t xml:space="preserve">of </w:t>
      </w:r>
      <w:r w:rsidRPr="009A7163">
        <w:t>this version regarded</w:t>
      </w:r>
      <w:r w:rsidRPr="009A7163">
        <w:rPr>
          <w:bCs/>
        </w:rPr>
        <w:t xml:space="preserve"> how women responded to the clock face TUVI whereby when they saw time use and the accumulation of tasks, they made critical remarks on their own time management skills and ability to perform. They saw it as a self-disciplining device</w:t>
      </w:r>
      <w:r w:rsidR="001441DA" w:rsidRPr="009A7163">
        <w:rPr>
          <w:bCs/>
        </w:rPr>
        <w:t>,</w:t>
      </w:r>
      <w:r w:rsidRPr="009A7163">
        <w:rPr>
          <w:bCs/>
        </w:rPr>
        <w:t xml:space="preserve"> which is an interesting reflection of how the women see themselves</w:t>
      </w:r>
      <w:r w:rsidR="001441DA" w:rsidRPr="009A7163">
        <w:rPr>
          <w:bCs/>
        </w:rPr>
        <w:t>:</w:t>
      </w:r>
      <w:r w:rsidRPr="009A7163">
        <w:rPr>
          <w:bCs/>
        </w:rPr>
        <w:t xml:space="preserve"> How far was the methodology misunderstood as self-disciplining device logic? The idea of surveillance practices is an issue that will be discussed in more detail in </w:t>
      </w:r>
      <w:r w:rsidR="00B44AC2" w:rsidRPr="009A7163">
        <w:rPr>
          <w:bCs/>
        </w:rPr>
        <w:t>Chapter Seven</w:t>
      </w:r>
      <w:r w:rsidRPr="009A7163">
        <w:rPr>
          <w:bCs/>
        </w:rPr>
        <w:t>.</w:t>
      </w:r>
    </w:p>
    <w:p w14:paraId="29305A76" w14:textId="7170BE04" w:rsidR="002C707D" w:rsidRPr="009A7163" w:rsidRDefault="002C707D" w:rsidP="00C27776">
      <w:pPr>
        <w:numPr>
          <w:ilvl w:val="0"/>
          <w:numId w:val="4"/>
        </w:numPr>
        <w:spacing w:after="240" w:line="360" w:lineRule="auto"/>
        <w:jc w:val="both"/>
      </w:pPr>
      <w:r w:rsidRPr="009A7163">
        <w:rPr>
          <w:i/>
          <w:u w:val="single"/>
        </w:rPr>
        <w:t>TUVI 2</w:t>
      </w:r>
      <w:r w:rsidRPr="009A7163">
        <w:t>: The final version of</w:t>
      </w:r>
      <w:r w:rsidR="00213104" w:rsidRPr="009A7163">
        <w:t xml:space="preserve"> the TUS survey </w:t>
      </w:r>
      <w:r w:rsidRPr="009A7163">
        <w:t>that we administered in the final round was another time use visualization tool (TUVI 2)</w:t>
      </w:r>
      <w:r w:rsidR="00C20D3F" w:rsidRPr="009A7163">
        <w:t>,</w:t>
      </w:r>
      <w:r w:rsidRPr="009A7163">
        <w:t xml:space="preserve"> but this time without the icons and just a blank clock face. We asked the participants to fill in their day and where a participant was unwilling or unable to write, we would fill in the clock on their behalf. Without the icons, there was more space and less confusion. The open clock face worked as the women were able to visualise their day and go back and forth between hours reconstructing it. As it used no symbols, less physical space was easier and it was easier to manage for a number of reasons. It also allowed greater discussion</w:t>
      </w:r>
      <w:r w:rsidR="00C20D3F" w:rsidRPr="009A7163">
        <w:t>,</w:t>
      </w:r>
      <w:r w:rsidRPr="009A7163">
        <w:t xml:space="preserve"> as there was more gaps in talking </w:t>
      </w:r>
      <w:r w:rsidRPr="009A7163">
        <w:lastRenderedPageBreak/>
        <w:t>and time to consider and recall the day before. Whilst it could be criticised that it ‘lacked’ the precision of the more formal format of the TUS in the broader surveys (perhaps needed for the buyers), its success reflects Chambers (1981) arguments for ‘appropriate accuracy’ and the value of working with people where they are e.g., imprecise information.</w:t>
      </w:r>
      <w:r w:rsidRPr="009A7163">
        <w:rPr>
          <w:vertAlign w:val="superscript"/>
        </w:rPr>
        <w:footnoteReference w:id="57"/>
      </w:r>
      <w:r w:rsidRPr="009A7163">
        <w:t xml:space="preserve"> Chambers (1981) argue</w:t>
      </w:r>
      <w:r w:rsidR="00C20D3F" w:rsidRPr="009A7163">
        <w:t>s</w:t>
      </w:r>
      <w:r w:rsidRPr="009A7163">
        <w:t xml:space="preserve"> for the less rigid and less exhaustive approach whilst the TUVI may risk precision</w:t>
      </w:r>
      <w:r w:rsidR="00B80CB8" w:rsidRPr="009A7163">
        <w:t>,</w:t>
      </w:r>
      <w:r w:rsidR="00C27776" w:rsidRPr="009A7163">
        <w:t xml:space="preserve"> which is needed to a </w:t>
      </w:r>
      <w:r w:rsidRPr="009A7163">
        <w:t>certain degree of precision for the buyers. The experience of administering the TUS surveys during my fieldwork showed t</w:t>
      </w:r>
      <w:r w:rsidR="00C27776" w:rsidRPr="009A7163">
        <w:t>hat research methods and models risk imposition and that when the women were allowed to draw and create t</w:t>
      </w:r>
      <w:r w:rsidR="00A57A25" w:rsidRPr="009A7163">
        <w:t xml:space="preserve">heir own TUS they could be more </w:t>
      </w:r>
      <w:r w:rsidR="00C27776" w:rsidRPr="009A7163">
        <w:t>precise since the formats and squares were</w:t>
      </w:r>
      <w:r w:rsidR="00A57A25" w:rsidRPr="009A7163">
        <w:t xml:space="preserve"> not being imposed on them and they could draw and add in a way that made sense to them</w:t>
      </w:r>
      <w:r w:rsidRPr="009A7163">
        <w:t xml:space="preserve">. For example, it could be argued that TUS 1 and 2 imposed time structures (linear vs. circular) and activities and structures (reinforcing ideas). Also, the TUS as a method compromised empowerment, the discourse of the initiative. </w:t>
      </w:r>
    </w:p>
    <w:p w14:paraId="641F332D" w14:textId="354B42B2" w:rsidR="00B720FD" w:rsidRPr="009A7163" w:rsidRDefault="00B720FD" w:rsidP="00293176">
      <w:pPr>
        <w:pStyle w:val="Heading4"/>
      </w:pPr>
      <w:bookmarkStart w:id="41" w:name="_Toc526819277"/>
      <w:r w:rsidRPr="009A7163">
        <w:t xml:space="preserve">3.4.1.2 </w:t>
      </w:r>
      <w:r w:rsidR="002C707D" w:rsidRPr="009A7163">
        <w:t>General Survey with TUS Component</w:t>
      </w:r>
      <w:bookmarkEnd w:id="41"/>
    </w:p>
    <w:p w14:paraId="280F7A85" w14:textId="40B529FB" w:rsidR="002C707D" w:rsidRPr="009A7163" w:rsidRDefault="002C707D" w:rsidP="00293176">
      <w:pPr>
        <w:spacing w:after="240" w:line="360" w:lineRule="auto"/>
        <w:ind w:firstLine="720"/>
        <w:jc w:val="both"/>
      </w:pPr>
      <w:r w:rsidRPr="009A7163">
        <w:t>This survey was a closed, multi-question individual survey intended for the women of the initiative that included TUS 1. The survey included sections with questions on the following: general information on the participant</w:t>
      </w:r>
      <w:r w:rsidR="00C20D3F" w:rsidRPr="009A7163">
        <w:t>,</w:t>
      </w:r>
      <w:r w:rsidRPr="009A7163">
        <w:t xml:space="preserve"> relationship to the cooperative and time in initiative</w:t>
      </w:r>
      <w:r w:rsidR="00C20D3F" w:rsidRPr="009A7163">
        <w:t>,</w:t>
      </w:r>
      <w:r w:rsidRPr="009A7163">
        <w:t xml:space="preserve"> household conditions and resources</w:t>
      </w:r>
      <w:r w:rsidR="00C20D3F" w:rsidRPr="009A7163">
        <w:t>,</w:t>
      </w:r>
      <w:r w:rsidRPr="009A7163">
        <w:t xml:space="preserve"> access to local resources (e.g., transport, shops, and clinic)</w:t>
      </w:r>
      <w:r w:rsidR="00C20D3F" w:rsidRPr="009A7163">
        <w:t>,</w:t>
      </w:r>
      <w:r w:rsidRPr="009A7163">
        <w:t xml:space="preserve"> main agricultural activity/ies of the household and income. The TUS 1 was followed by a section that included closed and open sections on how the women felt about the </w:t>
      </w:r>
      <w:r w:rsidR="003B3CE3" w:rsidRPr="009A7163">
        <w:t>work and at the end of the day.</w:t>
      </w:r>
    </w:p>
    <w:p w14:paraId="6720CE8A" w14:textId="486ABC87" w:rsidR="0065348F" w:rsidRPr="009A7163" w:rsidRDefault="00B720FD" w:rsidP="00293176">
      <w:pPr>
        <w:pStyle w:val="Heading4"/>
      </w:pPr>
      <w:bookmarkStart w:id="42" w:name="_Toc526819278"/>
      <w:r w:rsidRPr="009A7163">
        <w:t>3.4.1.3</w:t>
      </w:r>
      <w:r w:rsidR="0065348F" w:rsidRPr="009A7163">
        <w:t xml:space="preserve"> </w:t>
      </w:r>
      <w:r w:rsidR="002C707D" w:rsidRPr="009A7163">
        <w:t>Household Care Survey (HCS)</w:t>
      </w:r>
      <w:bookmarkEnd w:id="42"/>
      <w:r w:rsidR="002C707D" w:rsidRPr="009A7163">
        <w:t xml:space="preserve"> </w:t>
      </w:r>
    </w:p>
    <w:p w14:paraId="397452C2" w14:textId="36FB5778" w:rsidR="002C707D" w:rsidRPr="009A7163" w:rsidRDefault="002C707D" w:rsidP="00293176">
      <w:pPr>
        <w:spacing w:after="240" w:line="360" w:lineRule="auto"/>
        <w:ind w:firstLine="720"/>
        <w:jc w:val="both"/>
      </w:pPr>
      <w:r w:rsidRPr="009A7163">
        <w:t xml:space="preserve">This survey included an extensive list of closed questions and included the following sections: 1) household members and demand for care; 2) household assets, income and savings; 3) time-use (one day recall) (TUS 2); 4) time- and labour-saving equipment, products and services; 5) norms and perceptions about gender roles and </w:t>
      </w:r>
      <w:r w:rsidRPr="009A7163">
        <w:lastRenderedPageBreak/>
        <w:t xml:space="preserve">about care work; 6) time constraints and care work; 7) external support for providing care; and 8) involvement in community groups and local leadership. The HCA was based on an OXFAM survey that was being used at the time and that I </w:t>
      </w:r>
      <w:r w:rsidR="00C20D3F" w:rsidRPr="009A7163">
        <w:t xml:space="preserve">received </w:t>
      </w:r>
      <w:r w:rsidRPr="009A7163">
        <w:t>permission to use. Whilst the information was comprehensive, the HCS was extensive and took a long time to administer</w:t>
      </w:r>
      <w:r w:rsidR="00C20D3F" w:rsidRPr="009A7163">
        <w:t>,</w:t>
      </w:r>
      <w:r w:rsidRPr="009A7163">
        <w:t xml:space="preserve"> which was tiring and at times inconvenient for the participants who were time-poor.</w:t>
      </w:r>
      <w:r w:rsidR="0065348F" w:rsidRPr="009A7163">
        <w:t xml:space="preserve"> </w:t>
      </w:r>
      <w:r w:rsidRPr="009A7163">
        <w:t>I only used this tool once</w:t>
      </w:r>
      <w:r w:rsidR="00C20D3F" w:rsidRPr="009A7163">
        <w:t>,</w:t>
      </w:r>
      <w:r w:rsidRPr="009A7163">
        <w:t xml:space="preserve"> as it was useful to gain information on norms and perceptions</w:t>
      </w:r>
      <w:r w:rsidR="00C20D3F" w:rsidRPr="009A7163">
        <w:t>;</w:t>
      </w:r>
      <w:r w:rsidRPr="009A7163">
        <w:t xml:space="preserve"> however</w:t>
      </w:r>
      <w:r w:rsidR="00C20D3F" w:rsidRPr="009A7163">
        <w:t>,</w:t>
      </w:r>
      <w:r w:rsidRPr="009A7163">
        <w:t xml:space="preserve"> after this I only used TUS</w:t>
      </w:r>
      <w:r w:rsidR="00C20D3F" w:rsidRPr="009A7163">
        <w:t>,</w:t>
      </w:r>
      <w:r w:rsidRPr="009A7163">
        <w:t xml:space="preserve"> which were significantly shorter.</w:t>
      </w:r>
    </w:p>
    <w:p w14:paraId="3E97AC6D" w14:textId="4791E406" w:rsidR="002C707D" w:rsidRPr="009A7163" w:rsidRDefault="0065348F" w:rsidP="00293176">
      <w:pPr>
        <w:pStyle w:val="Heading3"/>
      </w:pPr>
      <w:bookmarkStart w:id="43" w:name="_Toc526819279"/>
      <w:r w:rsidRPr="009A7163">
        <w:t xml:space="preserve">3.4.2  </w:t>
      </w:r>
      <w:r w:rsidR="002C707D" w:rsidRPr="009A7163">
        <w:t>Focus Groups</w:t>
      </w:r>
      <w:bookmarkEnd w:id="43"/>
    </w:p>
    <w:p w14:paraId="5BBEA42B" w14:textId="7F48B39F" w:rsidR="002C707D" w:rsidRPr="009A7163" w:rsidRDefault="002C707D" w:rsidP="002C707D">
      <w:pPr>
        <w:spacing w:line="360" w:lineRule="auto"/>
        <w:ind w:firstLine="720"/>
        <w:jc w:val="both"/>
      </w:pPr>
      <w:r w:rsidRPr="009A7163">
        <w:t>Focus groups were conducted to explore the research questions. Focus groups possess elements of both participant observation and individual interviews while also maintaining their own uniqueness as a distinctive research method (Liamputtong, 2011). This benefit of focus groups is the interactive aspect of data collection. Kreuger and Casey (2000) list various uses of the focus groups, many of which fit well with this study’s purpose. These include: (a) eliciting a range of feelings, opinions and ideas; (b) understanding differences in perspectives; (c) uncovering and providing insight into specific factors that influence opinions; and (d) identifying ideas that emerge from the group.</w:t>
      </w:r>
      <w:r w:rsidRPr="009A7163">
        <w:tab/>
      </w:r>
    </w:p>
    <w:p w14:paraId="10E2F5D7" w14:textId="4CDD9174" w:rsidR="00430E65" w:rsidRPr="009A7163" w:rsidRDefault="002C707D" w:rsidP="00293176">
      <w:pPr>
        <w:spacing w:after="240" w:line="360" w:lineRule="auto"/>
        <w:ind w:firstLine="720"/>
        <w:jc w:val="both"/>
      </w:pPr>
      <w:r w:rsidRPr="009A7163">
        <w:t>Notwithstanding</w:t>
      </w:r>
      <w:r w:rsidR="00C20D3F" w:rsidRPr="009A7163">
        <w:t>,</w:t>
      </w:r>
      <w:r w:rsidRPr="009A7163">
        <w:t xml:space="preserve"> disadvantages, such as ‘group think’ (Fontana and Frey, 2003), have been noted with focus groups. Furthermore, logistical difficulties may arise from the need to manage conversations, thus requiring strong facilitation skills (Bloomberg and Volpe, 2012). In anticipation of this, </w:t>
      </w:r>
      <w:r w:rsidR="00C20D3F" w:rsidRPr="009A7163">
        <w:t>my</w:t>
      </w:r>
      <w:r w:rsidRPr="009A7163">
        <w:t xml:space="preserve"> research assistant </w:t>
      </w:r>
      <w:r w:rsidR="00C20D3F" w:rsidRPr="009A7163">
        <w:t>was part of the</w:t>
      </w:r>
      <w:r w:rsidRPr="009A7163">
        <w:t xml:space="preserve"> facilitation team of the focus groups and she attended to all logistical matters. The benefit of working with a local assistant was her familiarity with the research context and local customs and dialects. </w:t>
      </w:r>
    </w:p>
    <w:p w14:paraId="6DFDE1CA" w14:textId="4E3B9B56" w:rsidR="00430E65" w:rsidRPr="009A7163" w:rsidRDefault="00430E65" w:rsidP="00293176">
      <w:pPr>
        <w:pStyle w:val="Heading3"/>
      </w:pPr>
      <w:bookmarkStart w:id="44" w:name="_Toc526819280"/>
      <w:r w:rsidRPr="009A7163">
        <w:t>3.4.3  Semi-Structured Interviews</w:t>
      </w:r>
      <w:bookmarkEnd w:id="44"/>
      <w:r w:rsidRPr="009A7163">
        <w:t xml:space="preserve"> </w:t>
      </w:r>
    </w:p>
    <w:p w14:paraId="6106BA6A" w14:textId="584BD7F5" w:rsidR="002C707D" w:rsidRPr="009A7163" w:rsidRDefault="00430E65" w:rsidP="00293176">
      <w:pPr>
        <w:spacing w:line="360" w:lineRule="auto"/>
        <w:jc w:val="both"/>
      </w:pPr>
      <w:r w:rsidRPr="009A7163">
        <w:tab/>
      </w:r>
      <w:r w:rsidR="002C707D" w:rsidRPr="009A7163">
        <w:t xml:space="preserve">Interviews were selected as another primary method for data collection in the research because of their potential to elicit rich, thick descriptions. I interviewed participants from the initiative and experts/key informants. These interviews provided the opportunity for me to clarify statements and probe for additional information. Creswell (2007) and Denzin and Lincoln (2011) state that a major benefit of collecting </w:t>
      </w:r>
      <w:r w:rsidR="002C707D" w:rsidRPr="009A7163">
        <w:lastRenderedPageBreak/>
        <w:t>data through individual, in-depth interviews is that they offer the potential to capture a person’s perspective of an event or experience.</w:t>
      </w:r>
    </w:p>
    <w:p w14:paraId="5A2A71A3" w14:textId="0DCE840D" w:rsidR="002C707D" w:rsidRPr="009A7163" w:rsidRDefault="002C707D" w:rsidP="002C707D">
      <w:pPr>
        <w:spacing w:line="360" w:lineRule="auto"/>
        <w:ind w:firstLine="720"/>
        <w:jc w:val="both"/>
      </w:pPr>
      <w:r w:rsidRPr="009A7163">
        <w:t xml:space="preserve">The interview is a fundamental tool in qualitative research (Kvale </w:t>
      </w:r>
      <w:r w:rsidR="00913D16" w:rsidRPr="009A7163">
        <w:t>and</w:t>
      </w:r>
      <w:r w:rsidRPr="009A7163">
        <w:t xml:space="preserve"> Brinkmann, 2009; Seidman, 2006). Kvale and Brinkmann (2009) describe the qualitative research interview as an ‘attempt to understand the world from the subject’s point of view, to unfold the meaning of the subject’s experiences, to uncover their lived world’ (p. 1). As Patton (1990) similarly claim</w:t>
      </w:r>
      <w:r w:rsidR="00D43DE6" w:rsidRPr="009A7163">
        <w:t>s</w:t>
      </w:r>
      <w:r w:rsidRPr="009A7163">
        <w:t>, ‘[Q]ualitative interviewing begins with the assumption that the perspective of others is meaningful, knowable, and able to be made explicit’ (p. 278). The logic for using interviews as a data collection method was that a legitimate way to generate data is to interact people, thereby capturing the meaning of their experiences in their own words.</w:t>
      </w:r>
    </w:p>
    <w:p w14:paraId="29566118" w14:textId="46AC981A" w:rsidR="002C707D" w:rsidRPr="009A7163" w:rsidRDefault="002C707D" w:rsidP="002C707D">
      <w:pPr>
        <w:spacing w:line="360" w:lineRule="auto"/>
        <w:ind w:firstLine="720"/>
        <w:jc w:val="both"/>
      </w:pPr>
      <w:r w:rsidRPr="009A7163">
        <w:t>Although interviews have certain strengths, there are various limitations associated with interviewing. First, not all people are equally cooperative, articulate and perceptive. Second, interviews are not neutral tools of data gathering; they are the result of the interaction between the interviewer and in the interviewee and the context in which they take place (Fontana and Frey, 2003; Schwandt, 1997).</w:t>
      </w:r>
    </w:p>
    <w:p w14:paraId="71D79841" w14:textId="3C8AB0FB" w:rsidR="002C707D" w:rsidRPr="009A7163" w:rsidRDefault="002C707D" w:rsidP="002C707D">
      <w:pPr>
        <w:spacing w:line="360" w:lineRule="auto"/>
        <w:ind w:firstLine="720"/>
        <w:jc w:val="both"/>
      </w:pPr>
      <w:r w:rsidRPr="009A7163">
        <w:t xml:space="preserve">I designed and piloted semi-structured interviews. I also asked the research assistant to review and provide feedback on questions in order to make sure that </w:t>
      </w:r>
      <w:r w:rsidR="00913D16" w:rsidRPr="009A7163">
        <w:t>they</w:t>
      </w:r>
      <w:r w:rsidRPr="009A7163">
        <w:t xml:space="preserve"> w</w:t>
      </w:r>
      <w:r w:rsidR="00913D16" w:rsidRPr="009A7163">
        <w:t>ere</w:t>
      </w:r>
      <w:r w:rsidRPr="009A7163">
        <w:t xml:space="preserve"> clear and easy to understand for the rural setting. Her comments were incorporated, and after this the pilot of the TUS and interview</w:t>
      </w:r>
      <w:r w:rsidR="00913D16" w:rsidRPr="009A7163">
        <w:t xml:space="preserve"> was carried out</w:t>
      </w:r>
      <w:r w:rsidRPr="009A7163">
        <w:t>. It was important that my research process was designed to allow modifications for what we discovered on the ground and in the process</w:t>
      </w:r>
      <w:r w:rsidR="00913D16" w:rsidRPr="009A7163">
        <w:t xml:space="preserve">. </w:t>
      </w:r>
      <w:r w:rsidRPr="009A7163">
        <w:t>In two cases, I was unable to interview two experts despite trying to rearrange a handful of times.</w:t>
      </w:r>
    </w:p>
    <w:p w14:paraId="7C0D157D" w14:textId="2FB450EC" w:rsidR="00D43DE6" w:rsidRPr="009A7163" w:rsidRDefault="002C707D" w:rsidP="002C707D">
      <w:pPr>
        <w:spacing w:line="360" w:lineRule="auto"/>
        <w:ind w:firstLine="720"/>
        <w:jc w:val="both"/>
      </w:pPr>
      <w:r w:rsidRPr="009A7163">
        <w:t xml:space="preserve">A guided interview was used alongside the first survey and TUS 1. There was no formal questionnaire but rather a checklist of questions which were used as a flexible guide to inquire about empowerment based on Rowlands (1997) dimensions of empowerment (power to-, power within, power with) mentioned in the literature review. The questions were based on economic decision making, household decision making and physical mobility. Empowerment was understood as the expansion in women’s ability to make strategic life choices in a context where this ability was previously denied to them. </w:t>
      </w:r>
    </w:p>
    <w:p w14:paraId="36B449FE" w14:textId="33912901" w:rsidR="00F17AB9" w:rsidRPr="009A7163" w:rsidRDefault="002C707D" w:rsidP="007A3A29">
      <w:pPr>
        <w:spacing w:line="360" w:lineRule="auto"/>
        <w:ind w:firstLine="720"/>
        <w:jc w:val="both"/>
      </w:pPr>
      <w:r w:rsidRPr="009A7163">
        <w:t>Semi-structured interviews were also conducted with a sample of experts on the subject matter of the study.</w:t>
      </w:r>
      <w:r w:rsidR="00D43DE6" w:rsidRPr="009A7163">
        <w:t xml:space="preserve"> </w:t>
      </w:r>
      <w:r w:rsidRPr="009A7163">
        <w:t xml:space="preserve">The expert interviews were comprised of 20 questions based on my research questions. The questions in particular discussed: defining, measuring </w:t>
      </w:r>
      <w:r w:rsidRPr="009A7163">
        <w:lastRenderedPageBreak/>
        <w:t xml:space="preserve">and calculating unpaid work; on family distribution of time and activities; gender roles and social norms, pricing models and the use of TUS; and whether pricing models can contribute to the aims of ethical trade, specifically empowerment and supply chain sustainability and what this means for policy, specifically buyers policy and for the more holistic and political forms of empowerment. The questions were a guide and questions would be added or omitted to tailor the interview to the person being interviewed. </w:t>
      </w:r>
    </w:p>
    <w:p w14:paraId="43F0533B" w14:textId="7877A6BD" w:rsidR="002C707D" w:rsidRPr="009A7163" w:rsidRDefault="00763F18" w:rsidP="002064B0">
      <w:pPr>
        <w:spacing w:after="240" w:line="360" w:lineRule="auto"/>
        <w:ind w:firstLine="720"/>
        <w:jc w:val="both"/>
      </w:pPr>
      <w:r w:rsidRPr="009A7163">
        <w:t xml:space="preserve">In my </w:t>
      </w:r>
      <w:r w:rsidR="00B65397" w:rsidRPr="009A7163">
        <w:t>analysis</w:t>
      </w:r>
      <w:r w:rsidRPr="009A7163">
        <w:t xml:space="preserve"> and presentation of </w:t>
      </w:r>
      <w:r w:rsidR="00B65397" w:rsidRPr="009A7163">
        <w:t>findin</w:t>
      </w:r>
      <w:r w:rsidR="00D8060A" w:rsidRPr="009A7163">
        <w:t>gs, I use a balance of expert and participant perspectives</w:t>
      </w:r>
      <w:r w:rsidR="00B6090C" w:rsidRPr="009A7163">
        <w:t xml:space="preserve"> and experiences and hope</w:t>
      </w:r>
      <w:r w:rsidR="00D8060A" w:rsidRPr="009A7163">
        <w:t xml:space="preserve"> by interweaving perspectives from the experts on the national perspective</w:t>
      </w:r>
      <w:r w:rsidR="00B6090C" w:rsidRPr="009A7163">
        <w:t xml:space="preserve"> that this will</w:t>
      </w:r>
      <w:r w:rsidR="00D8060A" w:rsidRPr="009A7163">
        <w:t xml:space="preserve"> provide context for the voices of the participants.</w:t>
      </w:r>
      <w:r w:rsidR="00F17F76" w:rsidRPr="009A7163">
        <w:t xml:space="preserve"> Whilst I call the interviews with key figures in the feminist and cooperative movement, Waring (</w:t>
      </w:r>
      <w:r w:rsidR="00B8621F" w:rsidRPr="009A7163">
        <w:t>2008</w:t>
      </w:r>
      <w:r w:rsidR="00F17F76" w:rsidRPr="009A7163">
        <w:t>) reminds that when analysing TUS that ‘the “experts” are actually those filling in the time diaries on their own lives, yet they are often misperceived. Commonly, these people</w:t>
      </w:r>
      <w:r w:rsidR="00F17AB9" w:rsidRPr="009A7163">
        <w:t xml:space="preserve"> – </w:t>
      </w:r>
      <w:r w:rsidR="00F17F76" w:rsidRPr="009A7163">
        <w:t>who are neither academics nor bureaucrats</w:t>
      </w:r>
      <w:r w:rsidR="00F17AB9" w:rsidRPr="009A7163">
        <w:t xml:space="preserve"> –</w:t>
      </w:r>
      <w:r w:rsidR="00F17F76" w:rsidRPr="009A7163">
        <w:t xml:space="preserve"> are the best analysts of the socio</w:t>
      </w:r>
      <w:r w:rsidR="00920475" w:rsidRPr="009A7163">
        <w:t xml:space="preserve"> </w:t>
      </w:r>
      <w:r w:rsidR="00F17F76" w:rsidRPr="009A7163">
        <w:t>environmental area in which they live and the way they work, particularly in the work done before administering the survey’</w:t>
      </w:r>
      <w:r w:rsidR="00920475" w:rsidRPr="009A7163">
        <w:t xml:space="preserve"> (p.</w:t>
      </w:r>
      <w:r w:rsidR="00F17AB9" w:rsidRPr="009A7163">
        <w:t xml:space="preserve"> </w:t>
      </w:r>
      <w:r w:rsidR="00920475" w:rsidRPr="009A7163">
        <w:t>243)</w:t>
      </w:r>
      <w:r w:rsidR="00F17F76" w:rsidRPr="009A7163">
        <w:t>. This is a key point that must be remembered in the process.</w:t>
      </w:r>
    </w:p>
    <w:p w14:paraId="75B5D247" w14:textId="7A476604" w:rsidR="002C707D" w:rsidRPr="009A7163" w:rsidRDefault="00FA1756" w:rsidP="00293176">
      <w:pPr>
        <w:pStyle w:val="Heading3"/>
      </w:pPr>
      <w:bookmarkStart w:id="45" w:name="_Toc526819281"/>
      <w:r w:rsidRPr="009A7163">
        <w:t xml:space="preserve">3.4.4  </w:t>
      </w:r>
      <w:r w:rsidR="002C707D" w:rsidRPr="009A7163">
        <w:t>Summary of Total Data Collection for Both Case Studies</w:t>
      </w:r>
      <w:bookmarkEnd w:id="45"/>
    </w:p>
    <w:p w14:paraId="5B50D172" w14:textId="2144A429" w:rsidR="002C707D" w:rsidRPr="009A7163" w:rsidRDefault="002C707D" w:rsidP="002C707D">
      <w:pPr>
        <w:spacing w:line="360" w:lineRule="auto"/>
        <w:ind w:firstLine="720"/>
        <w:jc w:val="both"/>
        <w:rPr>
          <w:i/>
        </w:rPr>
      </w:pPr>
      <w:r w:rsidRPr="009A7163">
        <w:t>What follows is a presentation of the total data collected per method for both case studies (</w:t>
      </w:r>
      <w:r w:rsidR="00430E65" w:rsidRPr="009A7163">
        <w:t xml:space="preserve">see </w:t>
      </w:r>
      <w:r w:rsidRPr="009A7163">
        <w:t xml:space="preserve">Table </w:t>
      </w:r>
      <w:r w:rsidR="00F17AB9" w:rsidRPr="009A7163">
        <w:t>3</w:t>
      </w:r>
      <w:r w:rsidRPr="009A7163">
        <w:t>.1</w:t>
      </w:r>
      <w:r w:rsidR="00430E65" w:rsidRPr="009A7163">
        <w:t xml:space="preserve"> below</w:t>
      </w:r>
      <w:r w:rsidRPr="009A7163">
        <w:t>). The next section will discuss in more detail the data collection process</w:t>
      </w:r>
      <w:r w:rsidRPr="009A7163">
        <w:rPr>
          <w:i/>
        </w:rPr>
        <w:t>.</w:t>
      </w:r>
    </w:p>
    <w:p w14:paraId="358FD47D" w14:textId="1412FA05" w:rsidR="002C707D" w:rsidRPr="009A7163" w:rsidRDefault="002C707D" w:rsidP="00293176">
      <w:pPr>
        <w:pStyle w:val="TableTOC"/>
        <w:rPr>
          <w:lang w:val="en-GB"/>
        </w:rPr>
      </w:pPr>
      <w:bookmarkStart w:id="46" w:name="_Toc526710005"/>
      <w:r w:rsidRPr="009A7163">
        <w:t>Table</w:t>
      </w:r>
      <w:r w:rsidRPr="009A7163">
        <w:rPr>
          <w:lang w:val="en-GB"/>
        </w:rPr>
        <w:t xml:space="preserve"> </w:t>
      </w:r>
      <w:r w:rsidR="007B69E5" w:rsidRPr="009A7163">
        <w:rPr>
          <w:lang w:val="en-GB"/>
        </w:rPr>
        <w:t>3</w:t>
      </w:r>
      <w:r w:rsidRPr="009A7163">
        <w:rPr>
          <w:lang w:val="en-GB"/>
        </w:rPr>
        <w:t>.1. Summary of All Data Collection Methods for Both Case Studies</w:t>
      </w:r>
      <w:bookmarkEnd w:id="46"/>
    </w:p>
    <w:tbl>
      <w:tblPr>
        <w:tblStyle w:val="TableGrid1"/>
        <w:tblW w:w="0" w:type="auto"/>
        <w:tblLayout w:type="fixed"/>
        <w:tblLook w:val="04A0" w:firstRow="1" w:lastRow="0" w:firstColumn="1" w:lastColumn="0" w:noHBand="0" w:noVBand="1"/>
      </w:tblPr>
      <w:tblGrid>
        <w:gridCol w:w="3955"/>
        <w:gridCol w:w="810"/>
      </w:tblGrid>
      <w:tr w:rsidR="002C707D" w:rsidRPr="009A7163" w14:paraId="0DC04DB4" w14:textId="77777777" w:rsidTr="00293176">
        <w:tc>
          <w:tcPr>
            <w:tcW w:w="4765" w:type="dxa"/>
            <w:gridSpan w:val="2"/>
          </w:tcPr>
          <w:p w14:paraId="69D7901B" w14:textId="77777777" w:rsidR="002C707D" w:rsidRPr="009A7163" w:rsidRDefault="002C707D" w:rsidP="00293176">
            <w:pPr>
              <w:spacing w:line="360" w:lineRule="auto"/>
              <w:jc w:val="both"/>
            </w:pPr>
            <w:r w:rsidRPr="009A7163">
              <w:rPr>
                <w:b/>
              </w:rPr>
              <w:t>Method</w:t>
            </w:r>
          </w:p>
        </w:tc>
      </w:tr>
      <w:tr w:rsidR="002C707D" w:rsidRPr="009A7163" w14:paraId="675A88EE" w14:textId="77777777" w:rsidTr="00293176">
        <w:tc>
          <w:tcPr>
            <w:tcW w:w="3955" w:type="dxa"/>
          </w:tcPr>
          <w:p w14:paraId="2571A977" w14:textId="77777777" w:rsidR="002C707D" w:rsidRPr="009A7163" w:rsidRDefault="002C707D" w:rsidP="00293176">
            <w:pPr>
              <w:spacing w:line="360" w:lineRule="auto"/>
              <w:jc w:val="both"/>
              <w:rPr>
                <w:b/>
                <w:i/>
              </w:rPr>
            </w:pPr>
            <w:r w:rsidRPr="009A7163">
              <w:rPr>
                <w:b/>
                <w:i/>
              </w:rPr>
              <w:t>Quantitative</w:t>
            </w:r>
          </w:p>
        </w:tc>
        <w:tc>
          <w:tcPr>
            <w:tcW w:w="810" w:type="dxa"/>
          </w:tcPr>
          <w:p w14:paraId="147F011E" w14:textId="77777777" w:rsidR="002C707D" w:rsidRPr="009A7163" w:rsidRDefault="002C707D" w:rsidP="00293176">
            <w:pPr>
              <w:spacing w:line="360" w:lineRule="auto"/>
              <w:jc w:val="both"/>
            </w:pPr>
          </w:p>
        </w:tc>
      </w:tr>
      <w:tr w:rsidR="002C707D" w:rsidRPr="009A7163" w14:paraId="2B72170A" w14:textId="77777777" w:rsidTr="00293176">
        <w:tc>
          <w:tcPr>
            <w:tcW w:w="3955" w:type="dxa"/>
          </w:tcPr>
          <w:p w14:paraId="1743F2AC" w14:textId="2786E9BF" w:rsidR="002C707D" w:rsidRPr="009A7163" w:rsidRDefault="002C707D" w:rsidP="00293176">
            <w:r w:rsidRPr="009A7163">
              <w:t>Time Use Surveys (Women)</w:t>
            </w:r>
          </w:p>
        </w:tc>
        <w:tc>
          <w:tcPr>
            <w:tcW w:w="810" w:type="dxa"/>
            <w:vAlign w:val="center"/>
          </w:tcPr>
          <w:p w14:paraId="24C16CA7" w14:textId="77777777" w:rsidR="002C707D" w:rsidRPr="009A7163" w:rsidRDefault="002C707D" w:rsidP="00293176">
            <w:pPr>
              <w:spacing w:line="360" w:lineRule="auto"/>
              <w:jc w:val="center"/>
            </w:pPr>
            <w:r w:rsidRPr="009A7163">
              <w:t>128</w:t>
            </w:r>
          </w:p>
        </w:tc>
      </w:tr>
      <w:tr w:rsidR="002C707D" w:rsidRPr="009A7163" w14:paraId="7C107B55" w14:textId="77777777" w:rsidTr="00293176">
        <w:trPr>
          <w:trHeight w:val="350"/>
        </w:trPr>
        <w:tc>
          <w:tcPr>
            <w:tcW w:w="3955" w:type="dxa"/>
          </w:tcPr>
          <w:p w14:paraId="52EAA257" w14:textId="77777777" w:rsidR="002C707D" w:rsidRPr="009A7163" w:rsidRDefault="002C707D" w:rsidP="00293176">
            <w:pPr>
              <w:spacing w:line="360" w:lineRule="auto"/>
              <w:jc w:val="both"/>
            </w:pPr>
            <w:r w:rsidRPr="009A7163">
              <w:t>Time Use Surveys (Family members)</w:t>
            </w:r>
          </w:p>
        </w:tc>
        <w:tc>
          <w:tcPr>
            <w:tcW w:w="810" w:type="dxa"/>
            <w:vAlign w:val="center"/>
          </w:tcPr>
          <w:p w14:paraId="0E62B6EE" w14:textId="77777777" w:rsidR="002C707D" w:rsidRPr="009A7163" w:rsidRDefault="002C707D" w:rsidP="00293176">
            <w:pPr>
              <w:spacing w:line="360" w:lineRule="auto"/>
              <w:jc w:val="center"/>
            </w:pPr>
            <w:r w:rsidRPr="009A7163">
              <w:t>81</w:t>
            </w:r>
          </w:p>
        </w:tc>
      </w:tr>
      <w:tr w:rsidR="002C707D" w:rsidRPr="009A7163" w14:paraId="6FC66567" w14:textId="77777777" w:rsidTr="00293176">
        <w:tc>
          <w:tcPr>
            <w:tcW w:w="3955" w:type="dxa"/>
          </w:tcPr>
          <w:p w14:paraId="1F5878E5" w14:textId="77777777" w:rsidR="002C707D" w:rsidRPr="009A7163" w:rsidRDefault="002C707D" w:rsidP="00293176">
            <w:pPr>
              <w:spacing w:line="360" w:lineRule="auto"/>
              <w:jc w:val="both"/>
              <w:rPr>
                <w:b/>
                <w:i/>
              </w:rPr>
            </w:pPr>
            <w:r w:rsidRPr="009A7163">
              <w:rPr>
                <w:b/>
                <w:i/>
              </w:rPr>
              <w:t>Total TUS</w:t>
            </w:r>
          </w:p>
        </w:tc>
        <w:tc>
          <w:tcPr>
            <w:tcW w:w="810" w:type="dxa"/>
            <w:vAlign w:val="center"/>
          </w:tcPr>
          <w:p w14:paraId="2022BD57" w14:textId="77777777" w:rsidR="002C707D" w:rsidRPr="009A7163" w:rsidRDefault="002C707D" w:rsidP="00293176">
            <w:pPr>
              <w:spacing w:line="360" w:lineRule="auto"/>
              <w:jc w:val="center"/>
            </w:pPr>
            <w:r w:rsidRPr="009A7163">
              <w:t>209</w:t>
            </w:r>
          </w:p>
        </w:tc>
      </w:tr>
      <w:tr w:rsidR="002C707D" w:rsidRPr="009A7163" w14:paraId="0670B00F" w14:textId="77777777" w:rsidTr="00293176">
        <w:tc>
          <w:tcPr>
            <w:tcW w:w="3955" w:type="dxa"/>
          </w:tcPr>
          <w:p w14:paraId="292D2677" w14:textId="77777777" w:rsidR="002C707D" w:rsidRPr="009A7163" w:rsidRDefault="002C707D" w:rsidP="00293176">
            <w:pPr>
              <w:spacing w:line="360" w:lineRule="auto"/>
              <w:jc w:val="both"/>
            </w:pPr>
            <w:r w:rsidRPr="009A7163">
              <w:t>Survey (TUS 1) (Women)</w:t>
            </w:r>
          </w:p>
        </w:tc>
        <w:tc>
          <w:tcPr>
            <w:tcW w:w="810" w:type="dxa"/>
            <w:vAlign w:val="center"/>
          </w:tcPr>
          <w:p w14:paraId="44297B6C" w14:textId="77777777" w:rsidR="002C707D" w:rsidRPr="009A7163" w:rsidRDefault="002C707D" w:rsidP="00293176">
            <w:pPr>
              <w:spacing w:line="360" w:lineRule="auto"/>
              <w:jc w:val="center"/>
            </w:pPr>
            <w:r w:rsidRPr="009A7163">
              <w:t>35</w:t>
            </w:r>
          </w:p>
        </w:tc>
      </w:tr>
      <w:tr w:rsidR="002C707D" w:rsidRPr="009A7163" w14:paraId="40F32647" w14:textId="77777777" w:rsidTr="00293176">
        <w:trPr>
          <w:trHeight w:val="323"/>
        </w:trPr>
        <w:tc>
          <w:tcPr>
            <w:tcW w:w="3955" w:type="dxa"/>
          </w:tcPr>
          <w:p w14:paraId="2C1EF06A" w14:textId="77777777" w:rsidR="002C707D" w:rsidRPr="009A7163" w:rsidRDefault="002C707D" w:rsidP="00293176">
            <w:pPr>
              <w:spacing w:line="360" w:lineRule="auto"/>
              <w:jc w:val="both"/>
            </w:pPr>
            <w:r w:rsidRPr="009A7163">
              <w:t>Household Survey (Women)</w:t>
            </w:r>
          </w:p>
        </w:tc>
        <w:tc>
          <w:tcPr>
            <w:tcW w:w="810" w:type="dxa"/>
            <w:vAlign w:val="center"/>
          </w:tcPr>
          <w:p w14:paraId="39F9D87E" w14:textId="77777777" w:rsidR="002C707D" w:rsidRPr="009A7163" w:rsidRDefault="002C707D" w:rsidP="00293176">
            <w:pPr>
              <w:spacing w:line="360" w:lineRule="auto"/>
              <w:jc w:val="center"/>
            </w:pPr>
            <w:r w:rsidRPr="009A7163">
              <w:t>28</w:t>
            </w:r>
          </w:p>
        </w:tc>
      </w:tr>
      <w:tr w:rsidR="002C707D" w:rsidRPr="009A7163" w14:paraId="36972193" w14:textId="77777777" w:rsidTr="00293176">
        <w:tc>
          <w:tcPr>
            <w:tcW w:w="3955" w:type="dxa"/>
          </w:tcPr>
          <w:p w14:paraId="4B1036BA" w14:textId="77777777" w:rsidR="002C707D" w:rsidRPr="009A7163" w:rsidRDefault="002C707D" w:rsidP="00293176">
            <w:pPr>
              <w:spacing w:line="360" w:lineRule="auto"/>
              <w:jc w:val="both"/>
            </w:pPr>
            <w:r w:rsidRPr="009A7163">
              <w:t>Household survey (Family members)</w:t>
            </w:r>
          </w:p>
        </w:tc>
        <w:tc>
          <w:tcPr>
            <w:tcW w:w="810" w:type="dxa"/>
            <w:vAlign w:val="center"/>
          </w:tcPr>
          <w:p w14:paraId="48105B9B" w14:textId="77777777" w:rsidR="002C707D" w:rsidRPr="009A7163" w:rsidRDefault="002C707D" w:rsidP="00293176">
            <w:pPr>
              <w:spacing w:line="360" w:lineRule="auto"/>
              <w:jc w:val="center"/>
            </w:pPr>
            <w:r w:rsidRPr="009A7163">
              <w:t>26</w:t>
            </w:r>
          </w:p>
        </w:tc>
      </w:tr>
      <w:tr w:rsidR="002C707D" w:rsidRPr="009A7163" w14:paraId="75A60715" w14:textId="77777777" w:rsidTr="00293176">
        <w:tc>
          <w:tcPr>
            <w:tcW w:w="3955" w:type="dxa"/>
          </w:tcPr>
          <w:p w14:paraId="5EEFDD31" w14:textId="77777777" w:rsidR="002C707D" w:rsidRPr="009A7163" w:rsidRDefault="002C707D" w:rsidP="00293176">
            <w:pPr>
              <w:spacing w:line="360" w:lineRule="auto"/>
              <w:jc w:val="both"/>
              <w:rPr>
                <w:b/>
                <w:i/>
              </w:rPr>
            </w:pPr>
            <w:r w:rsidRPr="009A7163">
              <w:rPr>
                <w:b/>
                <w:i/>
              </w:rPr>
              <w:t xml:space="preserve">Qualitative </w:t>
            </w:r>
          </w:p>
        </w:tc>
        <w:tc>
          <w:tcPr>
            <w:tcW w:w="810" w:type="dxa"/>
            <w:vAlign w:val="center"/>
          </w:tcPr>
          <w:p w14:paraId="33058402" w14:textId="77777777" w:rsidR="002C707D" w:rsidRPr="009A7163" w:rsidRDefault="002C707D" w:rsidP="00293176">
            <w:pPr>
              <w:spacing w:line="360" w:lineRule="auto"/>
              <w:jc w:val="center"/>
            </w:pPr>
          </w:p>
        </w:tc>
      </w:tr>
      <w:tr w:rsidR="002C707D" w:rsidRPr="009A7163" w14:paraId="3F345388" w14:textId="77777777" w:rsidTr="00293176">
        <w:tc>
          <w:tcPr>
            <w:tcW w:w="3955" w:type="dxa"/>
          </w:tcPr>
          <w:p w14:paraId="7D6A9FF8" w14:textId="77777777" w:rsidR="002C707D" w:rsidRPr="009A7163" w:rsidRDefault="002C707D" w:rsidP="00293176">
            <w:pPr>
              <w:spacing w:line="360" w:lineRule="auto"/>
              <w:jc w:val="both"/>
            </w:pPr>
            <w:r w:rsidRPr="009A7163">
              <w:t>Focus group (men)</w:t>
            </w:r>
          </w:p>
        </w:tc>
        <w:tc>
          <w:tcPr>
            <w:tcW w:w="810" w:type="dxa"/>
            <w:vAlign w:val="center"/>
          </w:tcPr>
          <w:p w14:paraId="7E87EA4C" w14:textId="77777777" w:rsidR="002C707D" w:rsidRPr="009A7163" w:rsidRDefault="002C707D" w:rsidP="00293176">
            <w:pPr>
              <w:spacing w:line="360" w:lineRule="auto"/>
              <w:jc w:val="center"/>
            </w:pPr>
            <w:r w:rsidRPr="009A7163">
              <w:t>3</w:t>
            </w:r>
          </w:p>
        </w:tc>
      </w:tr>
      <w:tr w:rsidR="002C707D" w:rsidRPr="009A7163" w14:paraId="75B7B113" w14:textId="77777777" w:rsidTr="00293176">
        <w:tc>
          <w:tcPr>
            <w:tcW w:w="3955" w:type="dxa"/>
          </w:tcPr>
          <w:p w14:paraId="55754DDD" w14:textId="77777777" w:rsidR="002C707D" w:rsidRPr="009A7163" w:rsidRDefault="002C707D" w:rsidP="00293176">
            <w:pPr>
              <w:spacing w:line="360" w:lineRule="auto"/>
              <w:jc w:val="both"/>
            </w:pPr>
            <w:r w:rsidRPr="009A7163">
              <w:lastRenderedPageBreak/>
              <w:t>Focus group (women)</w:t>
            </w:r>
          </w:p>
        </w:tc>
        <w:tc>
          <w:tcPr>
            <w:tcW w:w="810" w:type="dxa"/>
            <w:vAlign w:val="center"/>
          </w:tcPr>
          <w:p w14:paraId="1038FFBD" w14:textId="77777777" w:rsidR="002C707D" w:rsidRPr="009A7163" w:rsidRDefault="002C707D" w:rsidP="00293176">
            <w:pPr>
              <w:spacing w:line="360" w:lineRule="auto"/>
              <w:jc w:val="center"/>
            </w:pPr>
            <w:r w:rsidRPr="009A7163">
              <w:t>3</w:t>
            </w:r>
          </w:p>
        </w:tc>
      </w:tr>
      <w:tr w:rsidR="002C707D" w:rsidRPr="009A7163" w14:paraId="085916C8" w14:textId="77777777" w:rsidTr="00293176">
        <w:tc>
          <w:tcPr>
            <w:tcW w:w="3955" w:type="dxa"/>
          </w:tcPr>
          <w:p w14:paraId="231127AE" w14:textId="77777777" w:rsidR="002C707D" w:rsidRPr="009A7163" w:rsidRDefault="002C707D" w:rsidP="00293176">
            <w:pPr>
              <w:spacing w:line="360" w:lineRule="auto"/>
              <w:jc w:val="both"/>
            </w:pPr>
            <w:r w:rsidRPr="009A7163">
              <w:t>Individual interviews (women)</w:t>
            </w:r>
          </w:p>
        </w:tc>
        <w:tc>
          <w:tcPr>
            <w:tcW w:w="810" w:type="dxa"/>
            <w:vAlign w:val="center"/>
          </w:tcPr>
          <w:p w14:paraId="642C08C3" w14:textId="77777777" w:rsidR="002C707D" w:rsidRPr="009A7163" w:rsidRDefault="002C707D" w:rsidP="00293176">
            <w:pPr>
              <w:spacing w:line="360" w:lineRule="auto"/>
              <w:jc w:val="center"/>
            </w:pPr>
            <w:r w:rsidRPr="009A7163">
              <w:t>30</w:t>
            </w:r>
          </w:p>
        </w:tc>
      </w:tr>
      <w:tr w:rsidR="002C707D" w:rsidRPr="009A7163" w14:paraId="1DF58D0A" w14:textId="77777777" w:rsidTr="00293176">
        <w:tc>
          <w:tcPr>
            <w:tcW w:w="3955" w:type="dxa"/>
          </w:tcPr>
          <w:p w14:paraId="5CCBA662" w14:textId="77777777" w:rsidR="002C707D" w:rsidRPr="009A7163" w:rsidRDefault="002C707D" w:rsidP="00293176">
            <w:pPr>
              <w:spacing w:line="360" w:lineRule="auto"/>
              <w:jc w:val="both"/>
            </w:pPr>
            <w:r w:rsidRPr="009A7163">
              <w:t>Expert interviews</w:t>
            </w:r>
          </w:p>
        </w:tc>
        <w:tc>
          <w:tcPr>
            <w:tcW w:w="810" w:type="dxa"/>
            <w:vAlign w:val="center"/>
          </w:tcPr>
          <w:p w14:paraId="0BBAF27E" w14:textId="77777777" w:rsidR="002C707D" w:rsidRPr="009A7163" w:rsidRDefault="002C707D" w:rsidP="00293176">
            <w:pPr>
              <w:spacing w:line="360" w:lineRule="auto"/>
              <w:jc w:val="center"/>
            </w:pPr>
            <w:r w:rsidRPr="009A7163">
              <w:t>19</w:t>
            </w:r>
          </w:p>
        </w:tc>
      </w:tr>
    </w:tbl>
    <w:p w14:paraId="0DE3D202" w14:textId="2445B8F6" w:rsidR="002C707D" w:rsidRPr="009A7163" w:rsidRDefault="00FA1756" w:rsidP="00293176">
      <w:pPr>
        <w:pStyle w:val="Heading2"/>
        <w:spacing w:before="360"/>
        <w:rPr>
          <w:lang w:val="en-GB"/>
        </w:rPr>
      </w:pPr>
      <w:bookmarkStart w:id="47" w:name="_Toc526819282"/>
      <w:r w:rsidRPr="009A7163">
        <w:rPr>
          <w:lang w:val="en-GB"/>
        </w:rPr>
        <w:t xml:space="preserve">3.5  </w:t>
      </w:r>
      <w:r w:rsidR="002C707D" w:rsidRPr="009A7163">
        <w:rPr>
          <w:lang w:val="en-GB"/>
        </w:rPr>
        <w:t>Data Collection Process</w:t>
      </w:r>
      <w:bookmarkEnd w:id="47"/>
    </w:p>
    <w:p w14:paraId="77FC5D3B" w14:textId="6062EC50" w:rsidR="002C707D" w:rsidRPr="009A7163" w:rsidRDefault="002C707D" w:rsidP="00293176">
      <w:pPr>
        <w:spacing w:after="240" w:line="360" w:lineRule="auto"/>
        <w:ind w:firstLine="720"/>
        <w:jc w:val="both"/>
      </w:pPr>
      <w:r w:rsidRPr="009A7163">
        <w:t>Substantive fieldwork was carried out between Febru</w:t>
      </w:r>
      <w:r w:rsidR="0076015F" w:rsidRPr="009A7163">
        <w:t>ary 2015 and December 2016 for 21</w:t>
      </w:r>
      <w:r w:rsidRPr="009A7163">
        <w:t xml:space="preserve"> month</w:t>
      </w:r>
      <w:r w:rsidR="0076015F" w:rsidRPr="009A7163">
        <w:t>s</w:t>
      </w:r>
      <w:r w:rsidRPr="009A7163">
        <w:t xml:space="preserve"> in total, and it was carried out in multiple rounds of data collection. This section discusses the different rounds of data collection. It first discusses data collection at each case study site, which included quantitative and qualitative data collection, and then discusses broader data collection via expert interviews.   </w:t>
      </w:r>
    </w:p>
    <w:p w14:paraId="27919DB7" w14:textId="35776ADF" w:rsidR="002C707D" w:rsidRPr="009A7163" w:rsidRDefault="00FA1756" w:rsidP="00293176">
      <w:pPr>
        <w:pStyle w:val="Heading3"/>
      </w:pPr>
      <w:bookmarkStart w:id="48" w:name="_Toc526819283"/>
      <w:r w:rsidRPr="009A7163">
        <w:t xml:space="preserve">3.5.1  </w:t>
      </w:r>
      <w:r w:rsidR="002C707D" w:rsidRPr="009A7163">
        <w:t xml:space="preserve">Case </w:t>
      </w:r>
      <w:r w:rsidRPr="009A7163">
        <w:t>S</w:t>
      </w:r>
      <w:r w:rsidR="002C707D" w:rsidRPr="009A7163">
        <w:t>tudy Data Collection</w:t>
      </w:r>
      <w:bookmarkEnd w:id="48"/>
    </w:p>
    <w:p w14:paraId="4AC4C5EF" w14:textId="414BC3B4" w:rsidR="00430E65" w:rsidRPr="009A7163" w:rsidRDefault="002C707D" w:rsidP="00293176">
      <w:pPr>
        <w:spacing w:after="240" w:line="360" w:lineRule="auto"/>
        <w:ind w:firstLine="720"/>
        <w:jc w:val="both"/>
      </w:pPr>
      <w:r w:rsidRPr="009A7163">
        <w:t xml:space="preserve">This section looks at the how the data collection process proceeded in each of the case study sites, Achuapa and San Ramón. But first, it discusses the characteristics of the sample of research participants for each of the case study sites. </w:t>
      </w:r>
    </w:p>
    <w:p w14:paraId="79EA4ADF" w14:textId="33B6EF6E" w:rsidR="00430E65" w:rsidRPr="009A7163" w:rsidRDefault="00430E65" w:rsidP="00293176">
      <w:pPr>
        <w:pStyle w:val="Heading4"/>
      </w:pPr>
      <w:bookmarkStart w:id="49" w:name="_Toc526819284"/>
      <w:r w:rsidRPr="009A7163">
        <w:t>3.5.1.1 Sample</w:t>
      </w:r>
      <w:bookmarkEnd w:id="49"/>
    </w:p>
    <w:p w14:paraId="6B3D7EE0" w14:textId="697A1673" w:rsidR="002C707D" w:rsidRPr="009A7163" w:rsidRDefault="002C707D" w:rsidP="008C041F">
      <w:pPr>
        <w:spacing w:line="360" w:lineRule="auto"/>
        <w:ind w:firstLine="720"/>
        <w:jc w:val="both"/>
      </w:pPr>
      <w:r w:rsidRPr="009A7163">
        <w:t>The on-site data was collected principally from rural women who participated in the initiative (in other words, were able to access funds paid for by the premium from the buyer), as well as a small section of men and other family members related to the women. These participants were chosen for the purpose of obtaining information on how unpaid work is defined and understood by the participants of the initiative</w:t>
      </w:r>
      <w:r w:rsidR="00F17AB9" w:rsidRPr="009A7163">
        <w:t>,</w:t>
      </w:r>
      <w:r w:rsidRPr="009A7163">
        <w:t xml:space="preserve"> time use and how paid and unpaid work is distributed between family members and activities and what factors influence this and, lastly, to examine how the initiative works in practice in each case study in order to study whether it fosters empowerment. </w:t>
      </w:r>
    </w:p>
    <w:p w14:paraId="31393962" w14:textId="378D97E4" w:rsidR="002C707D" w:rsidRPr="009A7163" w:rsidRDefault="002C707D" w:rsidP="002C707D">
      <w:pPr>
        <w:spacing w:line="360" w:lineRule="auto"/>
        <w:ind w:firstLine="720"/>
        <w:jc w:val="both"/>
      </w:pPr>
      <w:r w:rsidRPr="009A7163">
        <w:t xml:space="preserve">The sample used for each research method at each of the two case study sites was comprised of women who had one or more of the following characteristics: </w:t>
      </w:r>
    </w:p>
    <w:p w14:paraId="7B5B2E8D" w14:textId="77777777" w:rsidR="002C707D" w:rsidRPr="009A7163" w:rsidRDefault="002C707D" w:rsidP="003D3C63">
      <w:pPr>
        <w:numPr>
          <w:ilvl w:val="0"/>
          <w:numId w:val="3"/>
        </w:numPr>
        <w:spacing w:line="360" w:lineRule="auto"/>
        <w:jc w:val="both"/>
      </w:pPr>
      <w:r w:rsidRPr="009A7163">
        <w:t>Age groups: 18–24, 25–34, 35–44, 45–54, or 55 years and old</w:t>
      </w:r>
    </w:p>
    <w:p w14:paraId="7415E223" w14:textId="77777777" w:rsidR="002C707D" w:rsidRPr="009A7163" w:rsidRDefault="002C707D" w:rsidP="003D3C63">
      <w:pPr>
        <w:numPr>
          <w:ilvl w:val="0"/>
          <w:numId w:val="3"/>
        </w:numPr>
        <w:spacing w:line="360" w:lineRule="auto"/>
        <w:jc w:val="both"/>
      </w:pPr>
      <w:r w:rsidRPr="009A7163">
        <w:t>Marital status: Single, married/stable non-marital status</w:t>
      </w:r>
    </w:p>
    <w:p w14:paraId="06914FEE" w14:textId="77777777" w:rsidR="002C707D" w:rsidRPr="009A7163" w:rsidRDefault="002C707D" w:rsidP="003D3C63">
      <w:pPr>
        <w:numPr>
          <w:ilvl w:val="0"/>
          <w:numId w:val="3"/>
        </w:numPr>
        <w:spacing w:line="360" w:lineRule="auto"/>
        <w:jc w:val="both"/>
      </w:pPr>
      <w:r w:rsidRPr="009A7163">
        <w:t>Cooperative membership: Member, spouse of member, not a member</w:t>
      </w:r>
    </w:p>
    <w:p w14:paraId="0FB410A4" w14:textId="77777777" w:rsidR="002C707D" w:rsidRPr="009A7163" w:rsidRDefault="002C707D" w:rsidP="003D3C63">
      <w:pPr>
        <w:numPr>
          <w:ilvl w:val="0"/>
          <w:numId w:val="3"/>
        </w:numPr>
        <w:spacing w:line="360" w:lineRule="auto"/>
        <w:jc w:val="both"/>
      </w:pPr>
      <w:r w:rsidRPr="009A7163">
        <w:t>Years being part of the initiative: Less than 3 years, 3–6 years, not part of the initiative.</w:t>
      </w:r>
    </w:p>
    <w:p w14:paraId="09EF1961" w14:textId="77777777" w:rsidR="002C707D" w:rsidRPr="009A7163" w:rsidRDefault="002C707D" w:rsidP="003D3C63">
      <w:pPr>
        <w:numPr>
          <w:ilvl w:val="0"/>
          <w:numId w:val="3"/>
        </w:numPr>
        <w:spacing w:line="360" w:lineRule="auto"/>
        <w:jc w:val="both"/>
      </w:pPr>
      <w:r w:rsidRPr="009A7163">
        <w:lastRenderedPageBreak/>
        <w:t>Producer: sesame/coffee or not</w:t>
      </w:r>
      <w:r w:rsidRPr="009A7163">
        <w:rPr>
          <w:vertAlign w:val="superscript"/>
        </w:rPr>
        <w:footnoteReference w:id="58"/>
      </w:r>
    </w:p>
    <w:p w14:paraId="34AD61C0" w14:textId="0979C814" w:rsidR="002C707D" w:rsidRPr="009A7163" w:rsidRDefault="002C707D" w:rsidP="00293176">
      <w:pPr>
        <w:spacing w:after="240" w:line="360" w:lineRule="auto"/>
        <w:ind w:firstLine="720"/>
        <w:jc w:val="both"/>
      </w:pPr>
      <w:r w:rsidRPr="009A7163">
        <w:t xml:space="preserve">The sample was divided into overall group (all the women who participated in each research round) and then a sample group (women who participated in more than three rounds of research). The overall group provided broad findings from all the women who participated in some of the stages of research. The sample group provided an opportunity to look more closely at time use patterns and triangulate data with the overall group. </w:t>
      </w:r>
    </w:p>
    <w:p w14:paraId="4882E291" w14:textId="1AE6D4FA" w:rsidR="00FA1756" w:rsidRPr="009A7163" w:rsidRDefault="00FA1756" w:rsidP="00293176">
      <w:pPr>
        <w:pStyle w:val="Heading4"/>
      </w:pPr>
      <w:bookmarkStart w:id="50" w:name="_Toc526819285"/>
      <w:r w:rsidRPr="009A7163">
        <w:t xml:space="preserve">3.5.1.2 </w:t>
      </w:r>
      <w:r w:rsidR="002C707D" w:rsidRPr="009A7163">
        <w:t>Achuapa Case Study</w:t>
      </w:r>
      <w:bookmarkEnd w:id="50"/>
    </w:p>
    <w:p w14:paraId="7A8BCF79" w14:textId="0BBC3ABC" w:rsidR="002C707D" w:rsidRPr="009A7163" w:rsidRDefault="002C707D" w:rsidP="008C041F">
      <w:pPr>
        <w:spacing w:line="360" w:lineRule="auto"/>
        <w:ind w:firstLine="720"/>
        <w:jc w:val="both"/>
        <w:rPr>
          <w:bCs/>
        </w:rPr>
      </w:pPr>
      <w:r w:rsidRPr="009A7163">
        <w:t xml:space="preserve">A summary of the quantitative methods can be found in Table 4.2. For the quantitative data collection, the sample of women was selected with the gender coordinator based on the sampling criteria mentioned above. </w:t>
      </w:r>
      <w:r w:rsidRPr="009A7163">
        <w:rPr>
          <w:bCs/>
        </w:rPr>
        <w:t>The two sampling strategies in summary are: (a) criterion sampling for which all the women had to be participating in the initiative and (b) maximum variation of sampling whereby individuals were selected because they represent the widest possible range of characteristics being studied. Gradual strategies of sampling were used for these interviews where participants were selected considering a number of different options proposed by Patton (2002): extreme or deviant cases, typical cases, intensity of interesting features, critical cases suggested by experts and sensitive case and convenient case.</w:t>
      </w:r>
    </w:p>
    <w:p w14:paraId="60A35528" w14:textId="0F13F73D" w:rsidR="002C707D" w:rsidRPr="009A7163" w:rsidRDefault="002C707D" w:rsidP="002C707D">
      <w:pPr>
        <w:spacing w:line="360" w:lineRule="auto"/>
        <w:ind w:firstLine="720"/>
        <w:jc w:val="both"/>
      </w:pPr>
      <w:r w:rsidRPr="009A7163">
        <w:t xml:space="preserve">The sample was drawn from a list of the 118 women participating in initiative provided by the gender coordinator </w:t>
      </w:r>
      <w:r w:rsidR="00A5664D" w:rsidRPr="009A7163">
        <w:t>from</w:t>
      </w:r>
      <w:r w:rsidRPr="009A7163">
        <w:t xml:space="preserve"> the cooperative in Achuapa. The variables that were considered for selection were: age, marital status, rural/urban, civil/marital status, cooperative membership, position within the cooperative and/or initiative (e.g. on board, president of group), years being part of the initiative and whether the woman was or was not a producer (see Table 4.3 </w:t>
      </w:r>
      <w:r w:rsidR="00FA1756" w:rsidRPr="009A7163">
        <w:t xml:space="preserve">below </w:t>
      </w:r>
      <w:r w:rsidRPr="009A7163">
        <w:t xml:space="preserve">for a summary of the characteristics of the Achuapa sample/overall group of women). For practical reasons of time and resources, geographical criteria also had a weight in the selection of women surveyed. Efforts were made to interview several women from the same community or surrounding communities. The furthest communities were taken into account, but it was not always possible to get to these areas due to seasonal effects. This potentially </w:t>
      </w:r>
      <w:r w:rsidRPr="009A7163">
        <w:lastRenderedPageBreak/>
        <w:t>affected the findings, as the communities furthest away have more issues related to access to resources and therein it</w:t>
      </w:r>
      <w:r w:rsidR="00A5664D" w:rsidRPr="009A7163">
        <w:t xml:space="preserve"> i</w:t>
      </w:r>
      <w:r w:rsidRPr="009A7163">
        <w:t xml:space="preserve">s likely the women are more isolated and have more unpaid work due to </w:t>
      </w:r>
      <w:r w:rsidR="00A5664D" w:rsidRPr="009A7163">
        <w:t>characteristics of their geographical location, including</w:t>
      </w:r>
      <w:r w:rsidRPr="009A7163">
        <w:t xml:space="preserve"> water scarcity, lack o</w:t>
      </w:r>
      <w:r w:rsidR="00454CAE" w:rsidRPr="009A7163">
        <w:t xml:space="preserve">f access to resources, lack of </w:t>
      </w:r>
      <w:r w:rsidRPr="009A7163">
        <w:t xml:space="preserve">communication and limited access to roads/transport. In some cases, special visits were made to obtain survey information if the participant was unavailable in the larger research round. </w:t>
      </w:r>
    </w:p>
    <w:p w14:paraId="228B8EF0" w14:textId="58FE32F3" w:rsidR="002C707D" w:rsidRPr="009A7163" w:rsidRDefault="002C707D" w:rsidP="00293176">
      <w:pPr>
        <w:pStyle w:val="TableTOC"/>
        <w:rPr>
          <w:lang w:val="en-GB"/>
        </w:rPr>
      </w:pPr>
      <w:bookmarkStart w:id="51" w:name="_Toc526710006"/>
      <w:r w:rsidRPr="009A7163">
        <w:rPr>
          <w:lang w:val="en-GB"/>
        </w:rPr>
        <w:t xml:space="preserve">Table </w:t>
      </w:r>
      <w:r w:rsidR="007B69E5" w:rsidRPr="009A7163">
        <w:rPr>
          <w:lang w:val="en-GB"/>
        </w:rPr>
        <w:t>3</w:t>
      </w:r>
      <w:r w:rsidRPr="009A7163">
        <w:rPr>
          <w:lang w:val="en-GB"/>
        </w:rPr>
        <w:t>.2. Summary of Quantitative Methods (Achuapa)</w:t>
      </w:r>
      <w:bookmarkEnd w:id="51"/>
    </w:p>
    <w:tbl>
      <w:tblPr>
        <w:tblStyle w:val="TableGrid1"/>
        <w:tblW w:w="0" w:type="auto"/>
        <w:tblLook w:val="04A0" w:firstRow="1" w:lastRow="0" w:firstColumn="1" w:lastColumn="0" w:noHBand="0" w:noVBand="1"/>
      </w:tblPr>
      <w:tblGrid>
        <w:gridCol w:w="3003"/>
        <w:gridCol w:w="1402"/>
        <w:gridCol w:w="2610"/>
      </w:tblGrid>
      <w:tr w:rsidR="002C707D" w:rsidRPr="009A7163" w14:paraId="0A438C91" w14:textId="77777777" w:rsidTr="00CB5642">
        <w:tc>
          <w:tcPr>
            <w:tcW w:w="3003" w:type="dxa"/>
          </w:tcPr>
          <w:p w14:paraId="5EF75771" w14:textId="77777777" w:rsidR="002C707D" w:rsidRPr="009A7163" w:rsidRDefault="002C707D" w:rsidP="00293176">
            <w:pPr>
              <w:spacing w:line="360" w:lineRule="auto"/>
              <w:jc w:val="both"/>
              <w:rPr>
                <w:b/>
              </w:rPr>
            </w:pPr>
            <w:r w:rsidRPr="009A7163">
              <w:rPr>
                <w:b/>
              </w:rPr>
              <w:t>Quantitative methods</w:t>
            </w:r>
          </w:p>
        </w:tc>
        <w:tc>
          <w:tcPr>
            <w:tcW w:w="1402" w:type="dxa"/>
          </w:tcPr>
          <w:p w14:paraId="51E2641D" w14:textId="77777777" w:rsidR="002C707D" w:rsidRPr="009A7163" w:rsidRDefault="002C707D" w:rsidP="00293176">
            <w:pPr>
              <w:spacing w:line="360" w:lineRule="auto"/>
              <w:jc w:val="both"/>
              <w:rPr>
                <w:b/>
              </w:rPr>
            </w:pPr>
            <w:r w:rsidRPr="009A7163">
              <w:rPr>
                <w:b/>
              </w:rPr>
              <w:t>Women</w:t>
            </w:r>
          </w:p>
        </w:tc>
        <w:tc>
          <w:tcPr>
            <w:tcW w:w="2610" w:type="dxa"/>
          </w:tcPr>
          <w:p w14:paraId="7527931C" w14:textId="77777777" w:rsidR="002C707D" w:rsidRPr="009A7163" w:rsidRDefault="002C707D" w:rsidP="00293176">
            <w:pPr>
              <w:spacing w:line="360" w:lineRule="auto"/>
              <w:jc w:val="both"/>
              <w:rPr>
                <w:b/>
              </w:rPr>
            </w:pPr>
            <w:r w:rsidRPr="009A7163">
              <w:rPr>
                <w:b/>
              </w:rPr>
              <w:t>Other Family Member</w:t>
            </w:r>
          </w:p>
        </w:tc>
      </w:tr>
      <w:tr w:rsidR="002C707D" w:rsidRPr="009A7163" w14:paraId="22CA4A0D" w14:textId="77777777" w:rsidTr="00CB5642">
        <w:trPr>
          <w:trHeight w:val="305"/>
        </w:trPr>
        <w:tc>
          <w:tcPr>
            <w:tcW w:w="3003" w:type="dxa"/>
          </w:tcPr>
          <w:p w14:paraId="5C743FA9" w14:textId="77777777" w:rsidR="002C707D" w:rsidRPr="009A7163" w:rsidRDefault="002C707D" w:rsidP="00293176">
            <w:pPr>
              <w:spacing w:line="360" w:lineRule="auto"/>
              <w:jc w:val="both"/>
            </w:pPr>
            <w:r w:rsidRPr="009A7163">
              <w:t>Survey (TUS 1)</w:t>
            </w:r>
          </w:p>
        </w:tc>
        <w:tc>
          <w:tcPr>
            <w:tcW w:w="1402" w:type="dxa"/>
          </w:tcPr>
          <w:p w14:paraId="72BB1DF1" w14:textId="77777777" w:rsidR="002C707D" w:rsidRPr="009A7163" w:rsidRDefault="002C707D" w:rsidP="00293176">
            <w:pPr>
              <w:spacing w:line="360" w:lineRule="auto"/>
              <w:jc w:val="both"/>
            </w:pPr>
            <w:r w:rsidRPr="009A7163">
              <w:t>21</w:t>
            </w:r>
          </w:p>
        </w:tc>
        <w:tc>
          <w:tcPr>
            <w:tcW w:w="2610" w:type="dxa"/>
          </w:tcPr>
          <w:p w14:paraId="0F78A7CE" w14:textId="77777777" w:rsidR="002C707D" w:rsidRPr="009A7163" w:rsidRDefault="002C707D" w:rsidP="00293176">
            <w:pPr>
              <w:spacing w:line="360" w:lineRule="auto"/>
              <w:jc w:val="both"/>
            </w:pPr>
            <w:r w:rsidRPr="009A7163">
              <w:t>0</w:t>
            </w:r>
          </w:p>
        </w:tc>
      </w:tr>
      <w:tr w:rsidR="002C707D" w:rsidRPr="009A7163" w14:paraId="1EEA91E4" w14:textId="77777777" w:rsidTr="00CB5642">
        <w:tc>
          <w:tcPr>
            <w:tcW w:w="3003" w:type="dxa"/>
          </w:tcPr>
          <w:p w14:paraId="4587A1C0" w14:textId="77777777" w:rsidR="002C707D" w:rsidRPr="009A7163" w:rsidRDefault="002C707D" w:rsidP="00293176">
            <w:pPr>
              <w:spacing w:line="360" w:lineRule="auto"/>
              <w:jc w:val="both"/>
            </w:pPr>
            <w:r w:rsidRPr="009A7163">
              <w:t>Household Survey</w:t>
            </w:r>
          </w:p>
        </w:tc>
        <w:tc>
          <w:tcPr>
            <w:tcW w:w="1402" w:type="dxa"/>
          </w:tcPr>
          <w:p w14:paraId="7F551218" w14:textId="77777777" w:rsidR="002C707D" w:rsidRPr="009A7163" w:rsidRDefault="002C707D" w:rsidP="00293176">
            <w:pPr>
              <w:spacing w:line="360" w:lineRule="auto"/>
              <w:jc w:val="both"/>
            </w:pPr>
            <w:r w:rsidRPr="009A7163">
              <w:t>16</w:t>
            </w:r>
          </w:p>
        </w:tc>
        <w:tc>
          <w:tcPr>
            <w:tcW w:w="2610" w:type="dxa"/>
          </w:tcPr>
          <w:p w14:paraId="7DA430A1" w14:textId="77777777" w:rsidR="002C707D" w:rsidRPr="009A7163" w:rsidRDefault="002C707D" w:rsidP="00293176">
            <w:pPr>
              <w:spacing w:line="360" w:lineRule="auto"/>
              <w:jc w:val="both"/>
            </w:pPr>
            <w:r w:rsidRPr="009A7163">
              <w:t>14</w:t>
            </w:r>
          </w:p>
        </w:tc>
      </w:tr>
      <w:tr w:rsidR="002C707D" w:rsidRPr="009A7163" w14:paraId="32056C4F" w14:textId="77777777" w:rsidTr="00CB5642">
        <w:tc>
          <w:tcPr>
            <w:tcW w:w="3003" w:type="dxa"/>
          </w:tcPr>
          <w:p w14:paraId="27EBA5FB" w14:textId="77777777" w:rsidR="002C707D" w:rsidRPr="009A7163" w:rsidRDefault="002C707D" w:rsidP="00293176">
            <w:pPr>
              <w:spacing w:line="360" w:lineRule="auto"/>
              <w:jc w:val="both"/>
            </w:pPr>
            <w:r w:rsidRPr="009A7163">
              <w:t>Time Use Survey (Total)</w:t>
            </w:r>
          </w:p>
        </w:tc>
        <w:tc>
          <w:tcPr>
            <w:tcW w:w="1402" w:type="dxa"/>
          </w:tcPr>
          <w:p w14:paraId="164B52F8" w14:textId="77777777" w:rsidR="002C707D" w:rsidRPr="009A7163" w:rsidRDefault="002C707D" w:rsidP="00293176">
            <w:pPr>
              <w:spacing w:line="360" w:lineRule="auto"/>
              <w:jc w:val="both"/>
            </w:pPr>
            <w:r w:rsidRPr="009A7163">
              <w:t>84</w:t>
            </w:r>
          </w:p>
        </w:tc>
        <w:tc>
          <w:tcPr>
            <w:tcW w:w="2610" w:type="dxa"/>
          </w:tcPr>
          <w:p w14:paraId="62BAC431" w14:textId="77777777" w:rsidR="002C707D" w:rsidRPr="009A7163" w:rsidRDefault="002C707D" w:rsidP="00293176">
            <w:pPr>
              <w:spacing w:line="360" w:lineRule="auto"/>
              <w:jc w:val="both"/>
            </w:pPr>
            <w:r w:rsidRPr="009A7163">
              <w:t>55</w:t>
            </w:r>
          </w:p>
        </w:tc>
      </w:tr>
      <w:tr w:rsidR="002C707D" w:rsidRPr="009A7163" w14:paraId="570C2581" w14:textId="77777777" w:rsidTr="00CB5642">
        <w:tc>
          <w:tcPr>
            <w:tcW w:w="3003" w:type="dxa"/>
          </w:tcPr>
          <w:p w14:paraId="1518EABE" w14:textId="77777777" w:rsidR="002C707D" w:rsidRPr="009A7163" w:rsidRDefault="002C707D" w:rsidP="00293176">
            <w:pPr>
              <w:spacing w:line="360" w:lineRule="auto"/>
              <w:jc w:val="both"/>
            </w:pPr>
            <w:r w:rsidRPr="009A7163">
              <w:t>Total</w:t>
            </w:r>
          </w:p>
        </w:tc>
        <w:tc>
          <w:tcPr>
            <w:tcW w:w="1402" w:type="dxa"/>
          </w:tcPr>
          <w:p w14:paraId="77F23EE8" w14:textId="77777777" w:rsidR="002C707D" w:rsidRPr="009A7163" w:rsidRDefault="002C707D" w:rsidP="00293176">
            <w:pPr>
              <w:spacing w:line="360" w:lineRule="auto"/>
              <w:jc w:val="both"/>
            </w:pPr>
            <w:r w:rsidRPr="009A7163">
              <w:t>121</w:t>
            </w:r>
          </w:p>
        </w:tc>
        <w:tc>
          <w:tcPr>
            <w:tcW w:w="2610" w:type="dxa"/>
          </w:tcPr>
          <w:p w14:paraId="236439DA" w14:textId="77777777" w:rsidR="002C707D" w:rsidRPr="009A7163" w:rsidRDefault="002C707D" w:rsidP="00293176">
            <w:pPr>
              <w:spacing w:line="360" w:lineRule="auto"/>
              <w:jc w:val="both"/>
            </w:pPr>
            <w:r w:rsidRPr="009A7163">
              <w:t>69</w:t>
            </w:r>
          </w:p>
        </w:tc>
      </w:tr>
    </w:tbl>
    <w:p w14:paraId="30525144" w14:textId="77777777" w:rsidR="00663534" w:rsidRPr="009A7163" w:rsidRDefault="00663534" w:rsidP="00663534">
      <w:pPr>
        <w:spacing w:before="360" w:line="360" w:lineRule="auto"/>
        <w:jc w:val="both"/>
      </w:pPr>
      <w:r w:rsidRPr="009A7163">
        <w:tab/>
        <w:t>As far as surveys, for the initial survey, only the women (21 in total) answered the survey questions that preceded the TUS (see Table 4.4 below). For the HCS-TUS 2, the survey was answered by the women (16 in total) (see Table 4.4) and another member of the household (14 in total) (see Table 4.5), as it was of particular interest to gain different perspectives from another person in the household on care, decision making, social norms and perceptions on roles and distribution of work.</w:t>
      </w:r>
    </w:p>
    <w:p w14:paraId="4BDEE72E" w14:textId="77777777" w:rsidR="00663534" w:rsidRPr="009A7163" w:rsidRDefault="00663534" w:rsidP="00663534">
      <w:pPr>
        <w:spacing w:before="360" w:line="360" w:lineRule="auto"/>
        <w:ind w:firstLine="720"/>
        <w:jc w:val="both"/>
        <w:rPr>
          <w:bCs/>
        </w:rPr>
      </w:pPr>
      <w:r w:rsidRPr="009A7163">
        <w:t xml:space="preserve">Regarding qualitative methods, focus groups and semi-structured interviews were carried out (see Table 4.6 below). For focus groups, </w:t>
      </w:r>
      <w:r w:rsidRPr="009A7163">
        <w:rPr>
          <w:bCs/>
        </w:rPr>
        <w:t xml:space="preserve">I used the same purposeful sampling that I had employed for the quantitative data and invited all the women who I had interviewed to come to a focus group along with their partners. The focus group sessions were run like workshops and consisted of different activities before the actual focus group began (see an example of an agenda in Appendix G). The focus group took place in February 2015 in the cooperative training session. Before the focus group portion of the activity, I employed two ‘participatory’ methods: First, I used a trust building exercise to begin with as a few women had commented that this would be the first time they would have attended a session as a couple and were nervous. Second, I decided to experiment with a dramatised visualization of time use whereby I asked the men and women in groups separately to act out their day for each hour. I guided this activity. As the groups walked through their day, acting out without words the activity </w:t>
      </w:r>
      <w:r w:rsidRPr="009A7163">
        <w:rPr>
          <w:bCs/>
        </w:rPr>
        <w:lastRenderedPageBreak/>
        <w:t>they do at each hour, the other group observed. I asked each group (men and women) to strike a pose as to how they felt at the end of the day and then do a couple pose (joining both images) and then to discuss with one another. What was notable was the differences that had been highlighted in the TUS about men working shorter work days, having more time to rest and performing very few household tasks. The women visualised the physicality of the toil on bodies of the unpaid work.</w:t>
      </w:r>
    </w:p>
    <w:p w14:paraId="2E65E77B" w14:textId="2570F633" w:rsidR="002C707D" w:rsidRPr="009A7163" w:rsidRDefault="002C707D" w:rsidP="00293176">
      <w:pPr>
        <w:pStyle w:val="TableTOC"/>
        <w:rPr>
          <w:lang w:val="en-GB"/>
        </w:rPr>
      </w:pPr>
      <w:bookmarkStart w:id="52" w:name="_Toc526710007"/>
      <w:r w:rsidRPr="009A7163">
        <w:rPr>
          <w:lang w:val="en-GB"/>
        </w:rPr>
        <w:t xml:space="preserve">Table </w:t>
      </w:r>
      <w:r w:rsidR="007B69E5" w:rsidRPr="009A7163">
        <w:rPr>
          <w:lang w:val="en-GB"/>
        </w:rPr>
        <w:t>3</w:t>
      </w:r>
      <w:r w:rsidRPr="009A7163">
        <w:rPr>
          <w:lang w:val="en-GB"/>
        </w:rPr>
        <w:t>.3. Summary of Characteristics of Achuapa Sample (Overall Group)</w:t>
      </w:r>
      <w:bookmarkEnd w:id="52"/>
    </w:p>
    <w:tbl>
      <w:tblPr>
        <w:tblStyle w:val="TableGrid1"/>
        <w:tblW w:w="0" w:type="auto"/>
        <w:tblLayout w:type="fixed"/>
        <w:tblLook w:val="04A0" w:firstRow="1" w:lastRow="0" w:firstColumn="1" w:lastColumn="0" w:noHBand="0" w:noVBand="1"/>
      </w:tblPr>
      <w:tblGrid>
        <w:gridCol w:w="2425"/>
        <w:gridCol w:w="1286"/>
        <w:gridCol w:w="1286"/>
        <w:gridCol w:w="1286"/>
        <w:gridCol w:w="1286"/>
      </w:tblGrid>
      <w:tr w:rsidR="002C707D" w:rsidRPr="009A7163" w14:paraId="4409C8B8" w14:textId="77777777" w:rsidTr="00CB5642">
        <w:trPr>
          <w:trHeight w:val="320"/>
        </w:trPr>
        <w:tc>
          <w:tcPr>
            <w:tcW w:w="2425" w:type="dxa"/>
            <w:noWrap/>
            <w:hideMark/>
          </w:tcPr>
          <w:p w14:paraId="166E28D0" w14:textId="77777777" w:rsidR="002C707D" w:rsidRPr="009A7163" w:rsidRDefault="002C707D" w:rsidP="00293176"/>
        </w:tc>
        <w:tc>
          <w:tcPr>
            <w:tcW w:w="5144" w:type="dxa"/>
            <w:gridSpan w:val="4"/>
            <w:noWrap/>
            <w:hideMark/>
          </w:tcPr>
          <w:p w14:paraId="1B205FD9" w14:textId="77777777" w:rsidR="002C707D" w:rsidRPr="009A7163" w:rsidRDefault="002C707D" w:rsidP="00293176">
            <w:pPr>
              <w:rPr>
                <w:b/>
                <w:bCs/>
              </w:rPr>
            </w:pPr>
            <w:r w:rsidRPr="009A7163">
              <w:rPr>
                <w:b/>
                <w:bCs/>
              </w:rPr>
              <w:t>Number of Women by Categories</w:t>
            </w:r>
          </w:p>
        </w:tc>
      </w:tr>
      <w:tr w:rsidR="002C707D" w:rsidRPr="009A7163" w14:paraId="0C83DE9D" w14:textId="77777777" w:rsidTr="00CB5642">
        <w:trPr>
          <w:trHeight w:val="1040"/>
        </w:trPr>
        <w:tc>
          <w:tcPr>
            <w:tcW w:w="2425" w:type="dxa"/>
            <w:noWrap/>
            <w:hideMark/>
          </w:tcPr>
          <w:p w14:paraId="46662039" w14:textId="77777777" w:rsidR="002C707D" w:rsidRPr="009A7163" w:rsidRDefault="002C707D" w:rsidP="00293176">
            <w:pPr>
              <w:rPr>
                <w:b/>
                <w:bCs/>
              </w:rPr>
            </w:pPr>
          </w:p>
        </w:tc>
        <w:tc>
          <w:tcPr>
            <w:tcW w:w="1286" w:type="dxa"/>
            <w:hideMark/>
          </w:tcPr>
          <w:p w14:paraId="56EEFB54" w14:textId="77777777" w:rsidR="002C707D" w:rsidRPr="009A7163" w:rsidRDefault="002C707D" w:rsidP="00293176">
            <w:pPr>
              <w:rPr>
                <w:b/>
                <w:bCs/>
                <w:iCs/>
              </w:rPr>
            </w:pPr>
            <w:r w:rsidRPr="009A7163">
              <w:rPr>
                <w:b/>
                <w:bCs/>
                <w:iCs/>
              </w:rPr>
              <w:t>Post-Harvest (Feb.15)</w:t>
            </w:r>
          </w:p>
        </w:tc>
        <w:tc>
          <w:tcPr>
            <w:tcW w:w="1286" w:type="dxa"/>
            <w:hideMark/>
          </w:tcPr>
          <w:p w14:paraId="292CB071" w14:textId="77777777" w:rsidR="002C707D" w:rsidRPr="009A7163" w:rsidRDefault="002C707D" w:rsidP="00293176">
            <w:pPr>
              <w:rPr>
                <w:b/>
                <w:bCs/>
                <w:iCs/>
              </w:rPr>
            </w:pPr>
            <w:r w:rsidRPr="009A7163">
              <w:rPr>
                <w:b/>
                <w:bCs/>
                <w:iCs/>
              </w:rPr>
              <w:t>Non-Harvest (Jul.15)</w:t>
            </w:r>
          </w:p>
        </w:tc>
        <w:tc>
          <w:tcPr>
            <w:tcW w:w="1286" w:type="dxa"/>
            <w:hideMark/>
          </w:tcPr>
          <w:p w14:paraId="32799A3F" w14:textId="77777777" w:rsidR="002C707D" w:rsidRPr="009A7163" w:rsidRDefault="002C707D" w:rsidP="00293176">
            <w:pPr>
              <w:rPr>
                <w:b/>
                <w:bCs/>
                <w:iCs/>
              </w:rPr>
            </w:pPr>
            <w:r w:rsidRPr="009A7163">
              <w:rPr>
                <w:b/>
                <w:bCs/>
                <w:iCs/>
              </w:rPr>
              <w:t>Harvest. Drought (Nov.15-Feb.16)</w:t>
            </w:r>
          </w:p>
        </w:tc>
        <w:tc>
          <w:tcPr>
            <w:tcW w:w="1286" w:type="dxa"/>
            <w:hideMark/>
          </w:tcPr>
          <w:p w14:paraId="7E1F2964" w14:textId="77777777" w:rsidR="002C707D" w:rsidRPr="009A7163" w:rsidRDefault="002C707D" w:rsidP="00293176">
            <w:pPr>
              <w:rPr>
                <w:b/>
                <w:bCs/>
                <w:iCs/>
              </w:rPr>
            </w:pPr>
            <w:r w:rsidRPr="009A7163">
              <w:rPr>
                <w:b/>
                <w:bCs/>
                <w:iCs/>
              </w:rPr>
              <w:t>Harvest (Dec.16-Jan.17)</w:t>
            </w:r>
          </w:p>
        </w:tc>
      </w:tr>
      <w:tr w:rsidR="002C707D" w:rsidRPr="009A7163" w14:paraId="57714880" w14:textId="77777777" w:rsidTr="00CB5642">
        <w:trPr>
          <w:trHeight w:val="260"/>
        </w:trPr>
        <w:tc>
          <w:tcPr>
            <w:tcW w:w="2425" w:type="dxa"/>
            <w:noWrap/>
            <w:hideMark/>
          </w:tcPr>
          <w:p w14:paraId="39FFD51F" w14:textId="77777777" w:rsidR="002C707D" w:rsidRPr="009A7163" w:rsidRDefault="002C707D" w:rsidP="00293176">
            <w:pPr>
              <w:rPr>
                <w:b/>
                <w:bCs/>
              </w:rPr>
            </w:pPr>
            <w:r w:rsidRPr="009A7163">
              <w:rPr>
                <w:b/>
                <w:bCs/>
              </w:rPr>
              <w:t>Age</w:t>
            </w:r>
          </w:p>
        </w:tc>
        <w:tc>
          <w:tcPr>
            <w:tcW w:w="1286" w:type="dxa"/>
            <w:noWrap/>
            <w:hideMark/>
          </w:tcPr>
          <w:p w14:paraId="269FE6EC" w14:textId="77777777" w:rsidR="002C707D" w:rsidRPr="009A7163" w:rsidRDefault="002C707D" w:rsidP="00293176">
            <w:pPr>
              <w:rPr>
                <w:b/>
                <w:bCs/>
              </w:rPr>
            </w:pPr>
          </w:p>
        </w:tc>
        <w:tc>
          <w:tcPr>
            <w:tcW w:w="1286" w:type="dxa"/>
            <w:noWrap/>
            <w:hideMark/>
          </w:tcPr>
          <w:p w14:paraId="5F6AAB59" w14:textId="77777777" w:rsidR="002C707D" w:rsidRPr="009A7163" w:rsidRDefault="002C707D" w:rsidP="00293176"/>
        </w:tc>
        <w:tc>
          <w:tcPr>
            <w:tcW w:w="1286" w:type="dxa"/>
            <w:noWrap/>
            <w:hideMark/>
          </w:tcPr>
          <w:p w14:paraId="1A3C5757" w14:textId="77777777" w:rsidR="002C707D" w:rsidRPr="009A7163" w:rsidRDefault="002C707D" w:rsidP="00293176"/>
        </w:tc>
        <w:tc>
          <w:tcPr>
            <w:tcW w:w="1286" w:type="dxa"/>
            <w:noWrap/>
            <w:hideMark/>
          </w:tcPr>
          <w:p w14:paraId="17EF6E90" w14:textId="77777777" w:rsidR="002C707D" w:rsidRPr="009A7163" w:rsidRDefault="002C707D" w:rsidP="00293176"/>
        </w:tc>
      </w:tr>
      <w:tr w:rsidR="002C707D" w:rsidRPr="009A7163" w14:paraId="0A9F8710" w14:textId="77777777" w:rsidTr="00CB5642">
        <w:trPr>
          <w:trHeight w:val="260"/>
        </w:trPr>
        <w:tc>
          <w:tcPr>
            <w:tcW w:w="2425" w:type="dxa"/>
            <w:noWrap/>
            <w:hideMark/>
          </w:tcPr>
          <w:p w14:paraId="2FF74D90" w14:textId="77777777" w:rsidR="002C707D" w:rsidRPr="009A7163" w:rsidRDefault="002C707D" w:rsidP="00293176">
            <w:r w:rsidRPr="009A7163">
              <w:t>18-24 years old</w:t>
            </w:r>
          </w:p>
        </w:tc>
        <w:tc>
          <w:tcPr>
            <w:tcW w:w="1286" w:type="dxa"/>
            <w:noWrap/>
            <w:hideMark/>
          </w:tcPr>
          <w:p w14:paraId="3D6758D7" w14:textId="77777777" w:rsidR="002C707D" w:rsidRPr="009A7163" w:rsidRDefault="002C707D" w:rsidP="00293176">
            <w:r w:rsidRPr="009A7163">
              <w:t>2</w:t>
            </w:r>
          </w:p>
        </w:tc>
        <w:tc>
          <w:tcPr>
            <w:tcW w:w="1286" w:type="dxa"/>
            <w:noWrap/>
            <w:hideMark/>
          </w:tcPr>
          <w:p w14:paraId="40C80D8B" w14:textId="77777777" w:rsidR="002C707D" w:rsidRPr="009A7163" w:rsidRDefault="002C707D" w:rsidP="00293176">
            <w:r w:rsidRPr="009A7163">
              <w:t>1</w:t>
            </w:r>
          </w:p>
        </w:tc>
        <w:tc>
          <w:tcPr>
            <w:tcW w:w="1286" w:type="dxa"/>
            <w:noWrap/>
            <w:hideMark/>
          </w:tcPr>
          <w:p w14:paraId="55BC5461" w14:textId="77777777" w:rsidR="002C707D" w:rsidRPr="009A7163" w:rsidRDefault="002C707D" w:rsidP="00293176">
            <w:r w:rsidRPr="009A7163">
              <w:t>1</w:t>
            </w:r>
          </w:p>
        </w:tc>
        <w:tc>
          <w:tcPr>
            <w:tcW w:w="1286" w:type="dxa"/>
            <w:noWrap/>
            <w:hideMark/>
          </w:tcPr>
          <w:p w14:paraId="34FDE0A2" w14:textId="77777777" w:rsidR="002C707D" w:rsidRPr="009A7163" w:rsidRDefault="002C707D" w:rsidP="00293176">
            <w:r w:rsidRPr="009A7163">
              <w:t>2</w:t>
            </w:r>
          </w:p>
        </w:tc>
      </w:tr>
      <w:tr w:rsidR="002C707D" w:rsidRPr="009A7163" w14:paraId="13CF36AA" w14:textId="77777777" w:rsidTr="00CB5642">
        <w:trPr>
          <w:trHeight w:val="260"/>
        </w:trPr>
        <w:tc>
          <w:tcPr>
            <w:tcW w:w="2425" w:type="dxa"/>
            <w:noWrap/>
            <w:hideMark/>
          </w:tcPr>
          <w:p w14:paraId="250D2CFB" w14:textId="77777777" w:rsidR="002C707D" w:rsidRPr="009A7163" w:rsidRDefault="002C707D" w:rsidP="00293176">
            <w:r w:rsidRPr="009A7163">
              <w:t>25-34 years old</w:t>
            </w:r>
          </w:p>
        </w:tc>
        <w:tc>
          <w:tcPr>
            <w:tcW w:w="1286" w:type="dxa"/>
            <w:noWrap/>
            <w:hideMark/>
          </w:tcPr>
          <w:p w14:paraId="05836D8F" w14:textId="77777777" w:rsidR="002C707D" w:rsidRPr="009A7163" w:rsidRDefault="002C707D" w:rsidP="00293176">
            <w:r w:rsidRPr="009A7163">
              <w:t>2</w:t>
            </w:r>
          </w:p>
        </w:tc>
        <w:tc>
          <w:tcPr>
            <w:tcW w:w="1286" w:type="dxa"/>
            <w:noWrap/>
            <w:hideMark/>
          </w:tcPr>
          <w:p w14:paraId="1E0EA84B" w14:textId="77777777" w:rsidR="002C707D" w:rsidRPr="009A7163" w:rsidRDefault="002C707D" w:rsidP="00293176">
            <w:r w:rsidRPr="009A7163">
              <w:t>2</w:t>
            </w:r>
          </w:p>
        </w:tc>
        <w:tc>
          <w:tcPr>
            <w:tcW w:w="1286" w:type="dxa"/>
            <w:noWrap/>
            <w:hideMark/>
          </w:tcPr>
          <w:p w14:paraId="335B1891" w14:textId="77777777" w:rsidR="002C707D" w:rsidRPr="009A7163" w:rsidRDefault="002C707D" w:rsidP="00293176">
            <w:r w:rsidRPr="009A7163">
              <w:t>1</w:t>
            </w:r>
          </w:p>
        </w:tc>
        <w:tc>
          <w:tcPr>
            <w:tcW w:w="1286" w:type="dxa"/>
            <w:noWrap/>
            <w:hideMark/>
          </w:tcPr>
          <w:p w14:paraId="48CA4BEA" w14:textId="77777777" w:rsidR="002C707D" w:rsidRPr="009A7163" w:rsidRDefault="002C707D" w:rsidP="00293176">
            <w:r w:rsidRPr="009A7163">
              <w:t>0</w:t>
            </w:r>
          </w:p>
        </w:tc>
      </w:tr>
      <w:tr w:rsidR="002C707D" w:rsidRPr="009A7163" w14:paraId="3BF1129C" w14:textId="77777777" w:rsidTr="00CB5642">
        <w:trPr>
          <w:trHeight w:val="260"/>
        </w:trPr>
        <w:tc>
          <w:tcPr>
            <w:tcW w:w="2425" w:type="dxa"/>
            <w:noWrap/>
            <w:hideMark/>
          </w:tcPr>
          <w:p w14:paraId="0F70C564" w14:textId="77777777" w:rsidR="002C707D" w:rsidRPr="009A7163" w:rsidRDefault="002C707D" w:rsidP="00293176">
            <w:r w:rsidRPr="009A7163">
              <w:t>35-44 years old</w:t>
            </w:r>
          </w:p>
        </w:tc>
        <w:tc>
          <w:tcPr>
            <w:tcW w:w="1286" w:type="dxa"/>
            <w:noWrap/>
            <w:hideMark/>
          </w:tcPr>
          <w:p w14:paraId="7451588E" w14:textId="77777777" w:rsidR="002C707D" w:rsidRPr="009A7163" w:rsidRDefault="002C707D" w:rsidP="00293176">
            <w:r w:rsidRPr="009A7163">
              <w:t>5</w:t>
            </w:r>
          </w:p>
        </w:tc>
        <w:tc>
          <w:tcPr>
            <w:tcW w:w="1286" w:type="dxa"/>
            <w:noWrap/>
            <w:hideMark/>
          </w:tcPr>
          <w:p w14:paraId="6FBF2782" w14:textId="77777777" w:rsidR="002C707D" w:rsidRPr="009A7163" w:rsidRDefault="002C707D" w:rsidP="00293176">
            <w:r w:rsidRPr="009A7163">
              <w:t>5</w:t>
            </w:r>
          </w:p>
        </w:tc>
        <w:tc>
          <w:tcPr>
            <w:tcW w:w="1286" w:type="dxa"/>
            <w:noWrap/>
            <w:hideMark/>
          </w:tcPr>
          <w:p w14:paraId="135BA409" w14:textId="77777777" w:rsidR="002C707D" w:rsidRPr="009A7163" w:rsidRDefault="002C707D" w:rsidP="00293176">
            <w:r w:rsidRPr="009A7163">
              <w:t>5</w:t>
            </w:r>
          </w:p>
        </w:tc>
        <w:tc>
          <w:tcPr>
            <w:tcW w:w="1286" w:type="dxa"/>
            <w:noWrap/>
            <w:hideMark/>
          </w:tcPr>
          <w:p w14:paraId="3DB09FD9" w14:textId="77777777" w:rsidR="002C707D" w:rsidRPr="009A7163" w:rsidRDefault="002C707D" w:rsidP="00293176">
            <w:r w:rsidRPr="009A7163">
              <w:t>4</w:t>
            </w:r>
          </w:p>
        </w:tc>
      </w:tr>
      <w:tr w:rsidR="002C707D" w:rsidRPr="009A7163" w14:paraId="5CCC32FF" w14:textId="77777777" w:rsidTr="00CB5642">
        <w:trPr>
          <w:trHeight w:val="260"/>
        </w:trPr>
        <w:tc>
          <w:tcPr>
            <w:tcW w:w="2425" w:type="dxa"/>
            <w:noWrap/>
            <w:hideMark/>
          </w:tcPr>
          <w:p w14:paraId="2A63CF27" w14:textId="77777777" w:rsidR="002C707D" w:rsidRPr="009A7163" w:rsidRDefault="002C707D" w:rsidP="00293176">
            <w:r w:rsidRPr="009A7163">
              <w:t>45-54 years old</w:t>
            </w:r>
          </w:p>
        </w:tc>
        <w:tc>
          <w:tcPr>
            <w:tcW w:w="1286" w:type="dxa"/>
            <w:noWrap/>
            <w:hideMark/>
          </w:tcPr>
          <w:p w14:paraId="520ED4E6" w14:textId="77777777" w:rsidR="002C707D" w:rsidRPr="009A7163" w:rsidRDefault="002C707D" w:rsidP="00293176">
            <w:r w:rsidRPr="009A7163">
              <w:t>7</w:t>
            </w:r>
          </w:p>
        </w:tc>
        <w:tc>
          <w:tcPr>
            <w:tcW w:w="1286" w:type="dxa"/>
            <w:noWrap/>
            <w:hideMark/>
          </w:tcPr>
          <w:p w14:paraId="1E0A4B35" w14:textId="77777777" w:rsidR="002C707D" w:rsidRPr="009A7163" w:rsidRDefault="002C707D" w:rsidP="00293176">
            <w:r w:rsidRPr="009A7163">
              <w:t>3</w:t>
            </w:r>
          </w:p>
        </w:tc>
        <w:tc>
          <w:tcPr>
            <w:tcW w:w="1286" w:type="dxa"/>
            <w:noWrap/>
            <w:hideMark/>
          </w:tcPr>
          <w:p w14:paraId="0BF3E6F4" w14:textId="77777777" w:rsidR="002C707D" w:rsidRPr="009A7163" w:rsidRDefault="002C707D" w:rsidP="00293176">
            <w:r w:rsidRPr="009A7163">
              <w:t>7</w:t>
            </w:r>
          </w:p>
        </w:tc>
        <w:tc>
          <w:tcPr>
            <w:tcW w:w="1286" w:type="dxa"/>
            <w:noWrap/>
            <w:hideMark/>
          </w:tcPr>
          <w:p w14:paraId="26EFE90C" w14:textId="77777777" w:rsidR="002C707D" w:rsidRPr="009A7163" w:rsidRDefault="002C707D" w:rsidP="00293176">
            <w:r w:rsidRPr="009A7163">
              <w:t>5</w:t>
            </w:r>
          </w:p>
        </w:tc>
      </w:tr>
      <w:tr w:rsidR="002C707D" w:rsidRPr="009A7163" w14:paraId="1179A81A" w14:textId="77777777" w:rsidTr="00CB5642">
        <w:trPr>
          <w:trHeight w:val="260"/>
        </w:trPr>
        <w:tc>
          <w:tcPr>
            <w:tcW w:w="2425" w:type="dxa"/>
            <w:noWrap/>
            <w:hideMark/>
          </w:tcPr>
          <w:p w14:paraId="20CD3EF9" w14:textId="77777777" w:rsidR="002C707D" w:rsidRPr="009A7163" w:rsidRDefault="002C707D" w:rsidP="00293176">
            <w:r w:rsidRPr="009A7163">
              <w:t>55 years old and older</w:t>
            </w:r>
          </w:p>
        </w:tc>
        <w:tc>
          <w:tcPr>
            <w:tcW w:w="1286" w:type="dxa"/>
            <w:noWrap/>
            <w:hideMark/>
          </w:tcPr>
          <w:p w14:paraId="7CF5A43B" w14:textId="77777777" w:rsidR="002C707D" w:rsidRPr="009A7163" w:rsidRDefault="002C707D" w:rsidP="00293176">
            <w:r w:rsidRPr="009A7163">
              <w:t>5</w:t>
            </w:r>
          </w:p>
        </w:tc>
        <w:tc>
          <w:tcPr>
            <w:tcW w:w="1286" w:type="dxa"/>
            <w:noWrap/>
            <w:hideMark/>
          </w:tcPr>
          <w:p w14:paraId="76AA5A1A" w14:textId="77777777" w:rsidR="002C707D" w:rsidRPr="009A7163" w:rsidRDefault="002C707D" w:rsidP="00293176">
            <w:r w:rsidRPr="009A7163">
              <w:t>5</w:t>
            </w:r>
          </w:p>
        </w:tc>
        <w:tc>
          <w:tcPr>
            <w:tcW w:w="1286" w:type="dxa"/>
            <w:noWrap/>
            <w:hideMark/>
          </w:tcPr>
          <w:p w14:paraId="004F7C3A" w14:textId="77777777" w:rsidR="002C707D" w:rsidRPr="009A7163" w:rsidRDefault="002C707D" w:rsidP="00293176">
            <w:r w:rsidRPr="009A7163">
              <w:t>7</w:t>
            </w:r>
          </w:p>
        </w:tc>
        <w:tc>
          <w:tcPr>
            <w:tcW w:w="1286" w:type="dxa"/>
            <w:noWrap/>
            <w:hideMark/>
          </w:tcPr>
          <w:p w14:paraId="045D7C64" w14:textId="77777777" w:rsidR="002C707D" w:rsidRPr="009A7163" w:rsidRDefault="002C707D" w:rsidP="00293176">
            <w:r w:rsidRPr="009A7163">
              <w:t>3</w:t>
            </w:r>
          </w:p>
        </w:tc>
      </w:tr>
      <w:tr w:rsidR="002C707D" w:rsidRPr="009A7163" w14:paraId="3707F235" w14:textId="77777777" w:rsidTr="00CB5642">
        <w:trPr>
          <w:trHeight w:val="260"/>
        </w:trPr>
        <w:tc>
          <w:tcPr>
            <w:tcW w:w="2425" w:type="dxa"/>
            <w:noWrap/>
            <w:hideMark/>
          </w:tcPr>
          <w:p w14:paraId="0332AFE6" w14:textId="6E32E48F" w:rsidR="002C707D" w:rsidRPr="009A7163" w:rsidRDefault="002C707D" w:rsidP="00293176">
            <w:r w:rsidRPr="009A7163">
              <w:t>n</w:t>
            </w:r>
            <w:r w:rsidR="00FA1756" w:rsidRPr="009A7163">
              <w:t>.</w:t>
            </w:r>
            <w:r w:rsidRPr="009A7163">
              <w:t>r</w:t>
            </w:r>
            <w:r w:rsidR="00FA1756" w:rsidRPr="009A7163">
              <w:t>.</w:t>
            </w:r>
          </w:p>
        </w:tc>
        <w:tc>
          <w:tcPr>
            <w:tcW w:w="1286" w:type="dxa"/>
            <w:noWrap/>
            <w:hideMark/>
          </w:tcPr>
          <w:p w14:paraId="4A92AB8F" w14:textId="77777777" w:rsidR="002C707D" w:rsidRPr="009A7163" w:rsidRDefault="002C707D" w:rsidP="00293176"/>
        </w:tc>
        <w:tc>
          <w:tcPr>
            <w:tcW w:w="1286" w:type="dxa"/>
            <w:noWrap/>
            <w:hideMark/>
          </w:tcPr>
          <w:p w14:paraId="77CC7A75" w14:textId="77777777" w:rsidR="002C707D" w:rsidRPr="009A7163" w:rsidRDefault="002C707D" w:rsidP="00293176"/>
        </w:tc>
        <w:tc>
          <w:tcPr>
            <w:tcW w:w="1286" w:type="dxa"/>
            <w:noWrap/>
            <w:hideMark/>
          </w:tcPr>
          <w:p w14:paraId="7A82CA12" w14:textId="77777777" w:rsidR="002C707D" w:rsidRPr="009A7163" w:rsidRDefault="002C707D" w:rsidP="00293176">
            <w:r w:rsidRPr="009A7163">
              <w:t>1</w:t>
            </w:r>
          </w:p>
        </w:tc>
        <w:tc>
          <w:tcPr>
            <w:tcW w:w="1286" w:type="dxa"/>
            <w:noWrap/>
            <w:hideMark/>
          </w:tcPr>
          <w:p w14:paraId="068F0037" w14:textId="77777777" w:rsidR="002C707D" w:rsidRPr="009A7163" w:rsidRDefault="002C707D" w:rsidP="00293176"/>
        </w:tc>
      </w:tr>
      <w:tr w:rsidR="002C707D" w:rsidRPr="009A7163" w14:paraId="7C612E36" w14:textId="77777777" w:rsidTr="00CB5642">
        <w:trPr>
          <w:trHeight w:val="260"/>
        </w:trPr>
        <w:tc>
          <w:tcPr>
            <w:tcW w:w="2425" w:type="dxa"/>
            <w:noWrap/>
            <w:hideMark/>
          </w:tcPr>
          <w:p w14:paraId="46E3A5E2" w14:textId="77777777" w:rsidR="002C707D" w:rsidRPr="009A7163" w:rsidRDefault="002C707D" w:rsidP="00293176">
            <w:pPr>
              <w:rPr>
                <w:b/>
                <w:bCs/>
              </w:rPr>
            </w:pPr>
            <w:r w:rsidRPr="009A7163">
              <w:rPr>
                <w:b/>
                <w:bCs/>
              </w:rPr>
              <w:t>Marital status</w:t>
            </w:r>
          </w:p>
        </w:tc>
        <w:tc>
          <w:tcPr>
            <w:tcW w:w="1286" w:type="dxa"/>
            <w:noWrap/>
            <w:hideMark/>
          </w:tcPr>
          <w:p w14:paraId="265FA5A5" w14:textId="77777777" w:rsidR="002C707D" w:rsidRPr="009A7163" w:rsidRDefault="002C707D" w:rsidP="00293176">
            <w:pPr>
              <w:rPr>
                <w:b/>
                <w:bCs/>
              </w:rPr>
            </w:pPr>
          </w:p>
        </w:tc>
        <w:tc>
          <w:tcPr>
            <w:tcW w:w="1286" w:type="dxa"/>
            <w:noWrap/>
            <w:hideMark/>
          </w:tcPr>
          <w:p w14:paraId="3E627CEA" w14:textId="77777777" w:rsidR="002C707D" w:rsidRPr="009A7163" w:rsidRDefault="002C707D" w:rsidP="00293176"/>
        </w:tc>
        <w:tc>
          <w:tcPr>
            <w:tcW w:w="1286" w:type="dxa"/>
            <w:noWrap/>
            <w:hideMark/>
          </w:tcPr>
          <w:p w14:paraId="635EEBE8" w14:textId="77777777" w:rsidR="002C707D" w:rsidRPr="009A7163" w:rsidRDefault="002C707D" w:rsidP="00293176"/>
        </w:tc>
        <w:tc>
          <w:tcPr>
            <w:tcW w:w="1286" w:type="dxa"/>
            <w:noWrap/>
            <w:hideMark/>
          </w:tcPr>
          <w:p w14:paraId="4B8D0763" w14:textId="77777777" w:rsidR="002C707D" w:rsidRPr="009A7163" w:rsidRDefault="002C707D" w:rsidP="00293176"/>
        </w:tc>
      </w:tr>
      <w:tr w:rsidR="002C707D" w:rsidRPr="009A7163" w14:paraId="4DC2BB27" w14:textId="77777777" w:rsidTr="00CB5642">
        <w:trPr>
          <w:trHeight w:val="260"/>
        </w:trPr>
        <w:tc>
          <w:tcPr>
            <w:tcW w:w="2425" w:type="dxa"/>
            <w:noWrap/>
            <w:hideMark/>
          </w:tcPr>
          <w:p w14:paraId="3736D83C" w14:textId="77777777" w:rsidR="002C707D" w:rsidRPr="009A7163" w:rsidRDefault="002C707D" w:rsidP="00293176">
            <w:r w:rsidRPr="009A7163">
              <w:t>Single</w:t>
            </w:r>
          </w:p>
        </w:tc>
        <w:tc>
          <w:tcPr>
            <w:tcW w:w="1286" w:type="dxa"/>
            <w:noWrap/>
            <w:hideMark/>
          </w:tcPr>
          <w:p w14:paraId="4E125122" w14:textId="77777777" w:rsidR="002C707D" w:rsidRPr="009A7163" w:rsidRDefault="002C707D" w:rsidP="00293176">
            <w:r w:rsidRPr="009A7163">
              <w:t>2</w:t>
            </w:r>
          </w:p>
        </w:tc>
        <w:tc>
          <w:tcPr>
            <w:tcW w:w="1286" w:type="dxa"/>
            <w:noWrap/>
            <w:hideMark/>
          </w:tcPr>
          <w:p w14:paraId="2FBF6F4D" w14:textId="77777777" w:rsidR="002C707D" w:rsidRPr="009A7163" w:rsidRDefault="002C707D" w:rsidP="00293176">
            <w:r w:rsidRPr="009A7163">
              <w:t>3</w:t>
            </w:r>
          </w:p>
        </w:tc>
        <w:tc>
          <w:tcPr>
            <w:tcW w:w="1286" w:type="dxa"/>
            <w:noWrap/>
            <w:hideMark/>
          </w:tcPr>
          <w:p w14:paraId="5E1DB0AB" w14:textId="77777777" w:rsidR="002C707D" w:rsidRPr="009A7163" w:rsidRDefault="002C707D" w:rsidP="00293176">
            <w:r w:rsidRPr="009A7163">
              <w:t>4</w:t>
            </w:r>
          </w:p>
        </w:tc>
        <w:tc>
          <w:tcPr>
            <w:tcW w:w="1286" w:type="dxa"/>
            <w:noWrap/>
            <w:hideMark/>
          </w:tcPr>
          <w:p w14:paraId="340F65D7" w14:textId="77777777" w:rsidR="002C707D" w:rsidRPr="009A7163" w:rsidRDefault="002C707D" w:rsidP="00293176">
            <w:r w:rsidRPr="009A7163">
              <w:t>2</w:t>
            </w:r>
          </w:p>
        </w:tc>
      </w:tr>
      <w:tr w:rsidR="002C707D" w:rsidRPr="009A7163" w14:paraId="2188A1D1" w14:textId="77777777" w:rsidTr="00CB5642">
        <w:trPr>
          <w:trHeight w:val="260"/>
        </w:trPr>
        <w:tc>
          <w:tcPr>
            <w:tcW w:w="2425" w:type="dxa"/>
            <w:noWrap/>
            <w:hideMark/>
          </w:tcPr>
          <w:p w14:paraId="42929D09" w14:textId="77777777" w:rsidR="002C707D" w:rsidRPr="009A7163" w:rsidRDefault="002C707D" w:rsidP="00293176">
            <w:r w:rsidRPr="009A7163">
              <w:t>Stable non-marital relationship</w:t>
            </w:r>
          </w:p>
        </w:tc>
        <w:tc>
          <w:tcPr>
            <w:tcW w:w="1286" w:type="dxa"/>
            <w:noWrap/>
            <w:hideMark/>
          </w:tcPr>
          <w:p w14:paraId="0D9F4242" w14:textId="77777777" w:rsidR="002C707D" w:rsidRPr="009A7163" w:rsidRDefault="002C707D" w:rsidP="00293176">
            <w:r w:rsidRPr="009A7163">
              <w:t>5</w:t>
            </w:r>
          </w:p>
        </w:tc>
        <w:tc>
          <w:tcPr>
            <w:tcW w:w="1286" w:type="dxa"/>
            <w:noWrap/>
            <w:hideMark/>
          </w:tcPr>
          <w:p w14:paraId="31BD853D" w14:textId="77777777" w:rsidR="002C707D" w:rsidRPr="009A7163" w:rsidRDefault="002C707D" w:rsidP="00293176">
            <w:r w:rsidRPr="009A7163">
              <w:t>3</w:t>
            </w:r>
          </w:p>
        </w:tc>
        <w:tc>
          <w:tcPr>
            <w:tcW w:w="1286" w:type="dxa"/>
            <w:noWrap/>
            <w:hideMark/>
          </w:tcPr>
          <w:p w14:paraId="4EAD55E4" w14:textId="77777777" w:rsidR="002C707D" w:rsidRPr="009A7163" w:rsidRDefault="002C707D" w:rsidP="00293176">
            <w:r w:rsidRPr="009A7163">
              <w:t>5</w:t>
            </w:r>
          </w:p>
        </w:tc>
        <w:tc>
          <w:tcPr>
            <w:tcW w:w="1286" w:type="dxa"/>
            <w:noWrap/>
            <w:hideMark/>
          </w:tcPr>
          <w:p w14:paraId="6AC4F8C6" w14:textId="77777777" w:rsidR="002C707D" w:rsidRPr="009A7163" w:rsidRDefault="002C707D" w:rsidP="00293176">
            <w:r w:rsidRPr="009A7163">
              <w:t>2</w:t>
            </w:r>
          </w:p>
        </w:tc>
      </w:tr>
      <w:tr w:rsidR="002C707D" w:rsidRPr="009A7163" w14:paraId="247A4BCF" w14:textId="77777777" w:rsidTr="00CB5642">
        <w:trPr>
          <w:trHeight w:val="260"/>
        </w:trPr>
        <w:tc>
          <w:tcPr>
            <w:tcW w:w="2425" w:type="dxa"/>
            <w:noWrap/>
            <w:hideMark/>
          </w:tcPr>
          <w:p w14:paraId="11B49955" w14:textId="77777777" w:rsidR="002C707D" w:rsidRPr="009A7163" w:rsidRDefault="002C707D" w:rsidP="00293176">
            <w:r w:rsidRPr="009A7163">
              <w:t>Married</w:t>
            </w:r>
          </w:p>
        </w:tc>
        <w:tc>
          <w:tcPr>
            <w:tcW w:w="1286" w:type="dxa"/>
            <w:noWrap/>
            <w:hideMark/>
          </w:tcPr>
          <w:p w14:paraId="586B1384" w14:textId="77777777" w:rsidR="002C707D" w:rsidRPr="009A7163" w:rsidRDefault="002C707D" w:rsidP="00293176">
            <w:r w:rsidRPr="009A7163">
              <w:t>14</w:t>
            </w:r>
          </w:p>
        </w:tc>
        <w:tc>
          <w:tcPr>
            <w:tcW w:w="1286" w:type="dxa"/>
            <w:noWrap/>
            <w:hideMark/>
          </w:tcPr>
          <w:p w14:paraId="1ED88D4A" w14:textId="77777777" w:rsidR="002C707D" w:rsidRPr="009A7163" w:rsidRDefault="002C707D" w:rsidP="00293176">
            <w:r w:rsidRPr="009A7163">
              <w:t>10</w:t>
            </w:r>
          </w:p>
        </w:tc>
        <w:tc>
          <w:tcPr>
            <w:tcW w:w="1286" w:type="dxa"/>
            <w:noWrap/>
            <w:hideMark/>
          </w:tcPr>
          <w:p w14:paraId="74B11DA8" w14:textId="77777777" w:rsidR="002C707D" w:rsidRPr="009A7163" w:rsidRDefault="002C707D" w:rsidP="00293176">
            <w:r w:rsidRPr="009A7163">
              <w:t>11</w:t>
            </w:r>
          </w:p>
        </w:tc>
        <w:tc>
          <w:tcPr>
            <w:tcW w:w="1286" w:type="dxa"/>
            <w:noWrap/>
            <w:hideMark/>
          </w:tcPr>
          <w:p w14:paraId="49CBA4B3" w14:textId="77777777" w:rsidR="002C707D" w:rsidRPr="009A7163" w:rsidRDefault="002C707D" w:rsidP="00293176">
            <w:r w:rsidRPr="009A7163">
              <w:t>10</w:t>
            </w:r>
          </w:p>
        </w:tc>
      </w:tr>
      <w:tr w:rsidR="002C707D" w:rsidRPr="009A7163" w14:paraId="1C1450E9" w14:textId="77777777" w:rsidTr="00CB5642">
        <w:trPr>
          <w:trHeight w:val="260"/>
        </w:trPr>
        <w:tc>
          <w:tcPr>
            <w:tcW w:w="2425" w:type="dxa"/>
            <w:noWrap/>
            <w:hideMark/>
          </w:tcPr>
          <w:p w14:paraId="02BB0371" w14:textId="77777777" w:rsidR="002C707D" w:rsidRPr="009A7163" w:rsidRDefault="002C707D" w:rsidP="00293176">
            <w:r w:rsidRPr="009A7163">
              <w:t>n.r.</w:t>
            </w:r>
          </w:p>
        </w:tc>
        <w:tc>
          <w:tcPr>
            <w:tcW w:w="1286" w:type="dxa"/>
            <w:noWrap/>
            <w:hideMark/>
          </w:tcPr>
          <w:p w14:paraId="5B7FC537" w14:textId="77777777" w:rsidR="002C707D" w:rsidRPr="009A7163" w:rsidRDefault="002C707D" w:rsidP="00293176">
            <w:r w:rsidRPr="009A7163">
              <w:t>0</w:t>
            </w:r>
          </w:p>
        </w:tc>
        <w:tc>
          <w:tcPr>
            <w:tcW w:w="1286" w:type="dxa"/>
            <w:noWrap/>
            <w:hideMark/>
          </w:tcPr>
          <w:p w14:paraId="4FBDAD8B" w14:textId="77777777" w:rsidR="002C707D" w:rsidRPr="009A7163" w:rsidRDefault="002C707D" w:rsidP="00293176">
            <w:r w:rsidRPr="009A7163">
              <w:t>0</w:t>
            </w:r>
          </w:p>
        </w:tc>
        <w:tc>
          <w:tcPr>
            <w:tcW w:w="1286" w:type="dxa"/>
            <w:noWrap/>
            <w:hideMark/>
          </w:tcPr>
          <w:p w14:paraId="3AB780D1" w14:textId="77777777" w:rsidR="002C707D" w:rsidRPr="009A7163" w:rsidRDefault="002C707D" w:rsidP="00293176">
            <w:r w:rsidRPr="009A7163">
              <w:t>3</w:t>
            </w:r>
          </w:p>
        </w:tc>
        <w:tc>
          <w:tcPr>
            <w:tcW w:w="1286" w:type="dxa"/>
            <w:noWrap/>
            <w:hideMark/>
          </w:tcPr>
          <w:p w14:paraId="2CD5AB2B" w14:textId="77777777" w:rsidR="002C707D" w:rsidRPr="009A7163" w:rsidRDefault="002C707D" w:rsidP="00293176">
            <w:r w:rsidRPr="009A7163">
              <w:t>0</w:t>
            </w:r>
          </w:p>
        </w:tc>
      </w:tr>
      <w:tr w:rsidR="002C707D" w:rsidRPr="009A7163" w14:paraId="64FB5919" w14:textId="77777777" w:rsidTr="00CB5642">
        <w:trPr>
          <w:trHeight w:val="260"/>
        </w:trPr>
        <w:tc>
          <w:tcPr>
            <w:tcW w:w="2425" w:type="dxa"/>
            <w:noWrap/>
            <w:hideMark/>
          </w:tcPr>
          <w:p w14:paraId="5270CEA3" w14:textId="77777777" w:rsidR="002C707D" w:rsidRPr="009A7163" w:rsidRDefault="002C707D" w:rsidP="00293176">
            <w:pPr>
              <w:rPr>
                <w:b/>
                <w:bCs/>
              </w:rPr>
            </w:pPr>
            <w:r w:rsidRPr="009A7163">
              <w:rPr>
                <w:b/>
                <w:bCs/>
              </w:rPr>
              <w:t>Cooperative Membership</w:t>
            </w:r>
          </w:p>
        </w:tc>
        <w:tc>
          <w:tcPr>
            <w:tcW w:w="1286" w:type="dxa"/>
            <w:noWrap/>
            <w:hideMark/>
          </w:tcPr>
          <w:p w14:paraId="4CB434CE" w14:textId="77777777" w:rsidR="002C707D" w:rsidRPr="009A7163" w:rsidRDefault="002C707D" w:rsidP="00293176">
            <w:pPr>
              <w:rPr>
                <w:b/>
                <w:bCs/>
              </w:rPr>
            </w:pPr>
          </w:p>
        </w:tc>
        <w:tc>
          <w:tcPr>
            <w:tcW w:w="1286" w:type="dxa"/>
            <w:noWrap/>
            <w:hideMark/>
          </w:tcPr>
          <w:p w14:paraId="385AAAC3" w14:textId="77777777" w:rsidR="002C707D" w:rsidRPr="009A7163" w:rsidRDefault="002C707D" w:rsidP="00293176"/>
        </w:tc>
        <w:tc>
          <w:tcPr>
            <w:tcW w:w="1286" w:type="dxa"/>
            <w:noWrap/>
            <w:hideMark/>
          </w:tcPr>
          <w:p w14:paraId="0955D236" w14:textId="77777777" w:rsidR="002C707D" w:rsidRPr="009A7163" w:rsidRDefault="002C707D" w:rsidP="00293176"/>
        </w:tc>
        <w:tc>
          <w:tcPr>
            <w:tcW w:w="1286" w:type="dxa"/>
            <w:noWrap/>
            <w:hideMark/>
          </w:tcPr>
          <w:p w14:paraId="3C6E0D27" w14:textId="77777777" w:rsidR="002C707D" w:rsidRPr="009A7163" w:rsidRDefault="002C707D" w:rsidP="00293176"/>
        </w:tc>
      </w:tr>
      <w:tr w:rsidR="002C707D" w:rsidRPr="009A7163" w14:paraId="16FCB687" w14:textId="77777777" w:rsidTr="00CB5642">
        <w:trPr>
          <w:trHeight w:val="260"/>
        </w:trPr>
        <w:tc>
          <w:tcPr>
            <w:tcW w:w="2425" w:type="dxa"/>
            <w:noWrap/>
            <w:hideMark/>
          </w:tcPr>
          <w:p w14:paraId="1995FC4F" w14:textId="77777777" w:rsidR="002C707D" w:rsidRPr="009A7163" w:rsidRDefault="002C707D" w:rsidP="00293176">
            <w:r w:rsidRPr="009A7163">
              <w:t xml:space="preserve">Member </w:t>
            </w:r>
          </w:p>
        </w:tc>
        <w:tc>
          <w:tcPr>
            <w:tcW w:w="1286" w:type="dxa"/>
            <w:noWrap/>
            <w:hideMark/>
          </w:tcPr>
          <w:p w14:paraId="29FD2F94" w14:textId="77777777" w:rsidR="002C707D" w:rsidRPr="009A7163" w:rsidRDefault="002C707D" w:rsidP="00293176">
            <w:r w:rsidRPr="009A7163">
              <w:t>8</w:t>
            </w:r>
          </w:p>
        </w:tc>
        <w:tc>
          <w:tcPr>
            <w:tcW w:w="1286" w:type="dxa"/>
            <w:noWrap/>
            <w:hideMark/>
          </w:tcPr>
          <w:p w14:paraId="7117022D" w14:textId="77777777" w:rsidR="002C707D" w:rsidRPr="009A7163" w:rsidRDefault="002C707D" w:rsidP="00293176">
            <w:r w:rsidRPr="009A7163">
              <w:t>3</w:t>
            </w:r>
          </w:p>
        </w:tc>
        <w:tc>
          <w:tcPr>
            <w:tcW w:w="1286" w:type="dxa"/>
            <w:noWrap/>
            <w:hideMark/>
          </w:tcPr>
          <w:p w14:paraId="1ABB6825" w14:textId="77777777" w:rsidR="002C707D" w:rsidRPr="009A7163" w:rsidRDefault="002C707D" w:rsidP="00293176">
            <w:r w:rsidRPr="009A7163">
              <w:t>8</w:t>
            </w:r>
          </w:p>
        </w:tc>
        <w:tc>
          <w:tcPr>
            <w:tcW w:w="1286" w:type="dxa"/>
            <w:noWrap/>
            <w:hideMark/>
          </w:tcPr>
          <w:p w14:paraId="22970738" w14:textId="77777777" w:rsidR="002C707D" w:rsidRPr="009A7163" w:rsidRDefault="002C707D" w:rsidP="00293176">
            <w:r w:rsidRPr="009A7163">
              <w:t>6</w:t>
            </w:r>
          </w:p>
        </w:tc>
      </w:tr>
      <w:tr w:rsidR="002C707D" w:rsidRPr="009A7163" w14:paraId="1034F761" w14:textId="77777777" w:rsidTr="00CB5642">
        <w:trPr>
          <w:trHeight w:val="260"/>
        </w:trPr>
        <w:tc>
          <w:tcPr>
            <w:tcW w:w="2425" w:type="dxa"/>
            <w:noWrap/>
            <w:hideMark/>
          </w:tcPr>
          <w:p w14:paraId="77F321F2" w14:textId="77777777" w:rsidR="002C707D" w:rsidRPr="009A7163" w:rsidRDefault="002C707D" w:rsidP="00293176">
            <w:r w:rsidRPr="009A7163">
              <w:t>Spouse of member</w:t>
            </w:r>
          </w:p>
        </w:tc>
        <w:tc>
          <w:tcPr>
            <w:tcW w:w="1286" w:type="dxa"/>
            <w:noWrap/>
            <w:hideMark/>
          </w:tcPr>
          <w:p w14:paraId="456A3700" w14:textId="77777777" w:rsidR="002C707D" w:rsidRPr="009A7163" w:rsidRDefault="002C707D" w:rsidP="00293176">
            <w:r w:rsidRPr="009A7163">
              <w:t>4</w:t>
            </w:r>
          </w:p>
        </w:tc>
        <w:tc>
          <w:tcPr>
            <w:tcW w:w="1286" w:type="dxa"/>
            <w:noWrap/>
            <w:hideMark/>
          </w:tcPr>
          <w:p w14:paraId="16CCDF08" w14:textId="77777777" w:rsidR="002C707D" w:rsidRPr="009A7163" w:rsidRDefault="002C707D" w:rsidP="00293176">
            <w:r w:rsidRPr="009A7163">
              <w:t>4</w:t>
            </w:r>
          </w:p>
        </w:tc>
        <w:tc>
          <w:tcPr>
            <w:tcW w:w="1286" w:type="dxa"/>
            <w:noWrap/>
            <w:hideMark/>
          </w:tcPr>
          <w:p w14:paraId="4C94FC30" w14:textId="77777777" w:rsidR="002C707D" w:rsidRPr="009A7163" w:rsidRDefault="002C707D" w:rsidP="00293176">
            <w:r w:rsidRPr="009A7163">
              <w:t>3</w:t>
            </w:r>
          </w:p>
        </w:tc>
        <w:tc>
          <w:tcPr>
            <w:tcW w:w="1286" w:type="dxa"/>
            <w:noWrap/>
            <w:hideMark/>
          </w:tcPr>
          <w:p w14:paraId="0A9BA5D1" w14:textId="77777777" w:rsidR="002C707D" w:rsidRPr="009A7163" w:rsidRDefault="002C707D" w:rsidP="00293176">
            <w:r w:rsidRPr="009A7163">
              <w:t>1</w:t>
            </w:r>
          </w:p>
        </w:tc>
      </w:tr>
      <w:tr w:rsidR="002C707D" w:rsidRPr="009A7163" w14:paraId="20C38A50" w14:textId="77777777" w:rsidTr="00CB5642">
        <w:trPr>
          <w:trHeight w:val="260"/>
        </w:trPr>
        <w:tc>
          <w:tcPr>
            <w:tcW w:w="2425" w:type="dxa"/>
            <w:noWrap/>
            <w:hideMark/>
          </w:tcPr>
          <w:p w14:paraId="5B02FD68" w14:textId="77777777" w:rsidR="002C707D" w:rsidRPr="009A7163" w:rsidRDefault="002C707D" w:rsidP="00293176">
            <w:r w:rsidRPr="009A7163">
              <w:t>Not a member</w:t>
            </w:r>
          </w:p>
        </w:tc>
        <w:tc>
          <w:tcPr>
            <w:tcW w:w="1286" w:type="dxa"/>
            <w:noWrap/>
            <w:hideMark/>
          </w:tcPr>
          <w:p w14:paraId="1CC06F53" w14:textId="77777777" w:rsidR="002C707D" w:rsidRPr="009A7163" w:rsidRDefault="002C707D" w:rsidP="00293176">
            <w:r w:rsidRPr="009A7163">
              <w:t>8</w:t>
            </w:r>
          </w:p>
        </w:tc>
        <w:tc>
          <w:tcPr>
            <w:tcW w:w="1286" w:type="dxa"/>
            <w:noWrap/>
            <w:hideMark/>
          </w:tcPr>
          <w:p w14:paraId="1D7B9640" w14:textId="77777777" w:rsidR="002C707D" w:rsidRPr="009A7163" w:rsidRDefault="002C707D" w:rsidP="00293176">
            <w:r w:rsidRPr="009A7163">
              <w:t>6</w:t>
            </w:r>
          </w:p>
        </w:tc>
        <w:tc>
          <w:tcPr>
            <w:tcW w:w="1286" w:type="dxa"/>
            <w:noWrap/>
            <w:hideMark/>
          </w:tcPr>
          <w:p w14:paraId="293FD996" w14:textId="77777777" w:rsidR="002C707D" w:rsidRPr="009A7163" w:rsidRDefault="002C707D" w:rsidP="00293176">
            <w:r w:rsidRPr="009A7163">
              <w:t>10</w:t>
            </w:r>
          </w:p>
        </w:tc>
        <w:tc>
          <w:tcPr>
            <w:tcW w:w="1286" w:type="dxa"/>
            <w:noWrap/>
            <w:hideMark/>
          </w:tcPr>
          <w:p w14:paraId="118B1C26" w14:textId="77777777" w:rsidR="002C707D" w:rsidRPr="009A7163" w:rsidRDefault="002C707D" w:rsidP="00293176">
            <w:r w:rsidRPr="009A7163">
              <w:t>5</w:t>
            </w:r>
          </w:p>
        </w:tc>
      </w:tr>
      <w:tr w:rsidR="002C707D" w:rsidRPr="009A7163" w14:paraId="68D4E9E9" w14:textId="77777777" w:rsidTr="00CB5642">
        <w:trPr>
          <w:trHeight w:val="260"/>
        </w:trPr>
        <w:tc>
          <w:tcPr>
            <w:tcW w:w="2425" w:type="dxa"/>
            <w:noWrap/>
            <w:hideMark/>
          </w:tcPr>
          <w:p w14:paraId="089DF4DC" w14:textId="77777777" w:rsidR="002C707D" w:rsidRPr="009A7163" w:rsidRDefault="002C707D" w:rsidP="00293176">
            <w:r w:rsidRPr="009A7163">
              <w:t>Daughter of a member</w:t>
            </w:r>
          </w:p>
        </w:tc>
        <w:tc>
          <w:tcPr>
            <w:tcW w:w="1286" w:type="dxa"/>
            <w:noWrap/>
            <w:hideMark/>
          </w:tcPr>
          <w:p w14:paraId="2EC74E93" w14:textId="77777777" w:rsidR="002C707D" w:rsidRPr="009A7163" w:rsidRDefault="002C707D" w:rsidP="00293176">
            <w:r w:rsidRPr="009A7163">
              <w:t>1</w:t>
            </w:r>
          </w:p>
        </w:tc>
        <w:tc>
          <w:tcPr>
            <w:tcW w:w="1286" w:type="dxa"/>
            <w:noWrap/>
            <w:hideMark/>
          </w:tcPr>
          <w:p w14:paraId="2F1E2F27" w14:textId="77777777" w:rsidR="002C707D" w:rsidRPr="009A7163" w:rsidRDefault="002C707D" w:rsidP="00293176">
            <w:r w:rsidRPr="009A7163">
              <w:t>2</w:t>
            </w:r>
          </w:p>
        </w:tc>
        <w:tc>
          <w:tcPr>
            <w:tcW w:w="1286" w:type="dxa"/>
            <w:noWrap/>
            <w:hideMark/>
          </w:tcPr>
          <w:p w14:paraId="3403A52A" w14:textId="77777777" w:rsidR="002C707D" w:rsidRPr="009A7163" w:rsidRDefault="002C707D" w:rsidP="00293176">
            <w:r w:rsidRPr="009A7163">
              <w:t>2</w:t>
            </w:r>
          </w:p>
        </w:tc>
        <w:tc>
          <w:tcPr>
            <w:tcW w:w="1286" w:type="dxa"/>
            <w:noWrap/>
            <w:hideMark/>
          </w:tcPr>
          <w:p w14:paraId="0AE4065E" w14:textId="77777777" w:rsidR="002C707D" w:rsidRPr="009A7163" w:rsidRDefault="002C707D" w:rsidP="00293176">
            <w:r w:rsidRPr="009A7163">
              <w:t>2</w:t>
            </w:r>
          </w:p>
        </w:tc>
      </w:tr>
      <w:tr w:rsidR="002C707D" w:rsidRPr="009A7163" w14:paraId="0A62500A" w14:textId="77777777" w:rsidTr="00CB5642">
        <w:trPr>
          <w:trHeight w:val="260"/>
        </w:trPr>
        <w:tc>
          <w:tcPr>
            <w:tcW w:w="2425" w:type="dxa"/>
            <w:noWrap/>
            <w:hideMark/>
          </w:tcPr>
          <w:p w14:paraId="4B1E7E77" w14:textId="77777777" w:rsidR="002C707D" w:rsidRPr="009A7163" w:rsidRDefault="002C707D" w:rsidP="00293176">
            <w:r w:rsidRPr="009A7163">
              <w:t>In process</w:t>
            </w:r>
          </w:p>
        </w:tc>
        <w:tc>
          <w:tcPr>
            <w:tcW w:w="1286" w:type="dxa"/>
            <w:noWrap/>
            <w:hideMark/>
          </w:tcPr>
          <w:p w14:paraId="6BE66781" w14:textId="77777777" w:rsidR="002C707D" w:rsidRPr="009A7163" w:rsidRDefault="002C707D" w:rsidP="00293176"/>
        </w:tc>
        <w:tc>
          <w:tcPr>
            <w:tcW w:w="1286" w:type="dxa"/>
            <w:noWrap/>
            <w:hideMark/>
          </w:tcPr>
          <w:p w14:paraId="011DBCA0" w14:textId="77777777" w:rsidR="002C707D" w:rsidRPr="009A7163" w:rsidRDefault="002C707D" w:rsidP="00293176">
            <w:r w:rsidRPr="009A7163">
              <w:t>1</w:t>
            </w:r>
          </w:p>
        </w:tc>
        <w:tc>
          <w:tcPr>
            <w:tcW w:w="1286" w:type="dxa"/>
            <w:noWrap/>
            <w:hideMark/>
          </w:tcPr>
          <w:p w14:paraId="6CD9E3DE" w14:textId="77777777" w:rsidR="002C707D" w:rsidRPr="009A7163" w:rsidRDefault="002C707D" w:rsidP="00293176"/>
        </w:tc>
        <w:tc>
          <w:tcPr>
            <w:tcW w:w="1286" w:type="dxa"/>
            <w:noWrap/>
            <w:hideMark/>
          </w:tcPr>
          <w:p w14:paraId="7E07C01F" w14:textId="77777777" w:rsidR="002C707D" w:rsidRPr="009A7163" w:rsidRDefault="002C707D" w:rsidP="00293176"/>
        </w:tc>
      </w:tr>
      <w:tr w:rsidR="002C707D" w:rsidRPr="009A7163" w14:paraId="6230A17D" w14:textId="77777777" w:rsidTr="00CB5642">
        <w:trPr>
          <w:trHeight w:val="260"/>
        </w:trPr>
        <w:tc>
          <w:tcPr>
            <w:tcW w:w="2425" w:type="dxa"/>
            <w:noWrap/>
            <w:hideMark/>
          </w:tcPr>
          <w:p w14:paraId="78A53CF6" w14:textId="77777777" w:rsidR="002C707D" w:rsidRPr="009A7163" w:rsidRDefault="002C707D" w:rsidP="00293176">
            <w:pPr>
              <w:rPr>
                <w:b/>
                <w:bCs/>
              </w:rPr>
            </w:pPr>
            <w:r w:rsidRPr="009A7163">
              <w:rPr>
                <w:b/>
                <w:bCs/>
              </w:rPr>
              <w:t>Years being part of the initiative</w:t>
            </w:r>
          </w:p>
        </w:tc>
        <w:tc>
          <w:tcPr>
            <w:tcW w:w="1286" w:type="dxa"/>
            <w:noWrap/>
            <w:hideMark/>
          </w:tcPr>
          <w:p w14:paraId="7620A572" w14:textId="77777777" w:rsidR="002C707D" w:rsidRPr="009A7163" w:rsidRDefault="002C707D" w:rsidP="00293176">
            <w:pPr>
              <w:rPr>
                <w:b/>
                <w:bCs/>
              </w:rPr>
            </w:pPr>
          </w:p>
        </w:tc>
        <w:tc>
          <w:tcPr>
            <w:tcW w:w="1286" w:type="dxa"/>
            <w:noWrap/>
            <w:hideMark/>
          </w:tcPr>
          <w:p w14:paraId="5D77FED3" w14:textId="77777777" w:rsidR="002C707D" w:rsidRPr="009A7163" w:rsidRDefault="002C707D" w:rsidP="00293176"/>
        </w:tc>
        <w:tc>
          <w:tcPr>
            <w:tcW w:w="1286" w:type="dxa"/>
            <w:noWrap/>
            <w:hideMark/>
          </w:tcPr>
          <w:p w14:paraId="5F77BA98" w14:textId="77777777" w:rsidR="002C707D" w:rsidRPr="009A7163" w:rsidRDefault="002C707D" w:rsidP="00293176"/>
        </w:tc>
        <w:tc>
          <w:tcPr>
            <w:tcW w:w="1286" w:type="dxa"/>
            <w:noWrap/>
            <w:hideMark/>
          </w:tcPr>
          <w:p w14:paraId="0F3E402C" w14:textId="77777777" w:rsidR="002C707D" w:rsidRPr="009A7163" w:rsidRDefault="002C707D" w:rsidP="00293176"/>
        </w:tc>
      </w:tr>
      <w:tr w:rsidR="002C707D" w:rsidRPr="009A7163" w14:paraId="0D554420" w14:textId="77777777" w:rsidTr="00CB5642">
        <w:trPr>
          <w:trHeight w:val="260"/>
        </w:trPr>
        <w:tc>
          <w:tcPr>
            <w:tcW w:w="2425" w:type="dxa"/>
            <w:hideMark/>
          </w:tcPr>
          <w:p w14:paraId="7EB01984" w14:textId="77777777" w:rsidR="002C707D" w:rsidRPr="009A7163" w:rsidRDefault="002C707D" w:rsidP="00293176">
            <w:r w:rsidRPr="009A7163">
              <w:t>Not part of the initiative</w:t>
            </w:r>
          </w:p>
        </w:tc>
        <w:tc>
          <w:tcPr>
            <w:tcW w:w="1286" w:type="dxa"/>
            <w:noWrap/>
            <w:hideMark/>
          </w:tcPr>
          <w:p w14:paraId="44CFC661" w14:textId="77777777" w:rsidR="002C707D" w:rsidRPr="009A7163" w:rsidRDefault="002C707D" w:rsidP="00293176"/>
        </w:tc>
        <w:tc>
          <w:tcPr>
            <w:tcW w:w="1286" w:type="dxa"/>
            <w:noWrap/>
            <w:hideMark/>
          </w:tcPr>
          <w:p w14:paraId="71FA4097" w14:textId="77777777" w:rsidR="002C707D" w:rsidRPr="009A7163" w:rsidRDefault="002C707D" w:rsidP="00293176"/>
        </w:tc>
        <w:tc>
          <w:tcPr>
            <w:tcW w:w="1286" w:type="dxa"/>
            <w:noWrap/>
            <w:hideMark/>
          </w:tcPr>
          <w:p w14:paraId="288CDA64" w14:textId="77777777" w:rsidR="002C707D" w:rsidRPr="009A7163" w:rsidRDefault="002C707D" w:rsidP="00293176"/>
        </w:tc>
        <w:tc>
          <w:tcPr>
            <w:tcW w:w="1286" w:type="dxa"/>
            <w:noWrap/>
            <w:hideMark/>
          </w:tcPr>
          <w:p w14:paraId="3EA2F9C8" w14:textId="77777777" w:rsidR="002C707D" w:rsidRPr="009A7163" w:rsidRDefault="002C707D" w:rsidP="00293176"/>
        </w:tc>
      </w:tr>
      <w:tr w:rsidR="002C707D" w:rsidRPr="009A7163" w14:paraId="79936CB2" w14:textId="77777777" w:rsidTr="00CB5642">
        <w:trPr>
          <w:trHeight w:val="260"/>
        </w:trPr>
        <w:tc>
          <w:tcPr>
            <w:tcW w:w="2425" w:type="dxa"/>
            <w:hideMark/>
          </w:tcPr>
          <w:p w14:paraId="1B234AA1" w14:textId="77777777" w:rsidR="002C707D" w:rsidRPr="009A7163" w:rsidRDefault="002C707D" w:rsidP="00293176">
            <w:r w:rsidRPr="009A7163">
              <w:t>Less than 3 years</w:t>
            </w:r>
          </w:p>
        </w:tc>
        <w:tc>
          <w:tcPr>
            <w:tcW w:w="1286" w:type="dxa"/>
            <w:noWrap/>
            <w:hideMark/>
          </w:tcPr>
          <w:p w14:paraId="33F2D583" w14:textId="77777777" w:rsidR="002C707D" w:rsidRPr="009A7163" w:rsidRDefault="002C707D" w:rsidP="00293176">
            <w:r w:rsidRPr="009A7163">
              <w:t>6</w:t>
            </w:r>
          </w:p>
        </w:tc>
        <w:tc>
          <w:tcPr>
            <w:tcW w:w="1286" w:type="dxa"/>
            <w:noWrap/>
            <w:hideMark/>
          </w:tcPr>
          <w:p w14:paraId="05F5BFF6" w14:textId="77777777" w:rsidR="002C707D" w:rsidRPr="009A7163" w:rsidRDefault="002C707D" w:rsidP="00293176">
            <w:r w:rsidRPr="009A7163">
              <w:t>5</w:t>
            </w:r>
          </w:p>
        </w:tc>
        <w:tc>
          <w:tcPr>
            <w:tcW w:w="1286" w:type="dxa"/>
            <w:noWrap/>
            <w:hideMark/>
          </w:tcPr>
          <w:p w14:paraId="3FD1EAC7" w14:textId="77777777" w:rsidR="002C707D" w:rsidRPr="009A7163" w:rsidRDefault="002C707D" w:rsidP="00293176">
            <w:r w:rsidRPr="009A7163">
              <w:t>5</w:t>
            </w:r>
          </w:p>
        </w:tc>
        <w:tc>
          <w:tcPr>
            <w:tcW w:w="1286" w:type="dxa"/>
            <w:noWrap/>
            <w:hideMark/>
          </w:tcPr>
          <w:p w14:paraId="7328A6C9" w14:textId="77777777" w:rsidR="002C707D" w:rsidRPr="009A7163" w:rsidRDefault="002C707D" w:rsidP="00293176">
            <w:r w:rsidRPr="009A7163">
              <w:t>7</w:t>
            </w:r>
          </w:p>
        </w:tc>
      </w:tr>
      <w:tr w:rsidR="002C707D" w:rsidRPr="009A7163" w14:paraId="27A678F9" w14:textId="77777777" w:rsidTr="00CB5642">
        <w:trPr>
          <w:trHeight w:val="260"/>
        </w:trPr>
        <w:tc>
          <w:tcPr>
            <w:tcW w:w="2425" w:type="dxa"/>
            <w:hideMark/>
          </w:tcPr>
          <w:p w14:paraId="27BDD649" w14:textId="77777777" w:rsidR="002C707D" w:rsidRPr="009A7163" w:rsidRDefault="002C707D" w:rsidP="00293176">
            <w:r w:rsidRPr="009A7163">
              <w:t>3-6 years</w:t>
            </w:r>
          </w:p>
        </w:tc>
        <w:tc>
          <w:tcPr>
            <w:tcW w:w="1286" w:type="dxa"/>
            <w:noWrap/>
            <w:hideMark/>
          </w:tcPr>
          <w:p w14:paraId="38D27E78" w14:textId="77777777" w:rsidR="002C707D" w:rsidRPr="009A7163" w:rsidRDefault="002C707D" w:rsidP="00293176">
            <w:r w:rsidRPr="009A7163">
              <w:t>15</w:t>
            </w:r>
          </w:p>
        </w:tc>
        <w:tc>
          <w:tcPr>
            <w:tcW w:w="1286" w:type="dxa"/>
            <w:noWrap/>
            <w:hideMark/>
          </w:tcPr>
          <w:p w14:paraId="7E4A9429" w14:textId="77777777" w:rsidR="002C707D" w:rsidRPr="009A7163" w:rsidRDefault="002C707D" w:rsidP="00293176">
            <w:r w:rsidRPr="009A7163">
              <w:t>11</w:t>
            </w:r>
          </w:p>
        </w:tc>
        <w:tc>
          <w:tcPr>
            <w:tcW w:w="1286" w:type="dxa"/>
            <w:noWrap/>
            <w:hideMark/>
          </w:tcPr>
          <w:p w14:paraId="0E22EF8B" w14:textId="77777777" w:rsidR="002C707D" w:rsidRPr="009A7163" w:rsidRDefault="002C707D" w:rsidP="00293176">
            <w:r w:rsidRPr="009A7163">
              <w:t>18</w:t>
            </w:r>
          </w:p>
        </w:tc>
        <w:tc>
          <w:tcPr>
            <w:tcW w:w="1286" w:type="dxa"/>
            <w:noWrap/>
            <w:hideMark/>
          </w:tcPr>
          <w:p w14:paraId="6D4C6AB4" w14:textId="77777777" w:rsidR="002C707D" w:rsidRPr="009A7163" w:rsidRDefault="002C707D" w:rsidP="00293176">
            <w:r w:rsidRPr="009A7163">
              <w:t>7</w:t>
            </w:r>
          </w:p>
        </w:tc>
      </w:tr>
      <w:tr w:rsidR="002C707D" w:rsidRPr="009A7163" w14:paraId="3FE8BE93" w14:textId="77777777" w:rsidTr="00CB5642">
        <w:trPr>
          <w:trHeight w:val="260"/>
        </w:trPr>
        <w:tc>
          <w:tcPr>
            <w:tcW w:w="2425" w:type="dxa"/>
            <w:hideMark/>
          </w:tcPr>
          <w:p w14:paraId="387BAC6B" w14:textId="77777777" w:rsidR="002C707D" w:rsidRPr="009A7163" w:rsidRDefault="002C707D" w:rsidP="00293176">
            <w:r w:rsidRPr="009A7163">
              <w:t>7-10 years</w:t>
            </w:r>
          </w:p>
        </w:tc>
        <w:tc>
          <w:tcPr>
            <w:tcW w:w="1286" w:type="dxa"/>
            <w:noWrap/>
            <w:hideMark/>
          </w:tcPr>
          <w:p w14:paraId="7B92550B" w14:textId="77777777" w:rsidR="002C707D" w:rsidRPr="009A7163" w:rsidRDefault="002C707D" w:rsidP="00293176"/>
        </w:tc>
        <w:tc>
          <w:tcPr>
            <w:tcW w:w="1286" w:type="dxa"/>
            <w:noWrap/>
            <w:hideMark/>
          </w:tcPr>
          <w:p w14:paraId="37D56E79" w14:textId="77777777" w:rsidR="002C707D" w:rsidRPr="009A7163" w:rsidRDefault="002C707D" w:rsidP="00293176"/>
        </w:tc>
        <w:tc>
          <w:tcPr>
            <w:tcW w:w="1286" w:type="dxa"/>
            <w:noWrap/>
            <w:hideMark/>
          </w:tcPr>
          <w:p w14:paraId="11FBEBF4" w14:textId="77777777" w:rsidR="002C707D" w:rsidRPr="009A7163" w:rsidRDefault="002C707D" w:rsidP="00293176"/>
        </w:tc>
        <w:tc>
          <w:tcPr>
            <w:tcW w:w="1286" w:type="dxa"/>
            <w:noWrap/>
            <w:hideMark/>
          </w:tcPr>
          <w:p w14:paraId="0897BADF" w14:textId="77777777" w:rsidR="002C707D" w:rsidRPr="009A7163" w:rsidRDefault="002C707D" w:rsidP="00293176"/>
        </w:tc>
      </w:tr>
      <w:tr w:rsidR="002C707D" w:rsidRPr="009A7163" w14:paraId="291FF17E" w14:textId="77777777" w:rsidTr="00CB5642">
        <w:trPr>
          <w:trHeight w:val="260"/>
        </w:trPr>
        <w:tc>
          <w:tcPr>
            <w:tcW w:w="2425" w:type="dxa"/>
            <w:hideMark/>
          </w:tcPr>
          <w:p w14:paraId="5EE3E4C4" w14:textId="77777777" w:rsidR="002C707D" w:rsidRPr="009A7163" w:rsidRDefault="002C707D" w:rsidP="00293176">
            <w:r w:rsidRPr="009A7163">
              <w:t>More than 10 years</w:t>
            </w:r>
          </w:p>
        </w:tc>
        <w:tc>
          <w:tcPr>
            <w:tcW w:w="1286" w:type="dxa"/>
            <w:noWrap/>
            <w:hideMark/>
          </w:tcPr>
          <w:p w14:paraId="67CC2B76" w14:textId="77777777" w:rsidR="002C707D" w:rsidRPr="009A7163" w:rsidRDefault="002C707D" w:rsidP="00293176"/>
        </w:tc>
        <w:tc>
          <w:tcPr>
            <w:tcW w:w="1286" w:type="dxa"/>
            <w:noWrap/>
            <w:hideMark/>
          </w:tcPr>
          <w:p w14:paraId="1EAC3C2A" w14:textId="77777777" w:rsidR="002C707D" w:rsidRPr="009A7163" w:rsidRDefault="002C707D" w:rsidP="00293176"/>
        </w:tc>
        <w:tc>
          <w:tcPr>
            <w:tcW w:w="1286" w:type="dxa"/>
            <w:noWrap/>
            <w:hideMark/>
          </w:tcPr>
          <w:p w14:paraId="508CD91E" w14:textId="77777777" w:rsidR="002C707D" w:rsidRPr="009A7163" w:rsidRDefault="002C707D" w:rsidP="00293176"/>
        </w:tc>
        <w:tc>
          <w:tcPr>
            <w:tcW w:w="1286" w:type="dxa"/>
            <w:noWrap/>
            <w:hideMark/>
          </w:tcPr>
          <w:p w14:paraId="46724723" w14:textId="77777777" w:rsidR="002C707D" w:rsidRPr="009A7163" w:rsidRDefault="002C707D" w:rsidP="00293176"/>
        </w:tc>
      </w:tr>
      <w:tr w:rsidR="002C707D" w:rsidRPr="009A7163" w14:paraId="66AD3DD7" w14:textId="77777777" w:rsidTr="00CB5642">
        <w:trPr>
          <w:trHeight w:val="260"/>
        </w:trPr>
        <w:tc>
          <w:tcPr>
            <w:tcW w:w="2425" w:type="dxa"/>
            <w:hideMark/>
          </w:tcPr>
          <w:p w14:paraId="49803834" w14:textId="77777777" w:rsidR="002C707D" w:rsidRPr="009A7163" w:rsidRDefault="002C707D" w:rsidP="00293176"/>
        </w:tc>
        <w:tc>
          <w:tcPr>
            <w:tcW w:w="1286" w:type="dxa"/>
            <w:noWrap/>
            <w:hideMark/>
          </w:tcPr>
          <w:p w14:paraId="56F8FD07" w14:textId="77777777" w:rsidR="002C707D" w:rsidRPr="009A7163" w:rsidRDefault="002C707D" w:rsidP="00293176">
            <w:r w:rsidRPr="009A7163">
              <w:t>21</w:t>
            </w:r>
          </w:p>
        </w:tc>
        <w:tc>
          <w:tcPr>
            <w:tcW w:w="1286" w:type="dxa"/>
            <w:noWrap/>
            <w:hideMark/>
          </w:tcPr>
          <w:p w14:paraId="290FE317" w14:textId="77777777" w:rsidR="002C707D" w:rsidRPr="009A7163" w:rsidRDefault="002C707D" w:rsidP="00293176"/>
        </w:tc>
        <w:tc>
          <w:tcPr>
            <w:tcW w:w="1286" w:type="dxa"/>
            <w:noWrap/>
            <w:hideMark/>
          </w:tcPr>
          <w:p w14:paraId="6187B242" w14:textId="77777777" w:rsidR="002C707D" w:rsidRPr="009A7163" w:rsidRDefault="002C707D" w:rsidP="00293176">
            <w:r w:rsidRPr="009A7163">
              <w:t>23</w:t>
            </w:r>
          </w:p>
        </w:tc>
        <w:tc>
          <w:tcPr>
            <w:tcW w:w="1286" w:type="dxa"/>
            <w:noWrap/>
            <w:hideMark/>
          </w:tcPr>
          <w:p w14:paraId="2DCE8411" w14:textId="77777777" w:rsidR="002C707D" w:rsidRPr="009A7163" w:rsidRDefault="002C707D" w:rsidP="00293176">
            <w:r w:rsidRPr="009A7163">
              <w:t>14</w:t>
            </w:r>
          </w:p>
        </w:tc>
      </w:tr>
      <w:tr w:rsidR="002C707D" w:rsidRPr="009A7163" w14:paraId="397DD890" w14:textId="77777777" w:rsidTr="00CB5642">
        <w:trPr>
          <w:trHeight w:val="260"/>
        </w:trPr>
        <w:tc>
          <w:tcPr>
            <w:tcW w:w="2425" w:type="dxa"/>
            <w:noWrap/>
            <w:hideMark/>
          </w:tcPr>
          <w:p w14:paraId="1F2A4DC1" w14:textId="77777777" w:rsidR="002C707D" w:rsidRPr="009A7163" w:rsidRDefault="002C707D" w:rsidP="00293176"/>
        </w:tc>
        <w:tc>
          <w:tcPr>
            <w:tcW w:w="1286" w:type="dxa"/>
            <w:noWrap/>
            <w:hideMark/>
          </w:tcPr>
          <w:p w14:paraId="34F5A720" w14:textId="77777777" w:rsidR="002C707D" w:rsidRPr="009A7163" w:rsidRDefault="002C707D" w:rsidP="00293176"/>
        </w:tc>
        <w:tc>
          <w:tcPr>
            <w:tcW w:w="1286" w:type="dxa"/>
            <w:noWrap/>
            <w:hideMark/>
          </w:tcPr>
          <w:p w14:paraId="4F195170" w14:textId="77777777" w:rsidR="002C707D" w:rsidRPr="009A7163" w:rsidRDefault="002C707D" w:rsidP="00293176"/>
        </w:tc>
        <w:tc>
          <w:tcPr>
            <w:tcW w:w="1286" w:type="dxa"/>
            <w:noWrap/>
            <w:hideMark/>
          </w:tcPr>
          <w:p w14:paraId="19561539" w14:textId="77777777" w:rsidR="002C707D" w:rsidRPr="009A7163" w:rsidRDefault="002C707D" w:rsidP="00293176"/>
        </w:tc>
        <w:tc>
          <w:tcPr>
            <w:tcW w:w="1286" w:type="dxa"/>
            <w:noWrap/>
            <w:hideMark/>
          </w:tcPr>
          <w:p w14:paraId="1678F5E4" w14:textId="77777777" w:rsidR="002C707D" w:rsidRPr="009A7163" w:rsidRDefault="002C707D" w:rsidP="00293176"/>
        </w:tc>
      </w:tr>
      <w:tr w:rsidR="002C707D" w:rsidRPr="009A7163" w14:paraId="74C7A8F5" w14:textId="77777777" w:rsidTr="00CB5642">
        <w:trPr>
          <w:trHeight w:val="260"/>
        </w:trPr>
        <w:tc>
          <w:tcPr>
            <w:tcW w:w="2425" w:type="dxa"/>
            <w:noWrap/>
            <w:hideMark/>
          </w:tcPr>
          <w:p w14:paraId="2BE9D0A6" w14:textId="77777777" w:rsidR="002C707D" w:rsidRPr="009A7163" w:rsidRDefault="002C707D" w:rsidP="00293176">
            <w:pPr>
              <w:rPr>
                <w:b/>
                <w:bCs/>
              </w:rPr>
            </w:pPr>
            <w:r w:rsidRPr="009A7163">
              <w:rPr>
                <w:b/>
                <w:bCs/>
              </w:rPr>
              <w:t>Producer</w:t>
            </w:r>
          </w:p>
        </w:tc>
        <w:tc>
          <w:tcPr>
            <w:tcW w:w="1286" w:type="dxa"/>
            <w:noWrap/>
            <w:hideMark/>
          </w:tcPr>
          <w:p w14:paraId="43F63CF5" w14:textId="77777777" w:rsidR="002C707D" w:rsidRPr="009A7163" w:rsidRDefault="002C707D" w:rsidP="00293176">
            <w:r w:rsidRPr="009A7163">
              <w:t>15</w:t>
            </w:r>
          </w:p>
        </w:tc>
        <w:tc>
          <w:tcPr>
            <w:tcW w:w="1286" w:type="dxa"/>
            <w:noWrap/>
            <w:hideMark/>
          </w:tcPr>
          <w:p w14:paraId="588D55E0" w14:textId="77777777" w:rsidR="002C707D" w:rsidRPr="009A7163" w:rsidRDefault="002C707D" w:rsidP="00293176">
            <w:r w:rsidRPr="009A7163">
              <w:t>6</w:t>
            </w:r>
          </w:p>
        </w:tc>
        <w:tc>
          <w:tcPr>
            <w:tcW w:w="1286" w:type="dxa"/>
            <w:noWrap/>
            <w:hideMark/>
          </w:tcPr>
          <w:p w14:paraId="4124482B" w14:textId="77777777" w:rsidR="002C707D" w:rsidRPr="009A7163" w:rsidRDefault="002C707D" w:rsidP="00293176">
            <w:r w:rsidRPr="009A7163">
              <w:t>10</w:t>
            </w:r>
          </w:p>
        </w:tc>
        <w:tc>
          <w:tcPr>
            <w:tcW w:w="1286" w:type="dxa"/>
            <w:noWrap/>
            <w:hideMark/>
          </w:tcPr>
          <w:p w14:paraId="27F172A3" w14:textId="77777777" w:rsidR="002C707D" w:rsidRPr="009A7163" w:rsidRDefault="002C707D" w:rsidP="00293176">
            <w:r w:rsidRPr="009A7163">
              <w:t>12</w:t>
            </w:r>
          </w:p>
        </w:tc>
      </w:tr>
      <w:tr w:rsidR="002C707D" w:rsidRPr="009A7163" w14:paraId="17F550AC" w14:textId="77777777" w:rsidTr="00CB5642">
        <w:trPr>
          <w:trHeight w:val="260"/>
        </w:trPr>
        <w:tc>
          <w:tcPr>
            <w:tcW w:w="2425" w:type="dxa"/>
            <w:noWrap/>
            <w:hideMark/>
          </w:tcPr>
          <w:p w14:paraId="2AA9C5BA" w14:textId="77777777" w:rsidR="002C707D" w:rsidRPr="009A7163" w:rsidRDefault="002C707D" w:rsidP="00293176">
            <w:r w:rsidRPr="009A7163">
              <w:t>Sesame Producer</w:t>
            </w:r>
          </w:p>
        </w:tc>
        <w:tc>
          <w:tcPr>
            <w:tcW w:w="1286" w:type="dxa"/>
            <w:noWrap/>
            <w:hideMark/>
          </w:tcPr>
          <w:p w14:paraId="4E133AD3" w14:textId="77777777" w:rsidR="002C707D" w:rsidRPr="009A7163" w:rsidRDefault="002C707D" w:rsidP="00293176">
            <w:r w:rsidRPr="009A7163">
              <w:t>6</w:t>
            </w:r>
          </w:p>
        </w:tc>
        <w:tc>
          <w:tcPr>
            <w:tcW w:w="1286" w:type="dxa"/>
            <w:noWrap/>
            <w:hideMark/>
          </w:tcPr>
          <w:p w14:paraId="52C48AB7" w14:textId="77777777" w:rsidR="002C707D" w:rsidRPr="009A7163" w:rsidRDefault="002C707D" w:rsidP="00293176">
            <w:r w:rsidRPr="009A7163">
              <w:t>10</w:t>
            </w:r>
          </w:p>
        </w:tc>
        <w:tc>
          <w:tcPr>
            <w:tcW w:w="1286" w:type="dxa"/>
            <w:noWrap/>
            <w:hideMark/>
          </w:tcPr>
          <w:p w14:paraId="590A750E" w14:textId="77777777" w:rsidR="002C707D" w:rsidRPr="009A7163" w:rsidRDefault="002C707D" w:rsidP="00293176">
            <w:r w:rsidRPr="009A7163">
              <w:t>13</w:t>
            </w:r>
          </w:p>
        </w:tc>
        <w:tc>
          <w:tcPr>
            <w:tcW w:w="1286" w:type="dxa"/>
            <w:noWrap/>
            <w:hideMark/>
          </w:tcPr>
          <w:p w14:paraId="01398D7B" w14:textId="77777777" w:rsidR="002C707D" w:rsidRPr="009A7163" w:rsidRDefault="002C707D" w:rsidP="00293176">
            <w:r w:rsidRPr="009A7163">
              <w:t>2</w:t>
            </w:r>
          </w:p>
        </w:tc>
      </w:tr>
      <w:tr w:rsidR="002C707D" w:rsidRPr="009A7163" w14:paraId="50E574DE" w14:textId="77777777" w:rsidTr="00CB5642">
        <w:trPr>
          <w:trHeight w:val="260"/>
        </w:trPr>
        <w:tc>
          <w:tcPr>
            <w:tcW w:w="2425" w:type="dxa"/>
            <w:noWrap/>
            <w:hideMark/>
          </w:tcPr>
          <w:p w14:paraId="392497AD" w14:textId="77777777" w:rsidR="002C707D" w:rsidRPr="009A7163" w:rsidRDefault="002C707D" w:rsidP="00293176">
            <w:r w:rsidRPr="009A7163">
              <w:t>Not a producer</w:t>
            </w:r>
          </w:p>
        </w:tc>
        <w:tc>
          <w:tcPr>
            <w:tcW w:w="1286" w:type="dxa"/>
            <w:noWrap/>
            <w:hideMark/>
          </w:tcPr>
          <w:p w14:paraId="4BDB87E0" w14:textId="77777777" w:rsidR="002C707D" w:rsidRPr="009A7163" w:rsidRDefault="002C707D" w:rsidP="00293176"/>
        </w:tc>
        <w:tc>
          <w:tcPr>
            <w:tcW w:w="1286" w:type="dxa"/>
            <w:noWrap/>
            <w:hideMark/>
          </w:tcPr>
          <w:p w14:paraId="3FF86B33" w14:textId="77777777" w:rsidR="002C707D" w:rsidRPr="009A7163" w:rsidRDefault="002C707D" w:rsidP="00293176"/>
        </w:tc>
        <w:tc>
          <w:tcPr>
            <w:tcW w:w="1286" w:type="dxa"/>
            <w:noWrap/>
            <w:hideMark/>
          </w:tcPr>
          <w:p w14:paraId="383560AA" w14:textId="77777777" w:rsidR="002C707D" w:rsidRPr="009A7163" w:rsidRDefault="002C707D" w:rsidP="00293176"/>
        </w:tc>
        <w:tc>
          <w:tcPr>
            <w:tcW w:w="1286" w:type="dxa"/>
            <w:noWrap/>
            <w:hideMark/>
          </w:tcPr>
          <w:p w14:paraId="72CA2B21" w14:textId="77777777" w:rsidR="002C707D" w:rsidRPr="009A7163" w:rsidRDefault="002C707D" w:rsidP="00293176"/>
        </w:tc>
      </w:tr>
    </w:tbl>
    <w:p w14:paraId="6C02A0A5" w14:textId="06B99AD0" w:rsidR="002C707D" w:rsidRPr="009A7163" w:rsidRDefault="002C707D" w:rsidP="00663534">
      <w:pPr>
        <w:pStyle w:val="TableTOC"/>
        <w:spacing w:before="360"/>
        <w:rPr>
          <w:lang w:val="en-GB"/>
        </w:rPr>
      </w:pPr>
      <w:bookmarkStart w:id="53" w:name="_Toc526710008"/>
      <w:r w:rsidRPr="009A7163">
        <w:rPr>
          <w:lang w:val="en-GB"/>
        </w:rPr>
        <w:lastRenderedPageBreak/>
        <w:t xml:space="preserve">Table </w:t>
      </w:r>
      <w:r w:rsidR="007B69E5" w:rsidRPr="009A7163">
        <w:rPr>
          <w:lang w:val="en-GB"/>
        </w:rPr>
        <w:t>3</w:t>
      </w:r>
      <w:r w:rsidRPr="009A7163">
        <w:rPr>
          <w:lang w:val="en-GB"/>
        </w:rPr>
        <w:t>.4. Achuapa Time Use Surveys (Women)</w:t>
      </w:r>
      <w:bookmarkEnd w:id="53"/>
      <w:r w:rsidRPr="009A7163">
        <w:rPr>
          <w:lang w:val="en-GB"/>
        </w:rPr>
        <w:t xml:space="preserve"> </w:t>
      </w:r>
    </w:p>
    <w:tbl>
      <w:tblPr>
        <w:tblStyle w:val="TableGrid1"/>
        <w:tblW w:w="0" w:type="auto"/>
        <w:tblLook w:val="04A0" w:firstRow="1" w:lastRow="0" w:firstColumn="1" w:lastColumn="0" w:noHBand="0" w:noVBand="1"/>
      </w:tblPr>
      <w:tblGrid>
        <w:gridCol w:w="1401"/>
        <w:gridCol w:w="1245"/>
        <w:gridCol w:w="1170"/>
        <w:gridCol w:w="1243"/>
        <w:gridCol w:w="1105"/>
        <w:gridCol w:w="1180"/>
        <w:gridCol w:w="723"/>
      </w:tblGrid>
      <w:tr w:rsidR="002C707D" w:rsidRPr="009A7163" w14:paraId="298E0606" w14:textId="77777777" w:rsidTr="00CB5642">
        <w:trPr>
          <w:trHeight w:val="701"/>
        </w:trPr>
        <w:tc>
          <w:tcPr>
            <w:tcW w:w="1401" w:type="dxa"/>
          </w:tcPr>
          <w:p w14:paraId="3BD9C996" w14:textId="77777777" w:rsidR="002C707D" w:rsidRPr="009A7163" w:rsidRDefault="002C707D" w:rsidP="00293176">
            <w:pPr>
              <w:ind w:hanging="23"/>
              <w:jc w:val="both"/>
              <w:rPr>
                <w:b/>
              </w:rPr>
            </w:pPr>
            <w:r w:rsidRPr="009A7163">
              <w:rPr>
                <w:b/>
              </w:rPr>
              <w:t>Timeframe</w:t>
            </w:r>
          </w:p>
        </w:tc>
        <w:tc>
          <w:tcPr>
            <w:tcW w:w="1245" w:type="dxa"/>
          </w:tcPr>
          <w:p w14:paraId="2D174BD8" w14:textId="77777777" w:rsidR="002C707D" w:rsidRPr="009A7163" w:rsidRDefault="002C707D" w:rsidP="00293176">
            <w:pPr>
              <w:ind w:hanging="23"/>
              <w:jc w:val="both"/>
            </w:pPr>
            <w:r w:rsidRPr="009A7163">
              <w:rPr>
                <w:b/>
              </w:rPr>
              <w:t>Post- harvest</w:t>
            </w:r>
          </w:p>
        </w:tc>
        <w:tc>
          <w:tcPr>
            <w:tcW w:w="1170" w:type="dxa"/>
          </w:tcPr>
          <w:p w14:paraId="71C57AD4" w14:textId="77777777" w:rsidR="002C707D" w:rsidRPr="009A7163" w:rsidRDefault="002C707D" w:rsidP="00293176">
            <w:pPr>
              <w:ind w:hanging="23"/>
              <w:jc w:val="both"/>
            </w:pPr>
            <w:r w:rsidRPr="009A7163">
              <w:rPr>
                <w:b/>
              </w:rPr>
              <w:t>Non-harvest</w:t>
            </w:r>
          </w:p>
        </w:tc>
        <w:tc>
          <w:tcPr>
            <w:tcW w:w="1243" w:type="dxa"/>
          </w:tcPr>
          <w:p w14:paraId="4005FD4B" w14:textId="77777777" w:rsidR="002C707D" w:rsidRPr="009A7163" w:rsidRDefault="002C707D" w:rsidP="00293176">
            <w:pPr>
              <w:ind w:hanging="23"/>
              <w:jc w:val="both"/>
            </w:pPr>
            <w:r w:rsidRPr="009A7163">
              <w:rPr>
                <w:b/>
              </w:rPr>
              <w:t>Harvest (Drought</w:t>
            </w:r>
            <w:r w:rsidRPr="009A7163">
              <w:t>)</w:t>
            </w:r>
          </w:p>
        </w:tc>
        <w:tc>
          <w:tcPr>
            <w:tcW w:w="1105" w:type="dxa"/>
          </w:tcPr>
          <w:p w14:paraId="40D2FDD6" w14:textId="77777777" w:rsidR="002C707D" w:rsidRPr="009A7163" w:rsidRDefault="002C707D" w:rsidP="00293176">
            <w:pPr>
              <w:ind w:hanging="23"/>
              <w:jc w:val="both"/>
            </w:pPr>
            <w:r w:rsidRPr="009A7163">
              <w:rPr>
                <w:b/>
              </w:rPr>
              <w:t>Pre -Harvest</w:t>
            </w:r>
          </w:p>
        </w:tc>
        <w:tc>
          <w:tcPr>
            <w:tcW w:w="1030" w:type="dxa"/>
          </w:tcPr>
          <w:p w14:paraId="7960E18A" w14:textId="77777777" w:rsidR="002C707D" w:rsidRPr="009A7163" w:rsidRDefault="002C707D" w:rsidP="00293176">
            <w:pPr>
              <w:ind w:hanging="23"/>
              <w:jc w:val="both"/>
            </w:pPr>
            <w:r w:rsidRPr="009A7163">
              <w:rPr>
                <w:b/>
              </w:rPr>
              <w:t>Harvest</w:t>
            </w:r>
          </w:p>
        </w:tc>
        <w:tc>
          <w:tcPr>
            <w:tcW w:w="723" w:type="dxa"/>
          </w:tcPr>
          <w:p w14:paraId="14B9736E" w14:textId="77777777" w:rsidR="002C707D" w:rsidRPr="009A7163" w:rsidRDefault="002C707D" w:rsidP="00293176">
            <w:pPr>
              <w:ind w:hanging="23"/>
              <w:jc w:val="both"/>
            </w:pPr>
            <w:r w:rsidRPr="009A7163">
              <w:t>Total</w:t>
            </w:r>
          </w:p>
        </w:tc>
      </w:tr>
      <w:tr w:rsidR="002C707D" w:rsidRPr="009A7163" w14:paraId="60ABF6CF" w14:textId="77777777" w:rsidTr="00CB5642">
        <w:trPr>
          <w:trHeight w:val="242"/>
        </w:trPr>
        <w:tc>
          <w:tcPr>
            <w:tcW w:w="1401" w:type="dxa"/>
          </w:tcPr>
          <w:p w14:paraId="4889DD76" w14:textId="77777777" w:rsidR="002C707D" w:rsidRPr="009A7163" w:rsidRDefault="002C707D" w:rsidP="00293176">
            <w:pPr>
              <w:ind w:hanging="23"/>
              <w:jc w:val="both"/>
            </w:pPr>
            <w:r w:rsidRPr="009A7163">
              <w:t>Month(s)</w:t>
            </w:r>
          </w:p>
        </w:tc>
        <w:tc>
          <w:tcPr>
            <w:tcW w:w="1245" w:type="dxa"/>
          </w:tcPr>
          <w:p w14:paraId="6C01C411" w14:textId="77777777" w:rsidR="002C707D" w:rsidRPr="009A7163" w:rsidRDefault="002C707D" w:rsidP="00293176">
            <w:pPr>
              <w:ind w:hanging="23"/>
              <w:jc w:val="both"/>
            </w:pPr>
            <w:r w:rsidRPr="009A7163">
              <w:t>February 2015</w:t>
            </w:r>
          </w:p>
        </w:tc>
        <w:tc>
          <w:tcPr>
            <w:tcW w:w="1170" w:type="dxa"/>
          </w:tcPr>
          <w:p w14:paraId="1ACBB5F7" w14:textId="77777777" w:rsidR="002C707D" w:rsidRPr="009A7163" w:rsidRDefault="002C707D" w:rsidP="00293176">
            <w:pPr>
              <w:ind w:hanging="23"/>
              <w:jc w:val="both"/>
            </w:pPr>
            <w:r w:rsidRPr="009A7163">
              <w:t>July 2015</w:t>
            </w:r>
          </w:p>
        </w:tc>
        <w:tc>
          <w:tcPr>
            <w:tcW w:w="1243" w:type="dxa"/>
          </w:tcPr>
          <w:p w14:paraId="14108CE4" w14:textId="77777777" w:rsidR="002C707D" w:rsidRPr="009A7163" w:rsidRDefault="002C707D" w:rsidP="00293176">
            <w:pPr>
              <w:ind w:hanging="23"/>
              <w:jc w:val="both"/>
            </w:pPr>
            <w:r w:rsidRPr="009A7163">
              <w:t>November 2015-January 2016</w:t>
            </w:r>
          </w:p>
        </w:tc>
        <w:tc>
          <w:tcPr>
            <w:tcW w:w="1105" w:type="dxa"/>
          </w:tcPr>
          <w:p w14:paraId="59F9B73B" w14:textId="77777777" w:rsidR="002C707D" w:rsidRPr="009A7163" w:rsidRDefault="002C707D" w:rsidP="00293176">
            <w:pPr>
              <w:ind w:hanging="23"/>
              <w:jc w:val="both"/>
            </w:pPr>
            <w:r w:rsidRPr="009A7163">
              <w:t>October 2016</w:t>
            </w:r>
          </w:p>
        </w:tc>
        <w:tc>
          <w:tcPr>
            <w:tcW w:w="1030" w:type="dxa"/>
          </w:tcPr>
          <w:p w14:paraId="5BF7394F" w14:textId="77777777" w:rsidR="002C707D" w:rsidRPr="009A7163" w:rsidRDefault="002C707D" w:rsidP="00293176">
            <w:pPr>
              <w:ind w:hanging="23"/>
              <w:jc w:val="both"/>
            </w:pPr>
            <w:r w:rsidRPr="009A7163">
              <w:t>December 2017</w:t>
            </w:r>
          </w:p>
        </w:tc>
        <w:tc>
          <w:tcPr>
            <w:tcW w:w="723" w:type="dxa"/>
          </w:tcPr>
          <w:p w14:paraId="365E749A" w14:textId="77777777" w:rsidR="002C707D" w:rsidRPr="009A7163" w:rsidRDefault="002C707D" w:rsidP="00293176">
            <w:pPr>
              <w:ind w:hanging="23"/>
              <w:jc w:val="both"/>
            </w:pPr>
          </w:p>
        </w:tc>
      </w:tr>
      <w:tr w:rsidR="002C707D" w:rsidRPr="009A7163" w14:paraId="090E3867" w14:textId="77777777" w:rsidTr="00CB5642">
        <w:trPr>
          <w:trHeight w:val="242"/>
        </w:trPr>
        <w:tc>
          <w:tcPr>
            <w:tcW w:w="1401" w:type="dxa"/>
          </w:tcPr>
          <w:p w14:paraId="40284C40" w14:textId="77777777" w:rsidR="002C707D" w:rsidRPr="009A7163" w:rsidRDefault="002C707D" w:rsidP="00293176">
            <w:pPr>
              <w:ind w:hanging="23"/>
              <w:jc w:val="both"/>
            </w:pPr>
            <w:r w:rsidRPr="009A7163">
              <w:t>Survey Type</w:t>
            </w:r>
          </w:p>
        </w:tc>
        <w:tc>
          <w:tcPr>
            <w:tcW w:w="1245" w:type="dxa"/>
          </w:tcPr>
          <w:p w14:paraId="6502000D" w14:textId="77777777" w:rsidR="002C707D" w:rsidRPr="009A7163" w:rsidRDefault="002C707D" w:rsidP="00293176">
            <w:pPr>
              <w:ind w:hanging="23"/>
              <w:jc w:val="both"/>
            </w:pPr>
            <w:r w:rsidRPr="009A7163">
              <w:t>TUS 1</w:t>
            </w:r>
          </w:p>
        </w:tc>
        <w:tc>
          <w:tcPr>
            <w:tcW w:w="1170" w:type="dxa"/>
          </w:tcPr>
          <w:p w14:paraId="18C8D388" w14:textId="77777777" w:rsidR="002C707D" w:rsidRPr="009A7163" w:rsidRDefault="002C707D" w:rsidP="00293176">
            <w:pPr>
              <w:ind w:hanging="23"/>
              <w:jc w:val="both"/>
            </w:pPr>
            <w:r w:rsidRPr="009A7163">
              <w:t>TUS 2</w:t>
            </w:r>
          </w:p>
        </w:tc>
        <w:tc>
          <w:tcPr>
            <w:tcW w:w="1243" w:type="dxa"/>
          </w:tcPr>
          <w:p w14:paraId="6B67D5F4" w14:textId="77777777" w:rsidR="002C707D" w:rsidRPr="009A7163" w:rsidRDefault="002C707D" w:rsidP="00293176">
            <w:pPr>
              <w:ind w:hanging="23"/>
              <w:jc w:val="both"/>
            </w:pPr>
            <w:r w:rsidRPr="009A7163">
              <w:t>TUVI 1</w:t>
            </w:r>
          </w:p>
        </w:tc>
        <w:tc>
          <w:tcPr>
            <w:tcW w:w="1105" w:type="dxa"/>
          </w:tcPr>
          <w:p w14:paraId="0987F1C6" w14:textId="77777777" w:rsidR="002C707D" w:rsidRPr="009A7163" w:rsidRDefault="002C707D" w:rsidP="00293176">
            <w:pPr>
              <w:ind w:hanging="23"/>
              <w:jc w:val="both"/>
            </w:pPr>
            <w:r w:rsidRPr="009A7163">
              <w:t>TUVI 2</w:t>
            </w:r>
          </w:p>
        </w:tc>
        <w:tc>
          <w:tcPr>
            <w:tcW w:w="1030" w:type="dxa"/>
          </w:tcPr>
          <w:p w14:paraId="3F52DD6C" w14:textId="77777777" w:rsidR="002C707D" w:rsidRPr="009A7163" w:rsidRDefault="002C707D" w:rsidP="00293176">
            <w:pPr>
              <w:ind w:hanging="23"/>
              <w:jc w:val="both"/>
            </w:pPr>
            <w:r w:rsidRPr="009A7163">
              <w:t>TUVI 2</w:t>
            </w:r>
          </w:p>
        </w:tc>
        <w:tc>
          <w:tcPr>
            <w:tcW w:w="723" w:type="dxa"/>
          </w:tcPr>
          <w:p w14:paraId="69053D51" w14:textId="77777777" w:rsidR="002C707D" w:rsidRPr="009A7163" w:rsidRDefault="002C707D" w:rsidP="00293176">
            <w:pPr>
              <w:ind w:hanging="23"/>
              <w:jc w:val="both"/>
            </w:pPr>
          </w:p>
        </w:tc>
      </w:tr>
      <w:tr w:rsidR="002C707D" w:rsidRPr="009A7163" w14:paraId="73BE5F01" w14:textId="77777777" w:rsidTr="00CB5642">
        <w:trPr>
          <w:trHeight w:val="242"/>
        </w:trPr>
        <w:tc>
          <w:tcPr>
            <w:tcW w:w="1401" w:type="dxa"/>
          </w:tcPr>
          <w:p w14:paraId="01967115" w14:textId="77777777" w:rsidR="002C707D" w:rsidRPr="009A7163" w:rsidRDefault="002C707D" w:rsidP="00293176">
            <w:pPr>
              <w:ind w:hanging="23"/>
              <w:jc w:val="both"/>
            </w:pPr>
            <w:r w:rsidRPr="009A7163">
              <w:t xml:space="preserve">Overall group </w:t>
            </w:r>
          </w:p>
        </w:tc>
        <w:tc>
          <w:tcPr>
            <w:tcW w:w="1245" w:type="dxa"/>
          </w:tcPr>
          <w:p w14:paraId="037CE5CF" w14:textId="77777777" w:rsidR="002C707D" w:rsidRPr="009A7163" w:rsidRDefault="002C707D" w:rsidP="00293176">
            <w:pPr>
              <w:ind w:hanging="23"/>
              <w:jc w:val="both"/>
            </w:pPr>
            <w:r w:rsidRPr="009A7163">
              <w:t>21</w:t>
            </w:r>
          </w:p>
        </w:tc>
        <w:tc>
          <w:tcPr>
            <w:tcW w:w="1170" w:type="dxa"/>
          </w:tcPr>
          <w:p w14:paraId="6988EBFF" w14:textId="77777777" w:rsidR="002C707D" w:rsidRPr="009A7163" w:rsidRDefault="002C707D" w:rsidP="00293176">
            <w:pPr>
              <w:ind w:hanging="23"/>
              <w:jc w:val="both"/>
            </w:pPr>
            <w:r w:rsidRPr="009A7163">
              <w:t>16</w:t>
            </w:r>
          </w:p>
        </w:tc>
        <w:tc>
          <w:tcPr>
            <w:tcW w:w="1243" w:type="dxa"/>
          </w:tcPr>
          <w:p w14:paraId="44D28B02" w14:textId="77777777" w:rsidR="002C707D" w:rsidRPr="009A7163" w:rsidRDefault="002C707D" w:rsidP="00293176">
            <w:pPr>
              <w:ind w:hanging="23"/>
              <w:jc w:val="both"/>
            </w:pPr>
            <w:r w:rsidRPr="009A7163">
              <w:t>25</w:t>
            </w:r>
          </w:p>
        </w:tc>
        <w:tc>
          <w:tcPr>
            <w:tcW w:w="1105" w:type="dxa"/>
          </w:tcPr>
          <w:p w14:paraId="5C2B9F7F" w14:textId="77777777" w:rsidR="002C707D" w:rsidRPr="009A7163" w:rsidRDefault="002C707D" w:rsidP="00293176">
            <w:pPr>
              <w:ind w:hanging="23"/>
              <w:jc w:val="both"/>
            </w:pPr>
            <w:r w:rsidRPr="009A7163">
              <w:t>6</w:t>
            </w:r>
          </w:p>
        </w:tc>
        <w:tc>
          <w:tcPr>
            <w:tcW w:w="1030" w:type="dxa"/>
          </w:tcPr>
          <w:p w14:paraId="1092A7D4" w14:textId="77777777" w:rsidR="002C707D" w:rsidRPr="009A7163" w:rsidRDefault="002C707D" w:rsidP="00293176">
            <w:pPr>
              <w:ind w:hanging="23"/>
              <w:jc w:val="both"/>
            </w:pPr>
            <w:r w:rsidRPr="009A7163">
              <w:t>15</w:t>
            </w:r>
          </w:p>
        </w:tc>
        <w:tc>
          <w:tcPr>
            <w:tcW w:w="723" w:type="dxa"/>
          </w:tcPr>
          <w:p w14:paraId="653D1793" w14:textId="77777777" w:rsidR="002C707D" w:rsidRPr="009A7163" w:rsidRDefault="002C707D" w:rsidP="00293176">
            <w:pPr>
              <w:ind w:hanging="23"/>
              <w:jc w:val="both"/>
            </w:pPr>
            <w:r w:rsidRPr="009A7163">
              <w:t>84</w:t>
            </w:r>
          </w:p>
        </w:tc>
      </w:tr>
      <w:tr w:rsidR="002C707D" w:rsidRPr="009A7163" w14:paraId="4D9AF9EB" w14:textId="77777777" w:rsidTr="00CB5642">
        <w:trPr>
          <w:trHeight w:val="242"/>
        </w:trPr>
        <w:tc>
          <w:tcPr>
            <w:tcW w:w="1401" w:type="dxa"/>
          </w:tcPr>
          <w:p w14:paraId="694FAC30" w14:textId="77777777" w:rsidR="002C707D" w:rsidRPr="009A7163" w:rsidRDefault="002C707D" w:rsidP="00293176">
            <w:pPr>
              <w:ind w:hanging="23"/>
              <w:jc w:val="both"/>
            </w:pPr>
            <w:r w:rsidRPr="009A7163">
              <w:t>Sample</w:t>
            </w:r>
          </w:p>
        </w:tc>
        <w:tc>
          <w:tcPr>
            <w:tcW w:w="1245" w:type="dxa"/>
          </w:tcPr>
          <w:p w14:paraId="308D8CF9" w14:textId="77777777" w:rsidR="002C707D" w:rsidRPr="009A7163" w:rsidRDefault="002C707D" w:rsidP="00293176">
            <w:pPr>
              <w:ind w:hanging="23"/>
              <w:jc w:val="both"/>
            </w:pPr>
            <w:r w:rsidRPr="009A7163">
              <w:t>11</w:t>
            </w:r>
          </w:p>
        </w:tc>
        <w:tc>
          <w:tcPr>
            <w:tcW w:w="1170" w:type="dxa"/>
          </w:tcPr>
          <w:p w14:paraId="4165F6A3" w14:textId="77777777" w:rsidR="002C707D" w:rsidRPr="009A7163" w:rsidRDefault="002C707D" w:rsidP="00293176">
            <w:pPr>
              <w:ind w:hanging="23"/>
              <w:jc w:val="both"/>
            </w:pPr>
            <w:r w:rsidRPr="009A7163">
              <w:t>4</w:t>
            </w:r>
          </w:p>
        </w:tc>
        <w:tc>
          <w:tcPr>
            <w:tcW w:w="1243" w:type="dxa"/>
          </w:tcPr>
          <w:p w14:paraId="7FB39E4F" w14:textId="77777777" w:rsidR="002C707D" w:rsidRPr="009A7163" w:rsidRDefault="002C707D" w:rsidP="00293176">
            <w:pPr>
              <w:ind w:hanging="23"/>
              <w:jc w:val="both"/>
            </w:pPr>
            <w:r w:rsidRPr="009A7163">
              <w:t>11</w:t>
            </w:r>
          </w:p>
        </w:tc>
        <w:tc>
          <w:tcPr>
            <w:tcW w:w="1105" w:type="dxa"/>
          </w:tcPr>
          <w:p w14:paraId="28CD2766" w14:textId="77777777" w:rsidR="002C707D" w:rsidRPr="009A7163" w:rsidRDefault="002C707D" w:rsidP="00293176">
            <w:pPr>
              <w:ind w:hanging="23"/>
              <w:jc w:val="both"/>
            </w:pPr>
            <w:r w:rsidRPr="009A7163">
              <w:t>10</w:t>
            </w:r>
          </w:p>
        </w:tc>
        <w:tc>
          <w:tcPr>
            <w:tcW w:w="1030" w:type="dxa"/>
          </w:tcPr>
          <w:p w14:paraId="616D40B4" w14:textId="77777777" w:rsidR="002C707D" w:rsidRPr="009A7163" w:rsidRDefault="002C707D" w:rsidP="00293176">
            <w:pPr>
              <w:ind w:hanging="23"/>
              <w:jc w:val="both"/>
            </w:pPr>
          </w:p>
        </w:tc>
        <w:tc>
          <w:tcPr>
            <w:tcW w:w="723" w:type="dxa"/>
          </w:tcPr>
          <w:p w14:paraId="375832A0" w14:textId="77777777" w:rsidR="002C707D" w:rsidRPr="009A7163" w:rsidRDefault="002C707D" w:rsidP="00293176">
            <w:pPr>
              <w:ind w:hanging="23"/>
              <w:jc w:val="both"/>
            </w:pPr>
          </w:p>
        </w:tc>
      </w:tr>
    </w:tbl>
    <w:p w14:paraId="25193E7A" w14:textId="37FF3C3E" w:rsidR="002C707D" w:rsidRPr="009A7163" w:rsidRDefault="002C707D" w:rsidP="00663534">
      <w:pPr>
        <w:pStyle w:val="TableTOC"/>
        <w:spacing w:before="360"/>
        <w:rPr>
          <w:lang w:val="en-GB"/>
        </w:rPr>
      </w:pPr>
      <w:bookmarkStart w:id="54" w:name="_Toc526710009"/>
      <w:r w:rsidRPr="009A7163">
        <w:rPr>
          <w:lang w:val="en-GB"/>
        </w:rPr>
        <w:t xml:space="preserve">Table </w:t>
      </w:r>
      <w:r w:rsidR="007B69E5" w:rsidRPr="009A7163">
        <w:rPr>
          <w:lang w:val="en-GB"/>
        </w:rPr>
        <w:t>3</w:t>
      </w:r>
      <w:r w:rsidRPr="009A7163">
        <w:rPr>
          <w:lang w:val="en-GB"/>
        </w:rPr>
        <w:t>.5 Achuapa TUS Family Members (Men and Sons/Daughters)</w:t>
      </w:r>
      <w:bookmarkEnd w:id="54"/>
    </w:p>
    <w:tbl>
      <w:tblPr>
        <w:tblStyle w:val="TableGrid1"/>
        <w:tblW w:w="0" w:type="auto"/>
        <w:tblLook w:val="04A0" w:firstRow="1" w:lastRow="0" w:firstColumn="1" w:lastColumn="0" w:noHBand="0" w:noVBand="1"/>
      </w:tblPr>
      <w:tblGrid>
        <w:gridCol w:w="1401"/>
        <w:gridCol w:w="1245"/>
        <w:gridCol w:w="1170"/>
        <w:gridCol w:w="1243"/>
        <w:gridCol w:w="1105"/>
        <w:gridCol w:w="1203"/>
        <w:gridCol w:w="723"/>
      </w:tblGrid>
      <w:tr w:rsidR="002C707D" w:rsidRPr="009A7163" w14:paraId="77756665" w14:textId="77777777" w:rsidTr="00CB5642">
        <w:trPr>
          <w:trHeight w:val="701"/>
        </w:trPr>
        <w:tc>
          <w:tcPr>
            <w:tcW w:w="1401" w:type="dxa"/>
          </w:tcPr>
          <w:p w14:paraId="547E986C" w14:textId="77777777" w:rsidR="002C707D" w:rsidRPr="009A7163" w:rsidRDefault="002C707D" w:rsidP="00293176">
            <w:pPr>
              <w:jc w:val="both"/>
              <w:rPr>
                <w:b/>
              </w:rPr>
            </w:pPr>
            <w:r w:rsidRPr="009A7163">
              <w:rPr>
                <w:b/>
              </w:rPr>
              <w:t>Timeframe</w:t>
            </w:r>
          </w:p>
        </w:tc>
        <w:tc>
          <w:tcPr>
            <w:tcW w:w="1245" w:type="dxa"/>
          </w:tcPr>
          <w:p w14:paraId="17AA59BA" w14:textId="77777777" w:rsidR="002C707D" w:rsidRPr="009A7163" w:rsidRDefault="002C707D" w:rsidP="00293176">
            <w:pPr>
              <w:jc w:val="both"/>
            </w:pPr>
            <w:r w:rsidRPr="009A7163">
              <w:rPr>
                <w:b/>
              </w:rPr>
              <w:t>Post- harvest</w:t>
            </w:r>
          </w:p>
        </w:tc>
        <w:tc>
          <w:tcPr>
            <w:tcW w:w="1170" w:type="dxa"/>
          </w:tcPr>
          <w:p w14:paraId="7D40FD06" w14:textId="77777777" w:rsidR="002C707D" w:rsidRPr="009A7163" w:rsidRDefault="002C707D" w:rsidP="00293176">
            <w:pPr>
              <w:jc w:val="both"/>
            </w:pPr>
            <w:r w:rsidRPr="009A7163">
              <w:rPr>
                <w:b/>
              </w:rPr>
              <w:t>Non-harvest</w:t>
            </w:r>
          </w:p>
        </w:tc>
        <w:tc>
          <w:tcPr>
            <w:tcW w:w="1243" w:type="dxa"/>
          </w:tcPr>
          <w:p w14:paraId="4137C1D2" w14:textId="77777777" w:rsidR="002C707D" w:rsidRPr="009A7163" w:rsidRDefault="002C707D" w:rsidP="00293176">
            <w:pPr>
              <w:jc w:val="both"/>
            </w:pPr>
            <w:r w:rsidRPr="009A7163">
              <w:rPr>
                <w:b/>
              </w:rPr>
              <w:t>Harvest (Drought</w:t>
            </w:r>
            <w:r w:rsidRPr="009A7163">
              <w:t>)</w:t>
            </w:r>
          </w:p>
        </w:tc>
        <w:tc>
          <w:tcPr>
            <w:tcW w:w="1105" w:type="dxa"/>
          </w:tcPr>
          <w:p w14:paraId="13136BD6" w14:textId="77777777" w:rsidR="002C707D" w:rsidRPr="009A7163" w:rsidRDefault="002C707D" w:rsidP="00293176">
            <w:pPr>
              <w:jc w:val="both"/>
            </w:pPr>
            <w:r w:rsidRPr="009A7163">
              <w:rPr>
                <w:b/>
              </w:rPr>
              <w:t>Pre -Harvest</w:t>
            </w:r>
          </w:p>
        </w:tc>
        <w:tc>
          <w:tcPr>
            <w:tcW w:w="1203" w:type="dxa"/>
          </w:tcPr>
          <w:p w14:paraId="6B1C9C59" w14:textId="77777777" w:rsidR="002C707D" w:rsidRPr="009A7163" w:rsidRDefault="002C707D" w:rsidP="00293176">
            <w:pPr>
              <w:jc w:val="both"/>
            </w:pPr>
            <w:r w:rsidRPr="009A7163">
              <w:rPr>
                <w:b/>
              </w:rPr>
              <w:t>Harvest</w:t>
            </w:r>
          </w:p>
        </w:tc>
        <w:tc>
          <w:tcPr>
            <w:tcW w:w="723" w:type="dxa"/>
          </w:tcPr>
          <w:p w14:paraId="43A6F798" w14:textId="77777777" w:rsidR="002C707D" w:rsidRPr="009A7163" w:rsidRDefault="002C707D" w:rsidP="00293176">
            <w:pPr>
              <w:jc w:val="both"/>
            </w:pPr>
            <w:r w:rsidRPr="009A7163">
              <w:t>Total</w:t>
            </w:r>
          </w:p>
        </w:tc>
      </w:tr>
      <w:tr w:rsidR="002C707D" w:rsidRPr="009A7163" w14:paraId="513774DD" w14:textId="77777777" w:rsidTr="00CB5642">
        <w:trPr>
          <w:trHeight w:val="242"/>
        </w:trPr>
        <w:tc>
          <w:tcPr>
            <w:tcW w:w="1401" w:type="dxa"/>
          </w:tcPr>
          <w:p w14:paraId="6DE62B46" w14:textId="77777777" w:rsidR="002C707D" w:rsidRPr="009A7163" w:rsidRDefault="002C707D" w:rsidP="00293176">
            <w:pPr>
              <w:jc w:val="both"/>
            </w:pPr>
            <w:r w:rsidRPr="009A7163">
              <w:t>Month(s)</w:t>
            </w:r>
          </w:p>
        </w:tc>
        <w:tc>
          <w:tcPr>
            <w:tcW w:w="1245" w:type="dxa"/>
          </w:tcPr>
          <w:p w14:paraId="3216FC90" w14:textId="77777777" w:rsidR="002C707D" w:rsidRPr="009A7163" w:rsidRDefault="002C707D" w:rsidP="00293176">
            <w:pPr>
              <w:jc w:val="both"/>
            </w:pPr>
            <w:r w:rsidRPr="009A7163">
              <w:t>February 2015</w:t>
            </w:r>
          </w:p>
        </w:tc>
        <w:tc>
          <w:tcPr>
            <w:tcW w:w="1170" w:type="dxa"/>
          </w:tcPr>
          <w:p w14:paraId="36E3FBF3" w14:textId="77777777" w:rsidR="002C707D" w:rsidRPr="009A7163" w:rsidRDefault="002C707D" w:rsidP="00293176">
            <w:pPr>
              <w:jc w:val="both"/>
            </w:pPr>
            <w:r w:rsidRPr="009A7163">
              <w:t>July 2015</w:t>
            </w:r>
          </w:p>
        </w:tc>
        <w:tc>
          <w:tcPr>
            <w:tcW w:w="1243" w:type="dxa"/>
          </w:tcPr>
          <w:p w14:paraId="634578BC" w14:textId="77777777" w:rsidR="002C707D" w:rsidRPr="009A7163" w:rsidRDefault="002C707D" w:rsidP="00293176">
            <w:pPr>
              <w:jc w:val="both"/>
            </w:pPr>
            <w:r w:rsidRPr="009A7163">
              <w:t>November 2015-January 2016</w:t>
            </w:r>
          </w:p>
        </w:tc>
        <w:tc>
          <w:tcPr>
            <w:tcW w:w="1105" w:type="dxa"/>
          </w:tcPr>
          <w:p w14:paraId="7B35ADDE" w14:textId="77777777" w:rsidR="002C707D" w:rsidRPr="009A7163" w:rsidRDefault="002C707D" w:rsidP="00293176">
            <w:pPr>
              <w:jc w:val="both"/>
            </w:pPr>
            <w:r w:rsidRPr="009A7163">
              <w:t>October 2016</w:t>
            </w:r>
          </w:p>
        </w:tc>
        <w:tc>
          <w:tcPr>
            <w:tcW w:w="1203" w:type="dxa"/>
          </w:tcPr>
          <w:p w14:paraId="555C1B3A" w14:textId="77777777" w:rsidR="002C707D" w:rsidRPr="009A7163" w:rsidRDefault="002C707D" w:rsidP="00293176">
            <w:pPr>
              <w:jc w:val="both"/>
            </w:pPr>
            <w:r w:rsidRPr="009A7163">
              <w:t>December 2017</w:t>
            </w:r>
          </w:p>
        </w:tc>
        <w:tc>
          <w:tcPr>
            <w:tcW w:w="723" w:type="dxa"/>
          </w:tcPr>
          <w:p w14:paraId="498D6A65" w14:textId="77777777" w:rsidR="002C707D" w:rsidRPr="009A7163" w:rsidRDefault="002C707D" w:rsidP="00293176">
            <w:pPr>
              <w:jc w:val="both"/>
            </w:pPr>
          </w:p>
        </w:tc>
      </w:tr>
      <w:tr w:rsidR="002C707D" w:rsidRPr="009A7163" w14:paraId="032C4C0A" w14:textId="77777777" w:rsidTr="00CB5642">
        <w:trPr>
          <w:trHeight w:val="242"/>
        </w:trPr>
        <w:tc>
          <w:tcPr>
            <w:tcW w:w="1401" w:type="dxa"/>
          </w:tcPr>
          <w:p w14:paraId="578B29C3" w14:textId="77777777" w:rsidR="002C707D" w:rsidRPr="009A7163" w:rsidRDefault="002C707D" w:rsidP="00293176">
            <w:pPr>
              <w:jc w:val="both"/>
            </w:pPr>
            <w:r w:rsidRPr="009A7163">
              <w:t>Survey Type</w:t>
            </w:r>
          </w:p>
        </w:tc>
        <w:tc>
          <w:tcPr>
            <w:tcW w:w="1245" w:type="dxa"/>
          </w:tcPr>
          <w:p w14:paraId="10CDF1C3" w14:textId="77777777" w:rsidR="002C707D" w:rsidRPr="009A7163" w:rsidRDefault="002C707D" w:rsidP="00293176">
            <w:pPr>
              <w:jc w:val="both"/>
            </w:pPr>
            <w:r w:rsidRPr="009A7163">
              <w:t>TUS 1</w:t>
            </w:r>
          </w:p>
        </w:tc>
        <w:tc>
          <w:tcPr>
            <w:tcW w:w="1170" w:type="dxa"/>
          </w:tcPr>
          <w:p w14:paraId="47C08A19" w14:textId="77777777" w:rsidR="002C707D" w:rsidRPr="009A7163" w:rsidRDefault="002C707D" w:rsidP="00293176">
            <w:pPr>
              <w:jc w:val="both"/>
            </w:pPr>
            <w:r w:rsidRPr="009A7163">
              <w:t>TUS 2</w:t>
            </w:r>
          </w:p>
        </w:tc>
        <w:tc>
          <w:tcPr>
            <w:tcW w:w="1243" w:type="dxa"/>
          </w:tcPr>
          <w:p w14:paraId="407ECD21" w14:textId="77777777" w:rsidR="002C707D" w:rsidRPr="009A7163" w:rsidRDefault="002C707D" w:rsidP="00293176">
            <w:pPr>
              <w:jc w:val="both"/>
            </w:pPr>
            <w:r w:rsidRPr="009A7163">
              <w:t>TUVI 1</w:t>
            </w:r>
          </w:p>
        </w:tc>
        <w:tc>
          <w:tcPr>
            <w:tcW w:w="1105" w:type="dxa"/>
          </w:tcPr>
          <w:p w14:paraId="5B9041FB" w14:textId="77777777" w:rsidR="002C707D" w:rsidRPr="009A7163" w:rsidRDefault="002C707D" w:rsidP="00293176">
            <w:pPr>
              <w:jc w:val="both"/>
            </w:pPr>
            <w:r w:rsidRPr="009A7163">
              <w:t>TUVI 2</w:t>
            </w:r>
          </w:p>
        </w:tc>
        <w:tc>
          <w:tcPr>
            <w:tcW w:w="1203" w:type="dxa"/>
          </w:tcPr>
          <w:p w14:paraId="48400F9A" w14:textId="77777777" w:rsidR="002C707D" w:rsidRPr="009A7163" w:rsidRDefault="002C707D" w:rsidP="00293176">
            <w:pPr>
              <w:jc w:val="both"/>
            </w:pPr>
            <w:r w:rsidRPr="009A7163">
              <w:t>TUVI 2</w:t>
            </w:r>
          </w:p>
        </w:tc>
        <w:tc>
          <w:tcPr>
            <w:tcW w:w="723" w:type="dxa"/>
          </w:tcPr>
          <w:p w14:paraId="5CA3637B" w14:textId="77777777" w:rsidR="002C707D" w:rsidRPr="009A7163" w:rsidRDefault="002C707D" w:rsidP="00293176">
            <w:pPr>
              <w:jc w:val="both"/>
            </w:pPr>
          </w:p>
        </w:tc>
      </w:tr>
      <w:tr w:rsidR="002C707D" w:rsidRPr="009A7163" w14:paraId="568E7AD2" w14:textId="77777777" w:rsidTr="00CB5642">
        <w:trPr>
          <w:trHeight w:val="242"/>
        </w:trPr>
        <w:tc>
          <w:tcPr>
            <w:tcW w:w="1401" w:type="dxa"/>
          </w:tcPr>
          <w:p w14:paraId="556DD3C1" w14:textId="77777777" w:rsidR="002C707D" w:rsidRPr="009A7163" w:rsidRDefault="002C707D" w:rsidP="00293176">
            <w:pPr>
              <w:jc w:val="both"/>
            </w:pPr>
            <w:r w:rsidRPr="009A7163">
              <w:t xml:space="preserve">Overall group </w:t>
            </w:r>
          </w:p>
        </w:tc>
        <w:tc>
          <w:tcPr>
            <w:tcW w:w="1245" w:type="dxa"/>
          </w:tcPr>
          <w:p w14:paraId="71616ED3" w14:textId="77777777" w:rsidR="002C707D" w:rsidRPr="009A7163" w:rsidRDefault="002C707D" w:rsidP="00293176">
            <w:pPr>
              <w:jc w:val="both"/>
            </w:pPr>
            <w:r w:rsidRPr="009A7163">
              <w:t>30</w:t>
            </w:r>
          </w:p>
        </w:tc>
        <w:tc>
          <w:tcPr>
            <w:tcW w:w="1170" w:type="dxa"/>
          </w:tcPr>
          <w:p w14:paraId="41E59215" w14:textId="77777777" w:rsidR="002C707D" w:rsidRPr="009A7163" w:rsidRDefault="002C707D" w:rsidP="00293176">
            <w:pPr>
              <w:jc w:val="both"/>
            </w:pPr>
            <w:r w:rsidRPr="009A7163">
              <w:t>14</w:t>
            </w:r>
          </w:p>
        </w:tc>
        <w:tc>
          <w:tcPr>
            <w:tcW w:w="1243" w:type="dxa"/>
          </w:tcPr>
          <w:p w14:paraId="1F220C2B" w14:textId="77777777" w:rsidR="002C707D" w:rsidRPr="009A7163" w:rsidRDefault="002C707D" w:rsidP="00293176">
            <w:pPr>
              <w:jc w:val="both"/>
            </w:pPr>
            <w:r w:rsidRPr="009A7163">
              <w:t>7</w:t>
            </w:r>
          </w:p>
        </w:tc>
        <w:tc>
          <w:tcPr>
            <w:tcW w:w="1105" w:type="dxa"/>
          </w:tcPr>
          <w:p w14:paraId="78398D9B" w14:textId="77777777" w:rsidR="002C707D" w:rsidRPr="009A7163" w:rsidRDefault="002C707D" w:rsidP="00293176">
            <w:pPr>
              <w:jc w:val="both"/>
            </w:pPr>
          </w:p>
        </w:tc>
        <w:tc>
          <w:tcPr>
            <w:tcW w:w="1203" w:type="dxa"/>
          </w:tcPr>
          <w:p w14:paraId="52FA7828" w14:textId="77777777" w:rsidR="002C707D" w:rsidRPr="009A7163" w:rsidRDefault="002C707D" w:rsidP="00293176">
            <w:pPr>
              <w:jc w:val="both"/>
            </w:pPr>
            <w:r w:rsidRPr="009A7163">
              <w:t>4</w:t>
            </w:r>
          </w:p>
        </w:tc>
        <w:tc>
          <w:tcPr>
            <w:tcW w:w="723" w:type="dxa"/>
          </w:tcPr>
          <w:p w14:paraId="6DE07251" w14:textId="77777777" w:rsidR="002C707D" w:rsidRPr="009A7163" w:rsidRDefault="002C707D" w:rsidP="00293176">
            <w:pPr>
              <w:jc w:val="both"/>
            </w:pPr>
            <w:r w:rsidRPr="009A7163">
              <w:t>55</w:t>
            </w:r>
          </w:p>
        </w:tc>
      </w:tr>
    </w:tbl>
    <w:p w14:paraId="429E8C85" w14:textId="3720751E" w:rsidR="002C707D" w:rsidRPr="009A7163" w:rsidRDefault="002C707D" w:rsidP="00663534">
      <w:pPr>
        <w:pStyle w:val="TableTOC"/>
        <w:spacing w:before="360"/>
        <w:rPr>
          <w:lang w:val="en-GB"/>
        </w:rPr>
      </w:pPr>
      <w:bookmarkStart w:id="55" w:name="_Toc526710010"/>
      <w:r w:rsidRPr="009A7163">
        <w:rPr>
          <w:lang w:val="en-GB"/>
        </w:rPr>
        <w:t xml:space="preserve">Table </w:t>
      </w:r>
      <w:r w:rsidR="007B69E5" w:rsidRPr="009A7163">
        <w:rPr>
          <w:lang w:val="en-GB"/>
        </w:rPr>
        <w:t>3</w:t>
      </w:r>
      <w:r w:rsidRPr="009A7163">
        <w:rPr>
          <w:lang w:val="en-GB"/>
        </w:rPr>
        <w:t>.6. Number of Research Participants per Qualitative Method Employed (Achuapa)</w:t>
      </w:r>
      <w:bookmarkEnd w:id="55"/>
    </w:p>
    <w:tbl>
      <w:tblPr>
        <w:tblStyle w:val="TableGrid1"/>
        <w:tblW w:w="0" w:type="auto"/>
        <w:tblLook w:val="04A0" w:firstRow="1" w:lastRow="0" w:firstColumn="1" w:lastColumn="0" w:noHBand="0" w:noVBand="1"/>
      </w:tblPr>
      <w:tblGrid>
        <w:gridCol w:w="3775"/>
        <w:gridCol w:w="1035"/>
        <w:gridCol w:w="1035"/>
      </w:tblGrid>
      <w:tr w:rsidR="002C707D" w:rsidRPr="009A7163" w14:paraId="7E155F6B" w14:textId="77777777" w:rsidTr="00293176">
        <w:tc>
          <w:tcPr>
            <w:tcW w:w="3775" w:type="dxa"/>
          </w:tcPr>
          <w:p w14:paraId="5781B58A" w14:textId="77777777" w:rsidR="002C707D" w:rsidRPr="009A7163" w:rsidRDefault="002C707D" w:rsidP="00293176">
            <w:pPr>
              <w:jc w:val="both"/>
              <w:rPr>
                <w:b/>
              </w:rPr>
            </w:pPr>
            <w:r w:rsidRPr="009A7163">
              <w:rPr>
                <w:b/>
              </w:rPr>
              <w:t>Qualitative methods</w:t>
            </w:r>
          </w:p>
        </w:tc>
        <w:tc>
          <w:tcPr>
            <w:tcW w:w="1035" w:type="dxa"/>
          </w:tcPr>
          <w:p w14:paraId="261E4634" w14:textId="77777777" w:rsidR="002C707D" w:rsidRPr="009A7163" w:rsidRDefault="002C707D" w:rsidP="00293176">
            <w:pPr>
              <w:jc w:val="both"/>
              <w:rPr>
                <w:b/>
              </w:rPr>
            </w:pPr>
            <w:r w:rsidRPr="009A7163">
              <w:rPr>
                <w:b/>
              </w:rPr>
              <w:t>Women</w:t>
            </w:r>
          </w:p>
        </w:tc>
        <w:tc>
          <w:tcPr>
            <w:tcW w:w="1035" w:type="dxa"/>
          </w:tcPr>
          <w:p w14:paraId="7277EEE9" w14:textId="77777777" w:rsidR="002C707D" w:rsidRPr="009A7163" w:rsidRDefault="002C707D" w:rsidP="00293176">
            <w:pPr>
              <w:jc w:val="both"/>
              <w:rPr>
                <w:b/>
              </w:rPr>
            </w:pPr>
            <w:r w:rsidRPr="009A7163">
              <w:rPr>
                <w:b/>
              </w:rPr>
              <w:t>Men</w:t>
            </w:r>
          </w:p>
        </w:tc>
      </w:tr>
      <w:tr w:rsidR="002C707D" w:rsidRPr="009A7163" w14:paraId="5A7F129F" w14:textId="77777777" w:rsidTr="00293176">
        <w:trPr>
          <w:trHeight w:val="332"/>
        </w:trPr>
        <w:tc>
          <w:tcPr>
            <w:tcW w:w="3775" w:type="dxa"/>
          </w:tcPr>
          <w:p w14:paraId="6CCAF067" w14:textId="7339CCD9" w:rsidR="002C707D" w:rsidRPr="009A7163" w:rsidRDefault="002C707D" w:rsidP="00293176">
            <w:pPr>
              <w:jc w:val="both"/>
            </w:pPr>
            <w:r w:rsidRPr="009A7163">
              <w:t>Focus group</w:t>
            </w:r>
            <w:r w:rsidR="00FA1756" w:rsidRPr="009A7163">
              <w:t xml:space="preserve"> </w:t>
            </w:r>
            <w:r w:rsidRPr="009A7163">
              <w:t>(February 6, 2015)</w:t>
            </w:r>
          </w:p>
        </w:tc>
        <w:tc>
          <w:tcPr>
            <w:tcW w:w="1035" w:type="dxa"/>
          </w:tcPr>
          <w:p w14:paraId="407593DB" w14:textId="77777777" w:rsidR="002C707D" w:rsidRPr="009A7163" w:rsidRDefault="002C707D" w:rsidP="00293176">
            <w:pPr>
              <w:jc w:val="both"/>
            </w:pPr>
            <w:r w:rsidRPr="009A7163">
              <w:t>12</w:t>
            </w:r>
          </w:p>
        </w:tc>
        <w:tc>
          <w:tcPr>
            <w:tcW w:w="1035" w:type="dxa"/>
          </w:tcPr>
          <w:p w14:paraId="79B61CE2" w14:textId="77777777" w:rsidR="002C707D" w:rsidRPr="009A7163" w:rsidRDefault="002C707D" w:rsidP="00293176">
            <w:pPr>
              <w:jc w:val="both"/>
            </w:pPr>
            <w:r w:rsidRPr="009A7163">
              <w:t>12</w:t>
            </w:r>
          </w:p>
        </w:tc>
      </w:tr>
      <w:tr w:rsidR="002C707D" w:rsidRPr="009A7163" w14:paraId="46471CBE" w14:textId="77777777" w:rsidTr="00293176">
        <w:tc>
          <w:tcPr>
            <w:tcW w:w="3775" w:type="dxa"/>
          </w:tcPr>
          <w:p w14:paraId="57FA35CD" w14:textId="2D0F6A60" w:rsidR="002C707D" w:rsidRPr="009A7163" w:rsidRDefault="002C707D" w:rsidP="00B3410C">
            <w:pPr>
              <w:jc w:val="both"/>
            </w:pPr>
            <w:r w:rsidRPr="009A7163">
              <w:t>Semi</w:t>
            </w:r>
            <w:r w:rsidR="00B3410C" w:rsidRPr="009A7163">
              <w:t>-</w:t>
            </w:r>
            <w:r w:rsidRPr="009A7163">
              <w:t>structured Interviews</w:t>
            </w:r>
          </w:p>
        </w:tc>
        <w:tc>
          <w:tcPr>
            <w:tcW w:w="1035" w:type="dxa"/>
          </w:tcPr>
          <w:p w14:paraId="34EEE3B9" w14:textId="77777777" w:rsidR="002C707D" w:rsidRPr="009A7163" w:rsidRDefault="002C707D" w:rsidP="00293176">
            <w:pPr>
              <w:jc w:val="both"/>
            </w:pPr>
            <w:r w:rsidRPr="009A7163">
              <w:t>20</w:t>
            </w:r>
          </w:p>
        </w:tc>
        <w:tc>
          <w:tcPr>
            <w:tcW w:w="1035" w:type="dxa"/>
          </w:tcPr>
          <w:p w14:paraId="4BA2F969" w14:textId="77777777" w:rsidR="002C707D" w:rsidRPr="009A7163" w:rsidRDefault="002C707D" w:rsidP="00293176">
            <w:pPr>
              <w:jc w:val="both"/>
            </w:pPr>
            <w:r w:rsidRPr="009A7163">
              <w:t>0</w:t>
            </w:r>
          </w:p>
        </w:tc>
      </w:tr>
    </w:tbl>
    <w:p w14:paraId="2BEC40D2" w14:textId="2B648B9D" w:rsidR="002C707D" w:rsidRPr="009A7163" w:rsidRDefault="002C707D" w:rsidP="00293176">
      <w:pPr>
        <w:spacing w:before="360" w:line="360" w:lineRule="auto"/>
        <w:ind w:firstLine="720"/>
        <w:jc w:val="both"/>
        <w:rPr>
          <w:bCs/>
        </w:rPr>
      </w:pPr>
      <w:r w:rsidRPr="009A7163">
        <w:rPr>
          <w:bCs/>
        </w:rPr>
        <w:t xml:space="preserve">Men and women were divided into two separate focus groups in order to create a safe place to share </w:t>
      </w:r>
      <w:r w:rsidR="00A5664D" w:rsidRPr="009A7163">
        <w:rPr>
          <w:bCs/>
        </w:rPr>
        <w:t>that</w:t>
      </w:r>
      <w:r w:rsidRPr="009A7163">
        <w:rPr>
          <w:bCs/>
        </w:rPr>
        <w:t xml:space="preserve"> would be not be marred by gender equalities and domination. It was also very interesting to see the difference in how work was reported by the men’s group and also of partners. This was emphas</w:t>
      </w:r>
      <w:r w:rsidR="00C95A06" w:rsidRPr="009A7163">
        <w:rPr>
          <w:bCs/>
        </w:rPr>
        <w:t>ise</w:t>
      </w:r>
      <w:r w:rsidRPr="009A7163">
        <w:rPr>
          <w:bCs/>
        </w:rPr>
        <w:t>d even more as we ran the focus groups back-to-back and could remember whose partner said what</w:t>
      </w:r>
      <w:r w:rsidR="00A5664D" w:rsidRPr="009A7163">
        <w:rPr>
          <w:bCs/>
        </w:rPr>
        <w:t xml:space="preserve"> and</w:t>
      </w:r>
      <w:r w:rsidRPr="009A7163">
        <w:rPr>
          <w:bCs/>
        </w:rPr>
        <w:t xml:space="preserve"> cross</w:t>
      </w:r>
      <w:r w:rsidR="00A5664D" w:rsidRPr="009A7163">
        <w:rPr>
          <w:bCs/>
        </w:rPr>
        <w:t>-</w:t>
      </w:r>
      <w:r w:rsidRPr="009A7163">
        <w:rPr>
          <w:bCs/>
        </w:rPr>
        <w:t>check</w:t>
      </w:r>
      <w:r w:rsidR="00A5664D" w:rsidRPr="009A7163">
        <w:rPr>
          <w:bCs/>
        </w:rPr>
        <w:t>ed</w:t>
      </w:r>
      <w:r w:rsidRPr="009A7163">
        <w:rPr>
          <w:bCs/>
        </w:rPr>
        <w:t xml:space="preserve"> ideas on roles, responsibilities and who does what. Whilst the men or the women were in the focus group where they were asked </w:t>
      </w:r>
      <w:r w:rsidR="00A5664D" w:rsidRPr="009A7163">
        <w:rPr>
          <w:bCs/>
        </w:rPr>
        <w:t xml:space="preserve">direct and indirect </w:t>
      </w:r>
      <w:r w:rsidRPr="009A7163">
        <w:rPr>
          <w:bCs/>
        </w:rPr>
        <w:t>questions about the kinds of work they do in relation to sesame and how much estimated time each activity takes</w:t>
      </w:r>
      <w:r w:rsidR="00A5664D" w:rsidRPr="009A7163">
        <w:rPr>
          <w:bCs/>
        </w:rPr>
        <w:t>,</w:t>
      </w:r>
      <w:r w:rsidRPr="009A7163">
        <w:rPr>
          <w:bCs/>
        </w:rPr>
        <w:t xml:space="preserve"> the other group undertook group exercises to map out the agricultural cycle for sesame month-by-month and the key tasks that they undertake for each stage of this cycle. </w:t>
      </w:r>
    </w:p>
    <w:p w14:paraId="217F9294" w14:textId="1CA434A1" w:rsidR="002C707D" w:rsidRPr="009A7163" w:rsidRDefault="002C707D" w:rsidP="002C707D">
      <w:pPr>
        <w:spacing w:line="360" w:lineRule="auto"/>
        <w:ind w:firstLine="720"/>
        <w:jc w:val="both"/>
        <w:rPr>
          <w:bCs/>
        </w:rPr>
      </w:pPr>
      <w:r w:rsidRPr="009A7163">
        <w:rPr>
          <w:bCs/>
        </w:rPr>
        <w:lastRenderedPageBreak/>
        <w:t>The focus groups were guided</w:t>
      </w:r>
      <w:r w:rsidR="00213104" w:rsidRPr="009A7163">
        <w:rPr>
          <w:bCs/>
        </w:rPr>
        <w:t xml:space="preserve"> by 11 questions (see </w:t>
      </w:r>
      <w:r w:rsidR="00B720FD" w:rsidRPr="009A7163">
        <w:rPr>
          <w:bCs/>
        </w:rPr>
        <w:t>A</w:t>
      </w:r>
      <w:r w:rsidR="004D06D8" w:rsidRPr="009A7163">
        <w:rPr>
          <w:bCs/>
        </w:rPr>
        <w:t>ppendix G</w:t>
      </w:r>
      <w:r w:rsidRPr="009A7163">
        <w:rPr>
          <w:bCs/>
        </w:rPr>
        <w:t>) and although we estimated an hour for each on</w:t>
      </w:r>
      <w:r w:rsidR="00A5664D" w:rsidRPr="009A7163">
        <w:rPr>
          <w:bCs/>
        </w:rPr>
        <w:t>e</w:t>
      </w:r>
      <w:r w:rsidRPr="009A7163">
        <w:rPr>
          <w:bCs/>
        </w:rPr>
        <w:t>, the men took two hours (double that of the women’s)</w:t>
      </w:r>
      <w:r w:rsidR="00A5664D" w:rsidRPr="009A7163">
        <w:rPr>
          <w:bCs/>
        </w:rPr>
        <w:t>,</w:t>
      </w:r>
      <w:r w:rsidRPr="009A7163">
        <w:rPr>
          <w:bCs/>
        </w:rPr>
        <w:t xml:space="preserve"> which is perhaps due to two reasons: </w:t>
      </w:r>
      <w:r w:rsidR="00A5664D" w:rsidRPr="009A7163">
        <w:rPr>
          <w:bCs/>
        </w:rPr>
        <w:t>F</w:t>
      </w:r>
      <w:r w:rsidRPr="009A7163">
        <w:rPr>
          <w:bCs/>
        </w:rPr>
        <w:t xml:space="preserve">irstly, this was the first time in the research process </w:t>
      </w:r>
      <w:r w:rsidR="00A5664D" w:rsidRPr="009A7163">
        <w:rPr>
          <w:bCs/>
        </w:rPr>
        <w:t>in which</w:t>
      </w:r>
      <w:r w:rsidRPr="009A7163">
        <w:rPr>
          <w:bCs/>
        </w:rPr>
        <w:t xml:space="preserve"> a group discussion was held with the men and</w:t>
      </w:r>
      <w:r w:rsidR="00A5664D" w:rsidRPr="009A7163">
        <w:rPr>
          <w:bCs/>
        </w:rPr>
        <w:t>,</w:t>
      </w:r>
      <w:r w:rsidRPr="009A7163">
        <w:rPr>
          <w:bCs/>
        </w:rPr>
        <w:t xml:space="preserve"> for some</w:t>
      </w:r>
      <w:r w:rsidR="00A5664D" w:rsidRPr="009A7163">
        <w:rPr>
          <w:bCs/>
        </w:rPr>
        <w:t xml:space="preserve"> men,</w:t>
      </w:r>
      <w:r w:rsidRPr="009A7163">
        <w:rPr>
          <w:bCs/>
        </w:rPr>
        <w:t xml:space="preserve"> the first time th</w:t>
      </w:r>
      <w:r w:rsidR="00A5664D" w:rsidRPr="009A7163">
        <w:rPr>
          <w:bCs/>
        </w:rPr>
        <w:t>ey</w:t>
      </w:r>
      <w:r w:rsidRPr="009A7163">
        <w:rPr>
          <w:bCs/>
        </w:rPr>
        <w:t xml:space="preserve"> had reflected on the subject matter</w:t>
      </w:r>
      <w:r w:rsidR="00A5664D" w:rsidRPr="009A7163">
        <w:rPr>
          <w:bCs/>
        </w:rPr>
        <w:t>.</w:t>
      </w:r>
      <w:r w:rsidRPr="009A7163">
        <w:rPr>
          <w:bCs/>
        </w:rPr>
        <w:t xml:space="preserve"> </w:t>
      </w:r>
      <w:r w:rsidR="00A5664D" w:rsidRPr="009A7163">
        <w:rPr>
          <w:bCs/>
        </w:rPr>
        <w:t>S</w:t>
      </w:r>
      <w:r w:rsidRPr="009A7163">
        <w:rPr>
          <w:bCs/>
        </w:rPr>
        <w:t>econdly</w:t>
      </w:r>
      <w:r w:rsidR="00A5664D" w:rsidRPr="009A7163">
        <w:rPr>
          <w:bCs/>
        </w:rPr>
        <w:t>,</w:t>
      </w:r>
      <w:r w:rsidRPr="009A7163">
        <w:rPr>
          <w:bCs/>
        </w:rPr>
        <w:t xml:space="preserve"> children </w:t>
      </w:r>
      <w:r w:rsidR="00A5664D" w:rsidRPr="009A7163">
        <w:rPr>
          <w:bCs/>
        </w:rPr>
        <w:t>and</w:t>
      </w:r>
      <w:r w:rsidRPr="009A7163">
        <w:rPr>
          <w:bCs/>
        </w:rPr>
        <w:t xml:space="preserve"> babies </w:t>
      </w:r>
      <w:r w:rsidR="00A5664D" w:rsidRPr="009A7163">
        <w:rPr>
          <w:bCs/>
        </w:rPr>
        <w:t xml:space="preserve">were not </w:t>
      </w:r>
      <w:r w:rsidRPr="009A7163">
        <w:rPr>
          <w:bCs/>
        </w:rPr>
        <w:t xml:space="preserve">present. The women’s focus group </w:t>
      </w:r>
      <w:r w:rsidR="00A5664D" w:rsidRPr="009A7163">
        <w:rPr>
          <w:bCs/>
        </w:rPr>
        <w:t xml:space="preserve">felt repetitive in that some of the </w:t>
      </w:r>
      <w:r w:rsidRPr="009A7163">
        <w:rPr>
          <w:bCs/>
        </w:rPr>
        <w:t>questions</w:t>
      </w:r>
      <w:r w:rsidR="00A5664D" w:rsidRPr="009A7163">
        <w:rPr>
          <w:bCs/>
        </w:rPr>
        <w:t xml:space="preserve"> asked in the focus group had</w:t>
      </w:r>
      <w:r w:rsidRPr="009A7163">
        <w:rPr>
          <w:bCs/>
        </w:rPr>
        <w:t xml:space="preserve"> already </w:t>
      </w:r>
      <w:r w:rsidR="00A5664D" w:rsidRPr="009A7163">
        <w:rPr>
          <w:bCs/>
        </w:rPr>
        <w:t xml:space="preserve">been </w:t>
      </w:r>
      <w:r w:rsidRPr="009A7163">
        <w:rPr>
          <w:bCs/>
        </w:rPr>
        <w:t>dealt with in the semi-structured mini-empowerment interviews (see below)</w:t>
      </w:r>
      <w:r w:rsidR="00A5664D" w:rsidRPr="009A7163">
        <w:rPr>
          <w:bCs/>
        </w:rPr>
        <w:t xml:space="preserve">. Furthermore, there were </w:t>
      </w:r>
      <w:r w:rsidRPr="009A7163">
        <w:rPr>
          <w:bCs/>
        </w:rPr>
        <w:t xml:space="preserve">four young children and a baby present, </w:t>
      </w:r>
      <w:r w:rsidR="00A5664D" w:rsidRPr="009A7163">
        <w:rPr>
          <w:bCs/>
        </w:rPr>
        <w:t>which created a more challenging environment, as there</w:t>
      </w:r>
      <w:r w:rsidRPr="009A7163">
        <w:rPr>
          <w:bCs/>
        </w:rPr>
        <w:t xml:space="preserve"> w</w:t>
      </w:r>
      <w:r w:rsidR="00A5664D" w:rsidRPr="009A7163">
        <w:rPr>
          <w:bCs/>
        </w:rPr>
        <w:t>ere</w:t>
      </w:r>
      <w:r w:rsidRPr="009A7163">
        <w:rPr>
          <w:bCs/>
        </w:rPr>
        <w:t xml:space="preserve"> a lot of distractions and noise whilst the women undertook care work simultaneously. This was a marked difference from the men’s focus group w</w:t>
      </w:r>
      <w:r w:rsidR="00A5664D" w:rsidRPr="009A7163">
        <w:rPr>
          <w:bCs/>
        </w:rPr>
        <w:t>h</w:t>
      </w:r>
      <w:r w:rsidRPr="009A7163">
        <w:rPr>
          <w:bCs/>
        </w:rPr>
        <w:t>ere no children were present.</w:t>
      </w:r>
    </w:p>
    <w:p w14:paraId="36270CE3" w14:textId="77777777" w:rsidR="002C707D" w:rsidRPr="009A7163" w:rsidRDefault="002C707D" w:rsidP="00293176">
      <w:pPr>
        <w:spacing w:after="240" w:line="360" w:lineRule="auto"/>
        <w:ind w:firstLine="720"/>
        <w:jc w:val="both"/>
        <w:rPr>
          <w:bCs/>
        </w:rPr>
      </w:pPr>
      <w:r w:rsidRPr="009A7163">
        <w:rPr>
          <w:bCs/>
        </w:rPr>
        <w:t>In addition to the focus groups, 20 semi-structured mini interviews on empowerment were administrated with the women in the first round of the research after the survey and TUS 1.</w:t>
      </w:r>
    </w:p>
    <w:p w14:paraId="6466357A" w14:textId="7CF9A991" w:rsidR="00430E65" w:rsidRPr="009A7163" w:rsidRDefault="00430E65" w:rsidP="00293176">
      <w:pPr>
        <w:pStyle w:val="Heading4"/>
      </w:pPr>
      <w:bookmarkStart w:id="56" w:name="_Toc526819286"/>
      <w:r w:rsidRPr="009A7163">
        <w:t>3.5.1.3 San Ramón Case Study</w:t>
      </w:r>
      <w:bookmarkEnd w:id="56"/>
    </w:p>
    <w:p w14:paraId="38D1BF76" w14:textId="6283B87D" w:rsidR="002C707D" w:rsidRPr="009A7163" w:rsidRDefault="002C707D" w:rsidP="008C041F">
      <w:pPr>
        <w:spacing w:line="360" w:lineRule="auto"/>
        <w:ind w:firstLine="720"/>
        <w:jc w:val="both"/>
      </w:pPr>
      <w:r w:rsidRPr="009A7163">
        <w:t>While the sample was similar to that of Achuapa in that it was identified with the gender coordinator of the cooperative and involved criterion and maximum variation sampling, it was also distinct from Achuapa as it involved taking a sample from two communities that form part of the municipality of San Ramón. Both cooperatives benefit from a premium for the unpaid work of women. In La Pita, which is a smaller community, eight women are beneficiaries of the project and so were all selected for the sample. In La Reina, there are 21 beneficiaries and so the gender coordinator drew up a list based on the criteria that I had provided that looked for maximum diversity. For the purpose of the study the two communities were grouped together and referred to as San Ramón. The variables that were considered for selection were identical to those listed above for Achuapa. Again, in some cases, special visits were made to obtain survey information if the participant was unavailable in the larger research round. In one of the communities, the participants were at times unwilling to participate due to ‘participant fatigue’ due to the frequency of academics, consultants, and tourists to their community</w:t>
      </w:r>
      <w:r w:rsidR="002D27D9" w:rsidRPr="009A7163">
        <w:t xml:space="preserve"> (Fieldwork Diary San Ramon, January – May 2016)</w:t>
      </w:r>
      <w:r w:rsidRPr="009A7163">
        <w:t>.</w:t>
      </w:r>
      <w:r w:rsidRPr="009A7163">
        <w:rPr>
          <w:vertAlign w:val="superscript"/>
        </w:rPr>
        <w:footnoteReference w:id="59"/>
      </w:r>
    </w:p>
    <w:p w14:paraId="759A0AFE" w14:textId="0CED3887" w:rsidR="002C707D" w:rsidRPr="009A7163" w:rsidRDefault="002C707D" w:rsidP="00293176">
      <w:pPr>
        <w:pStyle w:val="TableTOC"/>
        <w:rPr>
          <w:lang w:val="en-GB"/>
        </w:rPr>
      </w:pPr>
      <w:bookmarkStart w:id="57" w:name="_Toc526710011"/>
      <w:r w:rsidRPr="009A7163">
        <w:rPr>
          <w:lang w:val="en-GB"/>
        </w:rPr>
        <w:lastRenderedPageBreak/>
        <w:t xml:space="preserve">Table </w:t>
      </w:r>
      <w:r w:rsidR="007B69E5" w:rsidRPr="009A7163">
        <w:rPr>
          <w:lang w:val="en-GB"/>
        </w:rPr>
        <w:t>3</w:t>
      </w:r>
      <w:r w:rsidRPr="009A7163">
        <w:rPr>
          <w:lang w:val="en-GB"/>
        </w:rPr>
        <w:t>.7. Summary of Quantitative Methods (San Ramón)</w:t>
      </w:r>
      <w:bookmarkEnd w:id="57"/>
      <w:r w:rsidRPr="009A7163">
        <w:rPr>
          <w:lang w:val="en-GB"/>
        </w:rPr>
        <w:t xml:space="preserve"> </w:t>
      </w:r>
    </w:p>
    <w:tbl>
      <w:tblPr>
        <w:tblStyle w:val="TableGrid1"/>
        <w:tblW w:w="0" w:type="auto"/>
        <w:tblLook w:val="04A0" w:firstRow="1" w:lastRow="0" w:firstColumn="1" w:lastColumn="0" w:noHBand="0" w:noVBand="1"/>
      </w:tblPr>
      <w:tblGrid>
        <w:gridCol w:w="3003"/>
        <w:gridCol w:w="1402"/>
        <w:gridCol w:w="2700"/>
      </w:tblGrid>
      <w:tr w:rsidR="002C707D" w:rsidRPr="009A7163" w14:paraId="46C47B88" w14:textId="77777777" w:rsidTr="00CB5642">
        <w:tc>
          <w:tcPr>
            <w:tcW w:w="3003" w:type="dxa"/>
          </w:tcPr>
          <w:p w14:paraId="31A49E65" w14:textId="77777777" w:rsidR="002C707D" w:rsidRPr="009A7163" w:rsidRDefault="002C707D" w:rsidP="00293176">
            <w:pPr>
              <w:rPr>
                <w:b/>
              </w:rPr>
            </w:pPr>
            <w:r w:rsidRPr="009A7163">
              <w:rPr>
                <w:b/>
              </w:rPr>
              <w:t>Quantitative methods</w:t>
            </w:r>
          </w:p>
        </w:tc>
        <w:tc>
          <w:tcPr>
            <w:tcW w:w="1402" w:type="dxa"/>
          </w:tcPr>
          <w:p w14:paraId="135D66BB" w14:textId="77777777" w:rsidR="002C707D" w:rsidRPr="009A7163" w:rsidRDefault="002C707D" w:rsidP="00293176">
            <w:pPr>
              <w:rPr>
                <w:b/>
              </w:rPr>
            </w:pPr>
            <w:r w:rsidRPr="009A7163">
              <w:rPr>
                <w:b/>
              </w:rPr>
              <w:t>Women</w:t>
            </w:r>
          </w:p>
        </w:tc>
        <w:tc>
          <w:tcPr>
            <w:tcW w:w="2700" w:type="dxa"/>
          </w:tcPr>
          <w:p w14:paraId="013AC5D7" w14:textId="77777777" w:rsidR="002C707D" w:rsidRPr="009A7163" w:rsidRDefault="002C707D" w:rsidP="00293176">
            <w:pPr>
              <w:rPr>
                <w:b/>
              </w:rPr>
            </w:pPr>
            <w:r w:rsidRPr="009A7163">
              <w:rPr>
                <w:b/>
              </w:rPr>
              <w:t>Other Family Member</w:t>
            </w:r>
          </w:p>
        </w:tc>
      </w:tr>
      <w:tr w:rsidR="002C707D" w:rsidRPr="009A7163" w14:paraId="55477972" w14:textId="77777777" w:rsidTr="00CB5642">
        <w:trPr>
          <w:trHeight w:val="305"/>
        </w:trPr>
        <w:tc>
          <w:tcPr>
            <w:tcW w:w="3003" w:type="dxa"/>
          </w:tcPr>
          <w:p w14:paraId="7AC3F39C" w14:textId="77777777" w:rsidR="002C707D" w:rsidRPr="009A7163" w:rsidRDefault="002C707D" w:rsidP="00293176">
            <w:r w:rsidRPr="009A7163">
              <w:t>Survey (TUS 1)</w:t>
            </w:r>
          </w:p>
        </w:tc>
        <w:tc>
          <w:tcPr>
            <w:tcW w:w="1402" w:type="dxa"/>
          </w:tcPr>
          <w:p w14:paraId="4A659FDB" w14:textId="77777777" w:rsidR="002C707D" w:rsidRPr="009A7163" w:rsidRDefault="002C707D" w:rsidP="00293176">
            <w:r w:rsidRPr="009A7163">
              <w:t>14</w:t>
            </w:r>
          </w:p>
        </w:tc>
        <w:tc>
          <w:tcPr>
            <w:tcW w:w="2700" w:type="dxa"/>
          </w:tcPr>
          <w:p w14:paraId="37B27BE3" w14:textId="77777777" w:rsidR="002C707D" w:rsidRPr="009A7163" w:rsidRDefault="002C707D" w:rsidP="00293176">
            <w:r w:rsidRPr="009A7163">
              <w:t>13</w:t>
            </w:r>
          </w:p>
        </w:tc>
      </w:tr>
      <w:tr w:rsidR="002C707D" w:rsidRPr="009A7163" w14:paraId="4DDA1C98" w14:textId="77777777" w:rsidTr="00CB5642">
        <w:tc>
          <w:tcPr>
            <w:tcW w:w="3003" w:type="dxa"/>
          </w:tcPr>
          <w:p w14:paraId="320AFD48" w14:textId="77777777" w:rsidR="002C707D" w:rsidRPr="009A7163" w:rsidRDefault="002C707D" w:rsidP="00293176">
            <w:r w:rsidRPr="009A7163">
              <w:t>Household Survey</w:t>
            </w:r>
          </w:p>
        </w:tc>
        <w:tc>
          <w:tcPr>
            <w:tcW w:w="1402" w:type="dxa"/>
          </w:tcPr>
          <w:p w14:paraId="6AA37817" w14:textId="77777777" w:rsidR="002C707D" w:rsidRPr="009A7163" w:rsidRDefault="002C707D" w:rsidP="00293176">
            <w:r w:rsidRPr="009A7163">
              <w:t>12</w:t>
            </w:r>
          </w:p>
        </w:tc>
        <w:tc>
          <w:tcPr>
            <w:tcW w:w="2700" w:type="dxa"/>
          </w:tcPr>
          <w:p w14:paraId="1C42E865" w14:textId="77777777" w:rsidR="002C707D" w:rsidRPr="009A7163" w:rsidRDefault="002C707D" w:rsidP="00293176">
            <w:r w:rsidRPr="009A7163">
              <w:t>12</w:t>
            </w:r>
          </w:p>
        </w:tc>
      </w:tr>
      <w:tr w:rsidR="002C707D" w:rsidRPr="009A7163" w14:paraId="4938920E" w14:textId="77777777" w:rsidTr="00CB5642">
        <w:tc>
          <w:tcPr>
            <w:tcW w:w="3003" w:type="dxa"/>
          </w:tcPr>
          <w:p w14:paraId="4387CC02" w14:textId="77777777" w:rsidR="002C707D" w:rsidRPr="009A7163" w:rsidRDefault="002C707D" w:rsidP="00293176">
            <w:r w:rsidRPr="009A7163">
              <w:t>Time Use Survey total</w:t>
            </w:r>
          </w:p>
        </w:tc>
        <w:tc>
          <w:tcPr>
            <w:tcW w:w="1402" w:type="dxa"/>
          </w:tcPr>
          <w:p w14:paraId="4BAA4BEE" w14:textId="77777777" w:rsidR="002C707D" w:rsidRPr="009A7163" w:rsidRDefault="002C707D" w:rsidP="00293176">
            <w:r w:rsidRPr="009A7163">
              <w:t>45</w:t>
            </w:r>
          </w:p>
        </w:tc>
        <w:tc>
          <w:tcPr>
            <w:tcW w:w="2700" w:type="dxa"/>
          </w:tcPr>
          <w:p w14:paraId="5F2FD62E" w14:textId="77777777" w:rsidR="002C707D" w:rsidRPr="009A7163" w:rsidRDefault="002C707D" w:rsidP="00293176">
            <w:r w:rsidRPr="009A7163">
              <w:t>44</w:t>
            </w:r>
          </w:p>
        </w:tc>
      </w:tr>
      <w:tr w:rsidR="002C707D" w:rsidRPr="009A7163" w14:paraId="20002BB7" w14:textId="77777777" w:rsidTr="00CB5642">
        <w:tc>
          <w:tcPr>
            <w:tcW w:w="3003" w:type="dxa"/>
          </w:tcPr>
          <w:p w14:paraId="1A47F9C8" w14:textId="77777777" w:rsidR="002C707D" w:rsidRPr="009A7163" w:rsidRDefault="002C707D" w:rsidP="00293176">
            <w:r w:rsidRPr="009A7163">
              <w:t>Total</w:t>
            </w:r>
          </w:p>
        </w:tc>
        <w:tc>
          <w:tcPr>
            <w:tcW w:w="1402" w:type="dxa"/>
          </w:tcPr>
          <w:p w14:paraId="56462733" w14:textId="77777777" w:rsidR="002C707D" w:rsidRPr="009A7163" w:rsidRDefault="002C707D" w:rsidP="00293176">
            <w:r w:rsidRPr="009A7163">
              <w:t>71</w:t>
            </w:r>
          </w:p>
        </w:tc>
        <w:tc>
          <w:tcPr>
            <w:tcW w:w="2700" w:type="dxa"/>
          </w:tcPr>
          <w:p w14:paraId="5C5ABC8C" w14:textId="77777777" w:rsidR="002C707D" w:rsidRPr="009A7163" w:rsidRDefault="002C707D" w:rsidP="00293176">
            <w:r w:rsidRPr="009A7163">
              <w:t>69</w:t>
            </w:r>
          </w:p>
        </w:tc>
      </w:tr>
    </w:tbl>
    <w:p w14:paraId="1E1AA744" w14:textId="77777777" w:rsidR="00AE6A5B" w:rsidRPr="009A7163" w:rsidRDefault="00AE6A5B" w:rsidP="00AE6A5B">
      <w:pPr>
        <w:spacing w:before="360" w:line="360" w:lineRule="auto"/>
        <w:ind w:firstLine="720"/>
        <w:jc w:val="both"/>
      </w:pPr>
      <w:r w:rsidRPr="009A7163">
        <w:t>For the initial survey, only the women (14 in total) answered the survey questions that preceded the TUS. The questions solicited general information about the participant, their relationship to the cooperative and time in the initiative, household conditions and resources, access to local resources (e.g., transport, shops, clinic), the main agricultural activity/ies of the household and income. For the HCS, the survey was answered by the women (16 in total) and another member of the household (14 in total), as it was of particular interest to gain different perspectives from another person in the household on care, decision making, social norms and perceptions on roles and distribution of work.</w:t>
      </w:r>
    </w:p>
    <w:p w14:paraId="17294762" w14:textId="77777777" w:rsidR="00AE6A5B" w:rsidRDefault="00AE6A5B" w:rsidP="00663534">
      <w:pPr>
        <w:pStyle w:val="TableTOC"/>
        <w:spacing w:before="360"/>
        <w:rPr>
          <w:lang w:val="en-GB"/>
        </w:rPr>
      </w:pPr>
    </w:p>
    <w:p w14:paraId="613C5B56" w14:textId="77777777" w:rsidR="00AE6A5B" w:rsidRDefault="00AE6A5B" w:rsidP="00663534">
      <w:pPr>
        <w:pStyle w:val="TableTOC"/>
        <w:spacing w:before="360"/>
        <w:rPr>
          <w:lang w:val="en-GB"/>
        </w:rPr>
      </w:pPr>
    </w:p>
    <w:p w14:paraId="0A222372" w14:textId="77777777" w:rsidR="00AE6A5B" w:rsidRDefault="00AE6A5B" w:rsidP="00663534">
      <w:pPr>
        <w:pStyle w:val="TableTOC"/>
        <w:spacing w:before="360"/>
        <w:rPr>
          <w:lang w:val="en-GB"/>
        </w:rPr>
      </w:pPr>
    </w:p>
    <w:p w14:paraId="1790FDBC" w14:textId="77777777" w:rsidR="00AE6A5B" w:rsidRDefault="00AE6A5B" w:rsidP="00663534">
      <w:pPr>
        <w:pStyle w:val="TableTOC"/>
        <w:spacing w:before="360"/>
        <w:rPr>
          <w:lang w:val="en-GB"/>
        </w:rPr>
      </w:pPr>
    </w:p>
    <w:p w14:paraId="535348D3" w14:textId="77777777" w:rsidR="00AE6A5B" w:rsidRDefault="00AE6A5B" w:rsidP="00663534">
      <w:pPr>
        <w:pStyle w:val="TableTOC"/>
        <w:spacing w:before="360"/>
        <w:rPr>
          <w:lang w:val="en-GB"/>
        </w:rPr>
      </w:pPr>
    </w:p>
    <w:p w14:paraId="26B9CDD4" w14:textId="77777777" w:rsidR="00AE6A5B" w:rsidRDefault="00AE6A5B" w:rsidP="00663534">
      <w:pPr>
        <w:pStyle w:val="TableTOC"/>
        <w:spacing w:before="360"/>
        <w:rPr>
          <w:lang w:val="en-GB"/>
        </w:rPr>
      </w:pPr>
    </w:p>
    <w:p w14:paraId="5AF2CCA0" w14:textId="77777777" w:rsidR="00AE6A5B" w:rsidRDefault="00AE6A5B" w:rsidP="00663534">
      <w:pPr>
        <w:pStyle w:val="TableTOC"/>
        <w:spacing w:before="360"/>
        <w:rPr>
          <w:lang w:val="en-GB"/>
        </w:rPr>
      </w:pPr>
    </w:p>
    <w:p w14:paraId="66AF03B6" w14:textId="77777777" w:rsidR="00AE6A5B" w:rsidRDefault="00AE6A5B" w:rsidP="00AE6A5B">
      <w:pPr>
        <w:pStyle w:val="NoSpacing1"/>
      </w:pPr>
    </w:p>
    <w:p w14:paraId="3875D0AC" w14:textId="77777777" w:rsidR="00AE6A5B" w:rsidRDefault="00AE6A5B" w:rsidP="00663534">
      <w:pPr>
        <w:pStyle w:val="TableTOC"/>
        <w:spacing w:before="360"/>
        <w:rPr>
          <w:lang w:val="en-GB"/>
        </w:rPr>
      </w:pPr>
    </w:p>
    <w:p w14:paraId="3451006F" w14:textId="0E7EFB27" w:rsidR="002C707D" w:rsidRPr="009A7163" w:rsidRDefault="002C707D" w:rsidP="00663534">
      <w:pPr>
        <w:pStyle w:val="TableTOC"/>
        <w:spacing w:before="360"/>
        <w:rPr>
          <w:lang w:val="en-GB"/>
        </w:rPr>
      </w:pPr>
      <w:bookmarkStart w:id="58" w:name="_Toc526710012"/>
      <w:r w:rsidRPr="009A7163">
        <w:rPr>
          <w:lang w:val="en-GB"/>
        </w:rPr>
        <w:t xml:space="preserve">Table </w:t>
      </w:r>
      <w:r w:rsidR="007B69E5" w:rsidRPr="009A7163">
        <w:rPr>
          <w:lang w:val="en-GB"/>
        </w:rPr>
        <w:t>3</w:t>
      </w:r>
      <w:r w:rsidRPr="009A7163">
        <w:rPr>
          <w:lang w:val="en-GB"/>
        </w:rPr>
        <w:t>.8. Summary of Characteristics of San Ramón Sample (Overall Group)</w:t>
      </w:r>
      <w:bookmarkEnd w:id="58"/>
    </w:p>
    <w:tbl>
      <w:tblPr>
        <w:tblStyle w:val="TableGrid1"/>
        <w:tblW w:w="0" w:type="auto"/>
        <w:tblLook w:val="04A0" w:firstRow="1" w:lastRow="0" w:firstColumn="1" w:lastColumn="0" w:noHBand="0" w:noVBand="1"/>
      </w:tblPr>
      <w:tblGrid>
        <w:gridCol w:w="2155"/>
        <w:gridCol w:w="1170"/>
        <w:gridCol w:w="1350"/>
        <w:gridCol w:w="1530"/>
        <w:gridCol w:w="1170"/>
      </w:tblGrid>
      <w:tr w:rsidR="002C707D" w:rsidRPr="009A7163" w14:paraId="5CAA3527" w14:textId="77777777" w:rsidTr="00CB5642">
        <w:trPr>
          <w:trHeight w:val="780"/>
        </w:trPr>
        <w:tc>
          <w:tcPr>
            <w:tcW w:w="2155" w:type="dxa"/>
            <w:noWrap/>
            <w:hideMark/>
          </w:tcPr>
          <w:p w14:paraId="228A64CA" w14:textId="77777777" w:rsidR="002C707D" w:rsidRPr="009A7163" w:rsidRDefault="002C707D" w:rsidP="00293176"/>
        </w:tc>
        <w:tc>
          <w:tcPr>
            <w:tcW w:w="1170" w:type="dxa"/>
            <w:hideMark/>
          </w:tcPr>
          <w:p w14:paraId="32495148" w14:textId="77777777" w:rsidR="002C707D" w:rsidRPr="009A7163" w:rsidRDefault="002C707D" w:rsidP="00293176">
            <w:pPr>
              <w:rPr>
                <w:b/>
                <w:iCs/>
              </w:rPr>
            </w:pPr>
            <w:r w:rsidRPr="009A7163">
              <w:rPr>
                <w:b/>
                <w:iCs/>
              </w:rPr>
              <w:t>Post Harvest (Feb.15)</w:t>
            </w:r>
          </w:p>
        </w:tc>
        <w:tc>
          <w:tcPr>
            <w:tcW w:w="1350" w:type="dxa"/>
            <w:hideMark/>
          </w:tcPr>
          <w:p w14:paraId="41BFFDF7" w14:textId="77777777" w:rsidR="002C707D" w:rsidRPr="009A7163" w:rsidRDefault="002C707D" w:rsidP="00293176">
            <w:pPr>
              <w:rPr>
                <w:b/>
                <w:iCs/>
              </w:rPr>
            </w:pPr>
            <w:r w:rsidRPr="009A7163">
              <w:rPr>
                <w:b/>
                <w:iCs/>
              </w:rPr>
              <w:t>Non Harvest (Jul.15)</w:t>
            </w:r>
          </w:p>
        </w:tc>
        <w:tc>
          <w:tcPr>
            <w:tcW w:w="1530" w:type="dxa"/>
            <w:hideMark/>
          </w:tcPr>
          <w:p w14:paraId="7D7EB927" w14:textId="77777777" w:rsidR="002C707D" w:rsidRPr="009A7163" w:rsidRDefault="002C707D" w:rsidP="00293176">
            <w:pPr>
              <w:rPr>
                <w:b/>
              </w:rPr>
            </w:pPr>
            <w:r w:rsidRPr="009A7163">
              <w:rPr>
                <w:b/>
              </w:rPr>
              <w:t xml:space="preserve">Post Harvest (Nov.15-Feb.16) </w:t>
            </w:r>
          </w:p>
        </w:tc>
        <w:tc>
          <w:tcPr>
            <w:tcW w:w="1170" w:type="dxa"/>
            <w:hideMark/>
          </w:tcPr>
          <w:p w14:paraId="019217DD" w14:textId="77777777" w:rsidR="002C707D" w:rsidRPr="009A7163" w:rsidRDefault="002C707D" w:rsidP="00293176">
            <w:pPr>
              <w:rPr>
                <w:b/>
                <w:iCs/>
              </w:rPr>
            </w:pPr>
            <w:r w:rsidRPr="009A7163">
              <w:rPr>
                <w:b/>
                <w:iCs/>
              </w:rPr>
              <w:t>Harvest (Dec.16-Jan.17)</w:t>
            </w:r>
          </w:p>
        </w:tc>
      </w:tr>
      <w:tr w:rsidR="002C707D" w:rsidRPr="009A7163" w14:paraId="7153A00B" w14:textId="77777777" w:rsidTr="00CB5642">
        <w:trPr>
          <w:trHeight w:val="260"/>
        </w:trPr>
        <w:tc>
          <w:tcPr>
            <w:tcW w:w="2155" w:type="dxa"/>
            <w:noWrap/>
            <w:hideMark/>
          </w:tcPr>
          <w:p w14:paraId="08C5F808" w14:textId="77777777" w:rsidR="002C707D" w:rsidRPr="009A7163" w:rsidRDefault="002C707D" w:rsidP="00293176">
            <w:pPr>
              <w:rPr>
                <w:b/>
                <w:bCs/>
              </w:rPr>
            </w:pPr>
            <w:r w:rsidRPr="009A7163">
              <w:rPr>
                <w:b/>
                <w:bCs/>
              </w:rPr>
              <w:t>Age</w:t>
            </w:r>
          </w:p>
        </w:tc>
        <w:tc>
          <w:tcPr>
            <w:tcW w:w="1170" w:type="dxa"/>
            <w:hideMark/>
          </w:tcPr>
          <w:p w14:paraId="2DC90833" w14:textId="77777777" w:rsidR="002C707D" w:rsidRPr="009A7163" w:rsidRDefault="002C707D" w:rsidP="00293176">
            <w:pPr>
              <w:rPr>
                <w:b/>
                <w:bCs/>
              </w:rPr>
            </w:pPr>
          </w:p>
        </w:tc>
        <w:tc>
          <w:tcPr>
            <w:tcW w:w="1350" w:type="dxa"/>
            <w:hideMark/>
          </w:tcPr>
          <w:p w14:paraId="144C5656" w14:textId="77777777" w:rsidR="002C707D" w:rsidRPr="009A7163" w:rsidRDefault="002C707D" w:rsidP="00293176"/>
        </w:tc>
        <w:tc>
          <w:tcPr>
            <w:tcW w:w="1530" w:type="dxa"/>
            <w:hideMark/>
          </w:tcPr>
          <w:p w14:paraId="4F98D17F" w14:textId="77777777" w:rsidR="002C707D" w:rsidRPr="009A7163" w:rsidRDefault="002C707D" w:rsidP="00293176"/>
        </w:tc>
        <w:tc>
          <w:tcPr>
            <w:tcW w:w="1170" w:type="dxa"/>
            <w:hideMark/>
          </w:tcPr>
          <w:p w14:paraId="34A9CE14" w14:textId="77777777" w:rsidR="002C707D" w:rsidRPr="009A7163" w:rsidRDefault="002C707D" w:rsidP="00293176"/>
        </w:tc>
      </w:tr>
      <w:tr w:rsidR="002C707D" w:rsidRPr="009A7163" w14:paraId="1BA4EA14" w14:textId="77777777" w:rsidTr="00CB5642">
        <w:trPr>
          <w:trHeight w:val="260"/>
        </w:trPr>
        <w:tc>
          <w:tcPr>
            <w:tcW w:w="2155" w:type="dxa"/>
            <w:noWrap/>
            <w:hideMark/>
          </w:tcPr>
          <w:p w14:paraId="302FAA7A" w14:textId="77777777" w:rsidR="002C707D" w:rsidRPr="009A7163" w:rsidRDefault="002C707D" w:rsidP="00293176">
            <w:r w:rsidRPr="009A7163">
              <w:t>18-24 years old</w:t>
            </w:r>
          </w:p>
        </w:tc>
        <w:tc>
          <w:tcPr>
            <w:tcW w:w="1170" w:type="dxa"/>
            <w:hideMark/>
          </w:tcPr>
          <w:p w14:paraId="2FABD420" w14:textId="77777777" w:rsidR="002C707D" w:rsidRPr="009A7163" w:rsidRDefault="002C707D" w:rsidP="00293176">
            <w:pPr>
              <w:rPr>
                <w:iCs/>
              </w:rPr>
            </w:pPr>
            <w:r w:rsidRPr="009A7163">
              <w:rPr>
                <w:iCs/>
              </w:rPr>
              <w:t>1</w:t>
            </w:r>
          </w:p>
        </w:tc>
        <w:tc>
          <w:tcPr>
            <w:tcW w:w="1350" w:type="dxa"/>
            <w:hideMark/>
          </w:tcPr>
          <w:p w14:paraId="6DF5A63D" w14:textId="77777777" w:rsidR="002C707D" w:rsidRPr="009A7163" w:rsidRDefault="002C707D" w:rsidP="00293176">
            <w:pPr>
              <w:rPr>
                <w:iCs/>
              </w:rPr>
            </w:pPr>
            <w:r w:rsidRPr="009A7163">
              <w:rPr>
                <w:iCs/>
              </w:rPr>
              <w:t>0</w:t>
            </w:r>
          </w:p>
        </w:tc>
        <w:tc>
          <w:tcPr>
            <w:tcW w:w="1530" w:type="dxa"/>
            <w:hideMark/>
          </w:tcPr>
          <w:p w14:paraId="03F77178" w14:textId="77777777" w:rsidR="002C707D" w:rsidRPr="009A7163" w:rsidRDefault="002C707D" w:rsidP="00293176">
            <w:r w:rsidRPr="009A7163">
              <w:t>1</w:t>
            </w:r>
          </w:p>
        </w:tc>
        <w:tc>
          <w:tcPr>
            <w:tcW w:w="1170" w:type="dxa"/>
            <w:hideMark/>
          </w:tcPr>
          <w:p w14:paraId="46C8AD15" w14:textId="77777777" w:rsidR="002C707D" w:rsidRPr="009A7163" w:rsidRDefault="002C707D" w:rsidP="00293176">
            <w:pPr>
              <w:rPr>
                <w:iCs/>
              </w:rPr>
            </w:pPr>
            <w:r w:rsidRPr="009A7163">
              <w:rPr>
                <w:iCs/>
              </w:rPr>
              <w:t>1</w:t>
            </w:r>
          </w:p>
        </w:tc>
      </w:tr>
      <w:tr w:rsidR="002C707D" w:rsidRPr="009A7163" w14:paraId="61321043" w14:textId="77777777" w:rsidTr="00CB5642">
        <w:trPr>
          <w:trHeight w:val="260"/>
        </w:trPr>
        <w:tc>
          <w:tcPr>
            <w:tcW w:w="2155" w:type="dxa"/>
            <w:noWrap/>
            <w:hideMark/>
          </w:tcPr>
          <w:p w14:paraId="20B4C6E0" w14:textId="77777777" w:rsidR="002C707D" w:rsidRPr="009A7163" w:rsidRDefault="002C707D" w:rsidP="00293176">
            <w:r w:rsidRPr="009A7163">
              <w:t>25-34 years old</w:t>
            </w:r>
          </w:p>
        </w:tc>
        <w:tc>
          <w:tcPr>
            <w:tcW w:w="1170" w:type="dxa"/>
            <w:hideMark/>
          </w:tcPr>
          <w:p w14:paraId="523E4F66" w14:textId="77777777" w:rsidR="002C707D" w:rsidRPr="009A7163" w:rsidRDefault="002C707D" w:rsidP="00293176">
            <w:pPr>
              <w:rPr>
                <w:iCs/>
              </w:rPr>
            </w:pPr>
            <w:r w:rsidRPr="009A7163">
              <w:rPr>
                <w:iCs/>
              </w:rPr>
              <w:t>3</w:t>
            </w:r>
          </w:p>
        </w:tc>
        <w:tc>
          <w:tcPr>
            <w:tcW w:w="1350" w:type="dxa"/>
            <w:hideMark/>
          </w:tcPr>
          <w:p w14:paraId="3B78D598" w14:textId="77777777" w:rsidR="002C707D" w:rsidRPr="009A7163" w:rsidRDefault="002C707D" w:rsidP="00293176">
            <w:pPr>
              <w:rPr>
                <w:iCs/>
              </w:rPr>
            </w:pPr>
            <w:r w:rsidRPr="009A7163">
              <w:rPr>
                <w:iCs/>
              </w:rPr>
              <w:t>1</w:t>
            </w:r>
          </w:p>
        </w:tc>
        <w:tc>
          <w:tcPr>
            <w:tcW w:w="1530" w:type="dxa"/>
            <w:hideMark/>
          </w:tcPr>
          <w:p w14:paraId="25A70462" w14:textId="77777777" w:rsidR="002C707D" w:rsidRPr="009A7163" w:rsidRDefault="002C707D" w:rsidP="00293176">
            <w:r w:rsidRPr="009A7163">
              <w:t>3</w:t>
            </w:r>
          </w:p>
        </w:tc>
        <w:tc>
          <w:tcPr>
            <w:tcW w:w="1170" w:type="dxa"/>
            <w:hideMark/>
          </w:tcPr>
          <w:p w14:paraId="135FE71D" w14:textId="77777777" w:rsidR="002C707D" w:rsidRPr="009A7163" w:rsidRDefault="002C707D" w:rsidP="00293176">
            <w:pPr>
              <w:rPr>
                <w:iCs/>
              </w:rPr>
            </w:pPr>
            <w:r w:rsidRPr="009A7163">
              <w:rPr>
                <w:iCs/>
              </w:rPr>
              <w:t>2</w:t>
            </w:r>
          </w:p>
        </w:tc>
      </w:tr>
      <w:tr w:rsidR="002C707D" w:rsidRPr="009A7163" w14:paraId="01468BAB" w14:textId="77777777" w:rsidTr="00CB5642">
        <w:trPr>
          <w:trHeight w:val="260"/>
        </w:trPr>
        <w:tc>
          <w:tcPr>
            <w:tcW w:w="2155" w:type="dxa"/>
            <w:noWrap/>
            <w:hideMark/>
          </w:tcPr>
          <w:p w14:paraId="58A6B42D" w14:textId="77777777" w:rsidR="002C707D" w:rsidRPr="009A7163" w:rsidRDefault="002C707D" w:rsidP="00293176">
            <w:r w:rsidRPr="009A7163">
              <w:t>35-44 years old</w:t>
            </w:r>
          </w:p>
        </w:tc>
        <w:tc>
          <w:tcPr>
            <w:tcW w:w="1170" w:type="dxa"/>
            <w:hideMark/>
          </w:tcPr>
          <w:p w14:paraId="0E5B1A63" w14:textId="77777777" w:rsidR="002C707D" w:rsidRPr="009A7163" w:rsidRDefault="002C707D" w:rsidP="00293176">
            <w:pPr>
              <w:rPr>
                <w:iCs/>
              </w:rPr>
            </w:pPr>
            <w:r w:rsidRPr="009A7163">
              <w:rPr>
                <w:iCs/>
              </w:rPr>
              <w:t>3</w:t>
            </w:r>
          </w:p>
        </w:tc>
        <w:tc>
          <w:tcPr>
            <w:tcW w:w="1350" w:type="dxa"/>
            <w:hideMark/>
          </w:tcPr>
          <w:p w14:paraId="580FFAFD" w14:textId="77777777" w:rsidR="002C707D" w:rsidRPr="009A7163" w:rsidRDefault="002C707D" w:rsidP="00293176">
            <w:pPr>
              <w:rPr>
                <w:iCs/>
              </w:rPr>
            </w:pPr>
            <w:r w:rsidRPr="009A7163">
              <w:rPr>
                <w:iCs/>
              </w:rPr>
              <w:t>4</w:t>
            </w:r>
          </w:p>
        </w:tc>
        <w:tc>
          <w:tcPr>
            <w:tcW w:w="1530" w:type="dxa"/>
            <w:hideMark/>
          </w:tcPr>
          <w:p w14:paraId="781CB07F" w14:textId="77777777" w:rsidR="002C707D" w:rsidRPr="009A7163" w:rsidRDefault="002C707D" w:rsidP="00293176">
            <w:pPr>
              <w:rPr>
                <w:iCs/>
              </w:rPr>
            </w:pPr>
          </w:p>
        </w:tc>
        <w:tc>
          <w:tcPr>
            <w:tcW w:w="1170" w:type="dxa"/>
            <w:hideMark/>
          </w:tcPr>
          <w:p w14:paraId="7FABEA40" w14:textId="77777777" w:rsidR="002C707D" w:rsidRPr="009A7163" w:rsidRDefault="002C707D" w:rsidP="00293176">
            <w:pPr>
              <w:rPr>
                <w:iCs/>
              </w:rPr>
            </w:pPr>
            <w:r w:rsidRPr="009A7163">
              <w:rPr>
                <w:iCs/>
              </w:rPr>
              <w:t>4</w:t>
            </w:r>
          </w:p>
        </w:tc>
      </w:tr>
      <w:tr w:rsidR="002C707D" w:rsidRPr="009A7163" w14:paraId="02D500E5" w14:textId="77777777" w:rsidTr="00CB5642">
        <w:trPr>
          <w:trHeight w:val="260"/>
        </w:trPr>
        <w:tc>
          <w:tcPr>
            <w:tcW w:w="2155" w:type="dxa"/>
            <w:noWrap/>
            <w:hideMark/>
          </w:tcPr>
          <w:p w14:paraId="0A68E0B0" w14:textId="77777777" w:rsidR="002C707D" w:rsidRPr="009A7163" w:rsidRDefault="002C707D" w:rsidP="00293176">
            <w:r w:rsidRPr="009A7163">
              <w:t>45-54 years old</w:t>
            </w:r>
          </w:p>
        </w:tc>
        <w:tc>
          <w:tcPr>
            <w:tcW w:w="1170" w:type="dxa"/>
            <w:hideMark/>
          </w:tcPr>
          <w:p w14:paraId="748070F0" w14:textId="77777777" w:rsidR="002C707D" w:rsidRPr="009A7163" w:rsidRDefault="002C707D" w:rsidP="00293176">
            <w:pPr>
              <w:rPr>
                <w:iCs/>
              </w:rPr>
            </w:pPr>
            <w:r w:rsidRPr="009A7163">
              <w:rPr>
                <w:iCs/>
              </w:rPr>
              <w:t>2</w:t>
            </w:r>
          </w:p>
        </w:tc>
        <w:tc>
          <w:tcPr>
            <w:tcW w:w="1350" w:type="dxa"/>
            <w:hideMark/>
          </w:tcPr>
          <w:p w14:paraId="7E79AAF2" w14:textId="77777777" w:rsidR="002C707D" w:rsidRPr="009A7163" w:rsidRDefault="002C707D" w:rsidP="00293176">
            <w:pPr>
              <w:rPr>
                <w:iCs/>
              </w:rPr>
            </w:pPr>
            <w:r w:rsidRPr="009A7163">
              <w:rPr>
                <w:iCs/>
              </w:rPr>
              <w:t>4</w:t>
            </w:r>
          </w:p>
        </w:tc>
        <w:tc>
          <w:tcPr>
            <w:tcW w:w="1530" w:type="dxa"/>
            <w:hideMark/>
          </w:tcPr>
          <w:p w14:paraId="1CA002F9" w14:textId="77777777" w:rsidR="002C707D" w:rsidRPr="009A7163" w:rsidRDefault="002C707D" w:rsidP="00293176">
            <w:r w:rsidRPr="009A7163">
              <w:t>5</w:t>
            </w:r>
          </w:p>
        </w:tc>
        <w:tc>
          <w:tcPr>
            <w:tcW w:w="1170" w:type="dxa"/>
            <w:hideMark/>
          </w:tcPr>
          <w:p w14:paraId="419EC414" w14:textId="77777777" w:rsidR="002C707D" w:rsidRPr="009A7163" w:rsidRDefault="002C707D" w:rsidP="00293176">
            <w:pPr>
              <w:rPr>
                <w:iCs/>
              </w:rPr>
            </w:pPr>
            <w:r w:rsidRPr="009A7163">
              <w:rPr>
                <w:iCs/>
              </w:rPr>
              <w:t>4</w:t>
            </w:r>
          </w:p>
        </w:tc>
      </w:tr>
      <w:tr w:rsidR="002C707D" w:rsidRPr="009A7163" w14:paraId="769C14F4" w14:textId="77777777" w:rsidTr="00CB5642">
        <w:trPr>
          <w:trHeight w:val="260"/>
        </w:trPr>
        <w:tc>
          <w:tcPr>
            <w:tcW w:w="2155" w:type="dxa"/>
            <w:noWrap/>
            <w:hideMark/>
          </w:tcPr>
          <w:p w14:paraId="40900B90" w14:textId="77777777" w:rsidR="002C707D" w:rsidRPr="009A7163" w:rsidRDefault="002C707D" w:rsidP="00293176">
            <w:r w:rsidRPr="009A7163">
              <w:t>55 years old and older</w:t>
            </w:r>
          </w:p>
        </w:tc>
        <w:tc>
          <w:tcPr>
            <w:tcW w:w="1170" w:type="dxa"/>
            <w:hideMark/>
          </w:tcPr>
          <w:p w14:paraId="711859E5" w14:textId="77777777" w:rsidR="002C707D" w:rsidRPr="009A7163" w:rsidRDefault="002C707D" w:rsidP="00293176">
            <w:pPr>
              <w:rPr>
                <w:iCs/>
              </w:rPr>
            </w:pPr>
            <w:r w:rsidRPr="009A7163">
              <w:rPr>
                <w:iCs/>
              </w:rPr>
              <w:t>4</w:t>
            </w:r>
          </w:p>
        </w:tc>
        <w:tc>
          <w:tcPr>
            <w:tcW w:w="1350" w:type="dxa"/>
            <w:hideMark/>
          </w:tcPr>
          <w:p w14:paraId="4E3D9B14" w14:textId="77777777" w:rsidR="002C707D" w:rsidRPr="009A7163" w:rsidRDefault="002C707D" w:rsidP="00293176">
            <w:pPr>
              <w:rPr>
                <w:iCs/>
              </w:rPr>
            </w:pPr>
            <w:r w:rsidRPr="009A7163">
              <w:rPr>
                <w:iCs/>
              </w:rPr>
              <w:t>2</w:t>
            </w:r>
          </w:p>
        </w:tc>
        <w:tc>
          <w:tcPr>
            <w:tcW w:w="1530" w:type="dxa"/>
            <w:hideMark/>
          </w:tcPr>
          <w:p w14:paraId="2C7335E5" w14:textId="77777777" w:rsidR="002C707D" w:rsidRPr="009A7163" w:rsidRDefault="002C707D" w:rsidP="00293176">
            <w:pPr>
              <w:rPr>
                <w:iCs/>
              </w:rPr>
            </w:pPr>
          </w:p>
        </w:tc>
        <w:tc>
          <w:tcPr>
            <w:tcW w:w="1170" w:type="dxa"/>
            <w:hideMark/>
          </w:tcPr>
          <w:p w14:paraId="5AE74DAF" w14:textId="77777777" w:rsidR="002C707D" w:rsidRPr="009A7163" w:rsidRDefault="002C707D" w:rsidP="00293176">
            <w:pPr>
              <w:rPr>
                <w:iCs/>
              </w:rPr>
            </w:pPr>
            <w:r w:rsidRPr="009A7163">
              <w:rPr>
                <w:iCs/>
              </w:rPr>
              <w:t>2</w:t>
            </w:r>
          </w:p>
        </w:tc>
      </w:tr>
      <w:tr w:rsidR="002C707D" w:rsidRPr="009A7163" w14:paraId="4575F035" w14:textId="77777777" w:rsidTr="00CB5642">
        <w:trPr>
          <w:trHeight w:val="260"/>
        </w:trPr>
        <w:tc>
          <w:tcPr>
            <w:tcW w:w="2155" w:type="dxa"/>
            <w:noWrap/>
            <w:hideMark/>
          </w:tcPr>
          <w:p w14:paraId="5CDCC16F" w14:textId="6A74129F" w:rsidR="002C707D" w:rsidRPr="009A7163" w:rsidRDefault="002C707D" w:rsidP="00293176">
            <w:r w:rsidRPr="009A7163">
              <w:t>n</w:t>
            </w:r>
            <w:r w:rsidR="00B720FD" w:rsidRPr="009A7163">
              <w:t>.</w:t>
            </w:r>
            <w:r w:rsidRPr="009A7163">
              <w:t>r</w:t>
            </w:r>
            <w:r w:rsidR="00B720FD" w:rsidRPr="009A7163">
              <w:t>.</w:t>
            </w:r>
          </w:p>
        </w:tc>
        <w:tc>
          <w:tcPr>
            <w:tcW w:w="1170" w:type="dxa"/>
            <w:hideMark/>
          </w:tcPr>
          <w:p w14:paraId="1BF5B5A3" w14:textId="77777777" w:rsidR="002C707D" w:rsidRPr="009A7163" w:rsidRDefault="002C707D" w:rsidP="00293176"/>
        </w:tc>
        <w:tc>
          <w:tcPr>
            <w:tcW w:w="1350" w:type="dxa"/>
            <w:hideMark/>
          </w:tcPr>
          <w:p w14:paraId="3C4600C9" w14:textId="77777777" w:rsidR="002C707D" w:rsidRPr="009A7163" w:rsidRDefault="002C707D" w:rsidP="00293176">
            <w:pPr>
              <w:rPr>
                <w:iCs/>
              </w:rPr>
            </w:pPr>
            <w:r w:rsidRPr="009A7163">
              <w:rPr>
                <w:iCs/>
              </w:rPr>
              <w:t>1</w:t>
            </w:r>
          </w:p>
        </w:tc>
        <w:tc>
          <w:tcPr>
            <w:tcW w:w="1530" w:type="dxa"/>
            <w:hideMark/>
          </w:tcPr>
          <w:p w14:paraId="6498FF4D" w14:textId="77777777" w:rsidR="002C707D" w:rsidRPr="009A7163" w:rsidRDefault="002C707D" w:rsidP="00293176">
            <w:pPr>
              <w:rPr>
                <w:iCs/>
              </w:rPr>
            </w:pPr>
          </w:p>
        </w:tc>
        <w:tc>
          <w:tcPr>
            <w:tcW w:w="1170" w:type="dxa"/>
            <w:hideMark/>
          </w:tcPr>
          <w:p w14:paraId="5C871678" w14:textId="77777777" w:rsidR="002C707D" w:rsidRPr="009A7163" w:rsidRDefault="002C707D" w:rsidP="00293176"/>
        </w:tc>
      </w:tr>
      <w:tr w:rsidR="002C707D" w:rsidRPr="009A7163" w14:paraId="1BEA1966" w14:textId="77777777" w:rsidTr="00CB5642">
        <w:trPr>
          <w:trHeight w:val="260"/>
        </w:trPr>
        <w:tc>
          <w:tcPr>
            <w:tcW w:w="2155" w:type="dxa"/>
            <w:noWrap/>
            <w:hideMark/>
          </w:tcPr>
          <w:p w14:paraId="588CE955" w14:textId="77777777" w:rsidR="002C707D" w:rsidRPr="009A7163" w:rsidRDefault="002C707D" w:rsidP="00293176"/>
        </w:tc>
        <w:tc>
          <w:tcPr>
            <w:tcW w:w="1170" w:type="dxa"/>
            <w:hideMark/>
          </w:tcPr>
          <w:p w14:paraId="30E0580B" w14:textId="77777777" w:rsidR="002C707D" w:rsidRPr="009A7163" w:rsidRDefault="002C707D" w:rsidP="00293176">
            <w:pPr>
              <w:rPr>
                <w:iCs/>
              </w:rPr>
            </w:pPr>
            <w:r w:rsidRPr="009A7163">
              <w:rPr>
                <w:iCs/>
              </w:rPr>
              <w:t>13</w:t>
            </w:r>
          </w:p>
        </w:tc>
        <w:tc>
          <w:tcPr>
            <w:tcW w:w="1350" w:type="dxa"/>
            <w:hideMark/>
          </w:tcPr>
          <w:p w14:paraId="299E62A2" w14:textId="77777777" w:rsidR="002C707D" w:rsidRPr="009A7163" w:rsidRDefault="002C707D" w:rsidP="00293176">
            <w:pPr>
              <w:rPr>
                <w:iCs/>
              </w:rPr>
            </w:pPr>
            <w:r w:rsidRPr="009A7163">
              <w:rPr>
                <w:iCs/>
              </w:rPr>
              <w:t>12</w:t>
            </w:r>
          </w:p>
        </w:tc>
        <w:tc>
          <w:tcPr>
            <w:tcW w:w="1530" w:type="dxa"/>
            <w:hideMark/>
          </w:tcPr>
          <w:p w14:paraId="3C3AA304" w14:textId="77777777" w:rsidR="002C707D" w:rsidRPr="009A7163" w:rsidRDefault="002C707D" w:rsidP="00293176">
            <w:pPr>
              <w:rPr>
                <w:iCs/>
              </w:rPr>
            </w:pPr>
            <w:r w:rsidRPr="009A7163">
              <w:rPr>
                <w:iCs/>
              </w:rPr>
              <w:t>9</w:t>
            </w:r>
          </w:p>
        </w:tc>
        <w:tc>
          <w:tcPr>
            <w:tcW w:w="1170" w:type="dxa"/>
            <w:hideMark/>
          </w:tcPr>
          <w:p w14:paraId="308C92D7" w14:textId="77777777" w:rsidR="002C707D" w:rsidRPr="009A7163" w:rsidRDefault="002C707D" w:rsidP="00293176">
            <w:pPr>
              <w:rPr>
                <w:iCs/>
              </w:rPr>
            </w:pPr>
            <w:r w:rsidRPr="009A7163">
              <w:rPr>
                <w:iCs/>
              </w:rPr>
              <w:t>13</w:t>
            </w:r>
          </w:p>
        </w:tc>
      </w:tr>
      <w:tr w:rsidR="002C707D" w:rsidRPr="009A7163" w14:paraId="23A92DD5" w14:textId="77777777" w:rsidTr="00CB5642">
        <w:trPr>
          <w:trHeight w:val="260"/>
        </w:trPr>
        <w:tc>
          <w:tcPr>
            <w:tcW w:w="2155" w:type="dxa"/>
            <w:noWrap/>
            <w:hideMark/>
          </w:tcPr>
          <w:p w14:paraId="7EDD28FB" w14:textId="77777777" w:rsidR="002C707D" w:rsidRPr="009A7163" w:rsidRDefault="002C707D" w:rsidP="00293176">
            <w:pPr>
              <w:rPr>
                <w:b/>
                <w:bCs/>
              </w:rPr>
            </w:pPr>
            <w:r w:rsidRPr="009A7163">
              <w:rPr>
                <w:b/>
                <w:bCs/>
              </w:rPr>
              <w:t>Marital status</w:t>
            </w:r>
          </w:p>
        </w:tc>
        <w:tc>
          <w:tcPr>
            <w:tcW w:w="1170" w:type="dxa"/>
            <w:noWrap/>
            <w:hideMark/>
          </w:tcPr>
          <w:p w14:paraId="057A179A" w14:textId="77777777" w:rsidR="002C707D" w:rsidRPr="009A7163" w:rsidRDefault="002C707D" w:rsidP="00293176">
            <w:pPr>
              <w:rPr>
                <w:b/>
                <w:bCs/>
              </w:rPr>
            </w:pPr>
          </w:p>
        </w:tc>
        <w:tc>
          <w:tcPr>
            <w:tcW w:w="1350" w:type="dxa"/>
            <w:noWrap/>
            <w:hideMark/>
          </w:tcPr>
          <w:p w14:paraId="37E83082" w14:textId="77777777" w:rsidR="002C707D" w:rsidRPr="009A7163" w:rsidRDefault="002C707D" w:rsidP="00293176"/>
        </w:tc>
        <w:tc>
          <w:tcPr>
            <w:tcW w:w="1530" w:type="dxa"/>
            <w:noWrap/>
            <w:hideMark/>
          </w:tcPr>
          <w:p w14:paraId="6199C297" w14:textId="77777777" w:rsidR="002C707D" w:rsidRPr="009A7163" w:rsidRDefault="002C707D" w:rsidP="00293176"/>
        </w:tc>
        <w:tc>
          <w:tcPr>
            <w:tcW w:w="1170" w:type="dxa"/>
            <w:noWrap/>
            <w:hideMark/>
          </w:tcPr>
          <w:p w14:paraId="62CB131D" w14:textId="77777777" w:rsidR="002C707D" w:rsidRPr="009A7163" w:rsidRDefault="002C707D" w:rsidP="00293176"/>
        </w:tc>
      </w:tr>
      <w:tr w:rsidR="002C707D" w:rsidRPr="009A7163" w14:paraId="7BF56CC9" w14:textId="77777777" w:rsidTr="00CB5642">
        <w:trPr>
          <w:trHeight w:val="260"/>
        </w:trPr>
        <w:tc>
          <w:tcPr>
            <w:tcW w:w="2155" w:type="dxa"/>
            <w:noWrap/>
            <w:hideMark/>
          </w:tcPr>
          <w:p w14:paraId="2C50063E" w14:textId="77777777" w:rsidR="002C707D" w:rsidRPr="009A7163" w:rsidRDefault="002C707D" w:rsidP="00293176">
            <w:r w:rsidRPr="009A7163">
              <w:t>Single</w:t>
            </w:r>
          </w:p>
        </w:tc>
        <w:tc>
          <w:tcPr>
            <w:tcW w:w="1170" w:type="dxa"/>
            <w:noWrap/>
            <w:hideMark/>
          </w:tcPr>
          <w:p w14:paraId="150C4567" w14:textId="77777777" w:rsidR="002C707D" w:rsidRPr="009A7163" w:rsidRDefault="002C707D" w:rsidP="00293176">
            <w:r w:rsidRPr="009A7163">
              <w:t>1</w:t>
            </w:r>
          </w:p>
        </w:tc>
        <w:tc>
          <w:tcPr>
            <w:tcW w:w="1350" w:type="dxa"/>
            <w:noWrap/>
            <w:hideMark/>
          </w:tcPr>
          <w:p w14:paraId="12CF41D5" w14:textId="77777777" w:rsidR="002C707D" w:rsidRPr="009A7163" w:rsidRDefault="002C707D" w:rsidP="00293176">
            <w:r w:rsidRPr="009A7163">
              <w:t>4</w:t>
            </w:r>
          </w:p>
        </w:tc>
        <w:tc>
          <w:tcPr>
            <w:tcW w:w="1530" w:type="dxa"/>
            <w:noWrap/>
            <w:hideMark/>
          </w:tcPr>
          <w:p w14:paraId="341D51CF" w14:textId="77777777" w:rsidR="002C707D" w:rsidRPr="009A7163" w:rsidRDefault="002C707D" w:rsidP="00293176">
            <w:r w:rsidRPr="009A7163">
              <w:t>3</w:t>
            </w:r>
          </w:p>
        </w:tc>
        <w:tc>
          <w:tcPr>
            <w:tcW w:w="1170" w:type="dxa"/>
            <w:noWrap/>
            <w:hideMark/>
          </w:tcPr>
          <w:p w14:paraId="63D84C56" w14:textId="77777777" w:rsidR="002C707D" w:rsidRPr="009A7163" w:rsidRDefault="002C707D" w:rsidP="00293176">
            <w:r w:rsidRPr="009A7163">
              <w:t>5</w:t>
            </w:r>
          </w:p>
        </w:tc>
      </w:tr>
      <w:tr w:rsidR="002C707D" w:rsidRPr="009A7163" w14:paraId="1C050B71" w14:textId="77777777" w:rsidTr="00CB5642">
        <w:trPr>
          <w:trHeight w:val="260"/>
        </w:trPr>
        <w:tc>
          <w:tcPr>
            <w:tcW w:w="2155" w:type="dxa"/>
            <w:noWrap/>
            <w:hideMark/>
          </w:tcPr>
          <w:p w14:paraId="115B4A4B" w14:textId="77777777" w:rsidR="002C707D" w:rsidRPr="009A7163" w:rsidRDefault="002C707D" w:rsidP="00293176">
            <w:r w:rsidRPr="009A7163">
              <w:t>Stable non-marital relationship</w:t>
            </w:r>
          </w:p>
        </w:tc>
        <w:tc>
          <w:tcPr>
            <w:tcW w:w="1170" w:type="dxa"/>
            <w:noWrap/>
            <w:hideMark/>
          </w:tcPr>
          <w:p w14:paraId="763DC8AE" w14:textId="77777777" w:rsidR="002C707D" w:rsidRPr="009A7163" w:rsidRDefault="002C707D" w:rsidP="00293176">
            <w:r w:rsidRPr="009A7163">
              <w:t>1</w:t>
            </w:r>
          </w:p>
        </w:tc>
        <w:tc>
          <w:tcPr>
            <w:tcW w:w="1350" w:type="dxa"/>
            <w:noWrap/>
            <w:hideMark/>
          </w:tcPr>
          <w:p w14:paraId="3B48A636" w14:textId="77777777" w:rsidR="002C707D" w:rsidRPr="009A7163" w:rsidRDefault="002C707D" w:rsidP="00293176">
            <w:r w:rsidRPr="009A7163">
              <w:t>1</w:t>
            </w:r>
          </w:p>
        </w:tc>
        <w:tc>
          <w:tcPr>
            <w:tcW w:w="1530" w:type="dxa"/>
            <w:noWrap/>
            <w:hideMark/>
          </w:tcPr>
          <w:p w14:paraId="6D1D27C7" w14:textId="77777777" w:rsidR="002C707D" w:rsidRPr="009A7163" w:rsidRDefault="002C707D" w:rsidP="00293176">
            <w:r w:rsidRPr="009A7163">
              <w:t>2</w:t>
            </w:r>
          </w:p>
        </w:tc>
        <w:tc>
          <w:tcPr>
            <w:tcW w:w="1170" w:type="dxa"/>
            <w:noWrap/>
            <w:hideMark/>
          </w:tcPr>
          <w:p w14:paraId="128BE60C" w14:textId="77777777" w:rsidR="002C707D" w:rsidRPr="009A7163" w:rsidRDefault="002C707D" w:rsidP="00293176">
            <w:r w:rsidRPr="009A7163">
              <w:t>1</w:t>
            </w:r>
          </w:p>
        </w:tc>
      </w:tr>
      <w:tr w:rsidR="002C707D" w:rsidRPr="009A7163" w14:paraId="59253D33" w14:textId="77777777" w:rsidTr="00CB5642">
        <w:trPr>
          <w:trHeight w:val="260"/>
        </w:trPr>
        <w:tc>
          <w:tcPr>
            <w:tcW w:w="2155" w:type="dxa"/>
            <w:noWrap/>
            <w:hideMark/>
          </w:tcPr>
          <w:p w14:paraId="0894A08E" w14:textId="77777777" w:rsidR="002C707D" w:rsidRPr="009A7163" w:rsidRDefault="002C707D" w:rsidP="00293176">
            <w:r w:rsidRPr="009A7163">
              <w:t>Married</w:t>
            </w:r>
          </w:p>
        </w:tc>
        <w:tc>
          <w:tcPr>
            <w:tcW w:w="1170" w:type="dxa"/>
            <w:noWrap/>
            <w:hideMark/>
          </w:tcPr>
          <w:p w14:paraId="48E02B65" w14:textId="77777777" w:rsidR="002C707D" w:rsidRPr="009A7163" w:rsidRDefault="002C707D" w:rsidP="00293176">
            <w:r w:rsidRPr="009A7163">
              <w:t>11</w:t>
            </w:r>
          </w:p>
        </w:tc>
        <w:tc>
          <w:tcPr>
            <w:tcW w:w="1350" w:type="dxa"/>
            <w:noWrap/>
            <w:hideMark/>
          </w:tcPr>
          <w:p w14:paraId="5AEDAA4A" w14:textId="77777777" w:rsidR="002C707D" w:rsidRPr="009A7163" w:rsidRDefault="002C707D" w:rsidP="00293176">
            <w:r w:rsidRPr="009A7163">
              <w:t>7</w:t>
            </w:r>
          </w:p>
        </w:tc>
        <w:tc>
          <w:tcPr>
            <w:tcW w:w="1530" w:type="dxa"/>
            <w:noWrap/>
            <w:hideMark/>
          </w:tcPr>
          <w:p w14:paraId="6AAAC899" w14:textId="77777777" w:rsidR="002C707D" w:rsidRPr="009A7163" w:rsidRDefault="002C707D" w:rsidP="00293176">
            <w:r w:rsidRPr="009A7163">
              <w:t>3</w:t>
            </w:r>
          </w:p>
        </w:tc>
        <w:tc>
          <w:tcPr>
            <w:tcW w:w="1170" w:type="dxa"/>
            <w:noWrap/>
            <w:hideMark/>
          </w:tcPr>
          <w:p w14:paraId="34DE8F1E" w14:textId="77777777" w:rsidR="002C707D" w:rsidRPr="009A7163" w:rsidRDefault="002C707D" w:rsidP="00293176">
            <w:r w:rsidRPr="009A7163">
              <w:t>6</w:t>
            </w:r>
          </w:p>
        </w:tc>
      </w:tr>
      <w:tr w:rsidR="002C707D" w:rsidRPr="009A7163" w14:paraId="3A054175" w14:textId="77777777" w:rsidTr="00CB5642">
        <w:trPr>
          <w:trHeight w:val="260"/>
        </w:trPr>
        <w:tc>
          <w:tcPr>
            <w:tcW w:w="2155" w:type="dxa"/>
            <w:noWrap/>
            <w:hideMark/>
          </w:tcPr>
          <w:p w14:paraId="04A9BC6D" w14:textId="77777777" w:rsidR="002C707D" w:rsidRPr="009A7163" w:rsidRDefault="002C707D" w:rsidP="00293176">
            <w:r w:rsidRPr="009A7163">
              <w:t>n.r.</w:t>
            </w:r>
          </w:p>
        </w:tc>
        <w:tc>
          <w:tcPr>
            <w:tcW w:w="1170" w:type="dxa"/>
            <w:noWrap/>
            <w:hideMark/>
          </w:tcPr>
          <w:p w14:paraId="7EAE4E7A" w14:textId="77777777" w:rsidR="002C707D" w:rsidRPr="009A7163" w:rsidRDefault="002C707D" w:rsidP="00293176"/>
        </w:tc>
        <w:tc>
          <w:tcPr>
            <w:tcW w:w="1350" w:type="dxa"/>
            <w:noWrap/>
            <w:hideMark/>
          </w:tcPr>
          <w:p w14:paraId="000596F6" w14:textId="77777777" w:rsidR="002C707D" w:rsidRPr="009A7163" w:rsidRDefault="002C707D" w:rsidP="00293176"/>
        </w:tc>
        <w:tc>
          <w:tcPr>
            <w:tcW w:w="1530" w:type="dxa"/>
            <w:noWrap/>
            <w:hideMark/>
          </w:tcPr>
          <w:p w14:paraId="717CF990" w14:textId="77777777" w:rsidR="002C707D" w:rsidRPr="009A7163" w:rsidRDefault="002C707D" w:rsidP="00293176">
            <w:r w:rsidRPr="009A7163">
              <w:t>1</w:t>
            </w:r>
          </w:p>
        </w:tc>
        <w:tc>
          <w:tcPr>
            <w:tcW w:w="1170" w:type="dxa"/>
            <w:noWrap/>
            <w:hideMark/>
          </w:tcPr>
          <w:p w14:paraId="627EEADE" w14:textId="77777777" w:rsidR="002C707D" w:rsidRPr="009A7163" w:rsidRDefault="002C707D" w:rsidP="00293176">
            <w:r w:rsidRPr="009A7163">
              <w:t>1</w:t>
            </w:r>
          </w:p>
        </w:tc>
      </w:tr>
      <w:tr w:rsidR="002C707D" w:rsidRPr="009A7163" w14:paraId="0CA058B2" w14:textId="77777777" w:rsidTr="00CB5642">
        <w:trPr>
          <w:trHeight w:val="260"/>
        </w:trPr>
        <w:tc>
          <w:tcPr>
            <w:tcW w:w="2155" w:type="dxa"/>
            <w:noWrap/>
            <w:hideMark/>
          </w:tcPr>
          <w:p w14:paraId="76ACF42D" w14:textId="77777777" w:rsidR="002C707D" w:rsidRPr="009A7163" w:rsidRDefault="002C707D" w:rsidP="00293176"/>
        </w:tc>
        <w:tc>
          <w:tcPr>
            <w:tcW w:w="1170" w:type="dxa"/>
            <w:noWrap/>
            <w:hideMark/>
          </w:tcPr>
          <w:p w14:paraId="642057E9" w14:textId="77777777" w:rsidR="002C707D" w:rsidRPr="009A7163" w:rsidRDefault="002C707D" w:rsidP="00293176">
            <w:r w:rsidRPr="009A7163">
              <w:t>13</w:t>
            </w:r>
          </w:p>
        </w:tc>
        <w:tc>
          <w:tcPr>
            <w:tcW w:w="1350" w:type="dxa"/>
            <w:noWrap/>
            <w:hideMark/>
          </w:tcPr>
          <w:p w14:paraId="47D95F55" w14:textId="77777777" w:rsidR="002C707D" w:rsidRPr="009A7163" w:rsidRDefault="002C707D" w:rsidP="00293176">
            <w:r w:rsidRPr="009A7163">
              <w:t>12</w:t>
            </w:r>
          </w:p>
        </w:tc>
        <w:tc>
          <w:tcPr>
            <w:tcW w:w="1530" w:type="dxa"/>
            <w:noWrap/>
            <w:hideMark/>
          </w:tcPr>
          <w:p w14:paraId="792B29F9" w14:textId="77777777" w:rsidR="002C707D" w:rsidRPr="009A7163" w:rsidRDefault="002C707D" w:rsidP="00293176">
            <w:r w:rsidRPr="009A7163">
              <w:t>9</w:t>
            </w:r>
          </w:p>
        </w:tc>
        <w:tc>
          <w:tcPr>
            <w:tcW w:w="1170" w:type="dxa"/>
            <w:noWrap/>
            <w:hideMark/>
          </w:tcPr>
          <w:p w14:paraId="07F63D75" w14:textId="77777777" w:rsidR="002C707D" w:rsidRPr="009A7163" w:rsidRDefault="002C707D" w:rsidP="00293176">
            <w:r w:rsidRPr="009A7163">
              <w:t>13</w:t>
            </w:r>
          </w:p>
        </w:tc>
      </w:tr>
      <w:tr w:rsidR="002C707D" w:rsidRPr="009A7163" w14:paraId="5DF10BA1" w14:textId="77777777" w:rsidTr="00CB5642">
        <w:trPr>
          <w:trHeight w:val="260"/>
        </w:trPr>
        <w:tc>
          <w:tcPr>
            <w:tcW w:w="2155" w:type="dxa"/>
            <w:noWrap/>
            <w:hideMark/>
          </w:tcPr>
          <w:p w14:paraId="7E775810" w14:textId="77777777" w:rsidR="002C707D" w:rsidRPr="009A7163" w:rsidRDefault="002C707D" w:rsidP="00293176">
            <w:pPr>
              <w:rPr>
                <w:b/>
                <w:bCs/>
              </w:rPr>
            </w:pPr>
            <w:r w:rsidRPr="009A7163">
              <w:rPr>
                <w:b/>
                <w:bCs/>
              </w:rPr>
              <w:t>Cooperative Membership</w:t>
            </w:r>
          </w:p>
        </w:tc>
        <w:tc>
          <w:tcPr>
            <w:tcW w:w="1170" w:type="dxa"/>
            <w:noWrap/>
            <w:hideMark/>
          </w:tcPr>
          <w:p w14:paraId="437A4EE1" w14:textId="77777777" w:rsidR="002C707D" w:rsidRPr="009A7163" w:rsidRDefault="002C707D" w:rsidP="00293176">
            <w:pPr>
              <w:rPr>
                <w:b/>
                <w:bCs/>
              </w:rPr>
            </w:pPr>
          </w:p>
        </w:tc>
        <w:tc>
          <w:tcPr>
            <w:tcW w:w="1350" w:type="dxa"/>
            <w:noWrap/>
            <w:hideMark/>
          </w:tcPr>
          <w:p w14:paraId="4630EB53" w14:textId="77777777" w:rsidR="002C707D" w:rsidRPr="009A7163" w:rsidRDefault="002C707D" w:rsidP="00293176"/>
        </w:tc>
        <w:tc>
          <w:tcPr>
            <w:tcW w:w="1530" w:type="dxa"/>
            <w:noWrap/>
            <w:hideMark/>
          </w:tcPr>
          <w:p w14:paraId="5DC0A3F8" w14:textId="77777777" w:rsidR="002C707D" w:rsidRPr="009A7163" w:rsidRDefault="002C707D" w:rsidP="00293176"/>
        </w:tc>
        <w:tc>
          <w:tcPr>
            <w:tcW w:w="1170" w:type="dxa"/>
            <w:noWrap/>
            <w:hideMark/>
          </w:tcPr>
          <w:p w14:paraId="425F529C" w14:textId="77777777" w:rsidR="002C707D" w:rsidRPr="009A7163" w:rsidRDefault="002C707D" w:rsidP="00293176"/>
        </w:tc>
      </w:tr>
      <w:tr w:rsidR="002C707D" w:rsidRPr="009A7163" w14:paraId="14C937B7" w14:textId="77777777" w:rsidTr="00CB5642">
        <w:trPr>
          <w:trHeight w:val="260"/>
        </w:trPr>
        <w:tc>
          <w:tcPr>
            <w:tcW w:w="2155" w:type="dxa"/>
            <w:noWrap/>
            <w:hideMark/>
          </w:tcPr>
          <w:p w14:paraId="0357FAFB" w14:textId="77777777" w:rsidR="002C707D" w:rsidRPr="009A7163" w:rsidRDefault="002C707D" w:rsidP="00293176">
            <w:r w:rsidRPr="009A7163">
              <w:t xml:space="preserve">Member </w:t>
            </w:r>
          </w:p>
        </w:tc>
        <w:tc>
          <w:tcPr>
            <w:tcW w:w="1170" w:type="dxa"/>
            <w:noWrap/>
            <w:hideMark/>
          </w:tcPr>
          <w:p w14:paraId="61441A57" w14:textId="77777777" w:rsidR="002C707D" w:rsidRPr="009A7163" w:rsidRDefault="002C707D" w:rsidP="00293176">
            <w:r w:rsidRPr="009A7163">
              <w:t>8</w:t>
            </w:r>
          </w:p>
        </w:tc>
        <w:tc>
          <w:tcPr>
            <w:tcW w:w="1350" w:type="dxa"/>
            <w:noWrap/>
            <w:hideMark/>
          </w:tcPr>
          <w:p w14:paraId="0CB36D6D" w14:textId="77777777" w:rsidR="002C707D" w:rsidRPr="009A7163" w:rsidRDefault="002C707D" w:rsidP="00293176">
            <w:r w:rsidRPr="009A7163">
              <w:t>8</w:t>
            </w:r>
          </w:p>
        </w:tc>
        <w:tc>
          <w:tcPr>
            <w:tcW w:w="1530" w:type="dxa"/>
            <w:noWrap/>
            <w:hideMark/>
          </w:tcPr>
          <w:p w14:paraId="5A799EB3" w14:textId="77777777" w:rsidR="002C707D" w:rsidRPr="009A7163" w:rsidRDefault="002C707D" w:rsidP="00293176">
            <w:r w:rsidRPr="009A7163">
              <w:t>4</w:t>
            </w:r>
          </w:p>
        </w:tc>
        <w:tc>
          <w:tcPr>
            <w:tcW w:w="1170" w:type="dxa"/>
            <w:noWrap/>
            <w:hideMark/>
          </w:tcPr>
          <w:p w14:paraId="06CA2A66" w14:textId="77777777" w:rsidR="002C707D" w:rsidRPr="009A7163" w:rsidRDefault="002C707D" w:rsidP="00293176">
            <w:r w:rsidRPr="009A7163">
              <w:t>9</w:t>
            </w:r>
          </w:p>
        </w:tc>
      </w:tr>
      <w:tr w:rsidR="002C707D" w:rsidRPr="009A7163" w14:paraId="52905578" w14:textId="77777777" w:rsidTr="00CB5642">
        <w:trPr>
          <w:trHeight w:val="260"/>
        </w:trPr>
        <w:tc>
          <w:tcPr>
            <w:tcW w:w="2155" w:type="dxa"/>
            <w:noWrap/>
            <w:hideMark/>
          </w:tcPr>
          <w:p w14:paraId="066B24DA" w14:textId="77777777" w:rsidR="002C707D" w:rsidRPr="009A7163" w:rsidRDefault="002C707D" w:rsidP="00293176">
            <w:r w:rsidRPr="009A7163">
              <w:t>Spouse of member</w:t>
            </w:r>
          </w:p>
        </w:tc>
        <w:tc>
          <w:tcPr>
            <w:tcW w:w="1170" w:type="dxa"/>
            <w:noWrap/>
            <w:hideMark/>
          </w:tcPr>
          <w:p w14:paraId="5771699B" w14:textId="77777777" w:rsidR="002C707D" w:rsidRPr="009A7163" w:rsidRDefault="002C707D" w:rsidP="00293176">
            <w:r w:rsidRPr="009A7163">
              <w:t>4</w:t>
            </w:r>
          </w:p>
        </w:tc>
        <w:tc>
          <w:tcPr>
            <w:tcW w:w="1350" w:type="dxa"/>
            <w:noWrap/>
            <w:hideMark/>
          </w:tcPr>
          <w:p w14:paraId="34ED31CE" w14:textId="77777777" w:rsidR="002C707D" w:rsidRPr="009A7163" w:rsidRDefault="002C707D" w:rsidP="00293176">
            <w:r w:rsidRPr="009A7163">
              <w:t>2</w:t>
            </w:r>
          </w:p>
        </w:tc>
        <w:tc>
          <w:tcPr>
            <w:tcW w:w="1530" w:type="dxa"/>
            <w:noWrap/>
            <w:hideMark/>
          </w:tcPr>
          <w:p w14:paraId="0A9C8527" w14:textId="77777777" w:rsidR="002C707D" w:rsidRPr="009A7163" w:rsidRDefault="002C707D" w:rsidP="00293176">
            <w:r w:rsidRPr="009A7163">
              <w:t>3</w:t>
            </w:r>
          </w:p>
        </w:tc>
        <w:tc>
          <w:tcPr>
            <w:tcW w:w="1170" w:type="dxa"/>
            <w:noWrap/>
            <w:hideMark/>
          </w:tcPr>
          <w:p w14:paraId="31ACF06D" w14:textId="77777777" w:rsidR="002C707D" w:rsidRPr="009A7163" w:rsidRDefault="002C707D" w:rsidP="00293176">
            <w:r w:rsidRPr="009A7163">
              <w:t>2</w:t>
            </w:r>
          </w:p>
        </w:tc>
      </w:tr>
      <w:tr w:rsidR="002C707D" w:rsidRPr="009A7163" w14:paraId="6CE54561" w14:textId="77777777" w:rsidTr="00CB5642">
        <w:trPr>
          <w:trHeight w:val="260"/>
        </w:trPr>
        <w:tc>
          <w:tcPr>
            <w:tcW w:w="2155" w:type="dxa"/>
            <w:noWrap/>
            <w:hideMark/>
          </w:tcPr>
          <w:p w14:paraId="062BCE90" w14:textId="77777777" w:rsidR="002C707D" w:rsidRPr="009A7163" w:rsidRDefault="002C707D" w:rsidP="00293176">
            <w:r w:rsidRPr="009A7163">
              <w:t>Not a member</w:t>
            </w:r>
          </w:p>
        </w:tc>
        <w:tc>
          <w:tcPr>
            <w:tcW w:w="1170" w:type="dxa"/>
            <w:noWrap/>
            <w:hideMark/>
          </w:tcPr>
          <w:p w14:paraId="59A0285A" w14:textId="77777777" w:rsidR="002C707D" w:rsidRPr="009A7163" w:rsidRDefault="002C707D" w:rsidP="00293176">
            <w:r w:rsidRPr="009A7163">
              <w:t>1</w:t>
            </w:r>
          </w:p>
        </w:tc>
        <w:tc>
          <w:tcPr>
            <w:tcW w:w="1350" w:type="dxa"/>
            <w:noWrap/>
            <w:hideMark/>
          </w:tcPr>
          <w:p w14:paraId="7038EDD1" w14:textId="77777777" w:rsidR="002C707D" w:rsidRPr="009A7163" w:rsidRDefault="002C707D" w:rsidP="00293176">
            <w:r w:rsidRPr="009A7163">
              <w:t>2</w:t>
            </w:r>
          </w:p>
        </w:tc>
        <w:tc>
          <w:tcPr>
            <w:tcW w:w="1530" w:type="dxa"/>
            <w:noWrap/>
            <w:hideMark/>
          </w:tcPr>
          <w:p w14:paraId="5308650F" w14:textId="77777777" w:rsidR="002C707D" w:rsidRPr="009A7163" w:rsidRDefault="002C707D" w:rsidP="00293176">
            <w:r w:rsidRPr="009A7163">
              <w:t>1</w:t>
            </w:r>
          </w:p>
        </w:tc>
        <w:tc>
          <w:tcPr>
            <w:tcW w:w="1170" w:type="dxa"/>
            <w:noWrap/>
            <w:hideMark/>
          </w:tcPr>
          <w:p w14:paraId="0419CD4A" w14:textId="77777777" w:rsidR="002C707D" w:rsidRPr="009A7163" w:rsidRDefault="002C707D" w:rsidP="00293176">
            <w:r w:rsidRPr="009A7163">
              <w:t>1</w:t>
            </w:r>
          </w:p>
        </w:tc>
      </w:tr>
      <w:tr w:rsidR="002C707D" w:rsidRPr="009A7163" w14:paraId="658E77C4" w14:textId="77777777" w:rsidTr="00CB5642">
        <w:trPr>
          <w:trHeight w:val="260"/>
        </w:trPr>
        <w:tc>
          <w:tcPr>
            <w:tcW w:w="2155" w:type="dxa"/>
            <w:noWrap/>
            <w:hideMark/>
          </w:tcPr>
          <w:p w14:paraId="32A38E9A" w14:textId="77777777" w:rsidR="002C707D" w:rsidRPr="009A7163" w:rsidRDefault="002C707D" w:rsidP="00293176">
            <w:r w:rsidRPr="009A7163">
              <w:t>Daughter of a member</w:t>
            </w:r>
          </w:p>
        </w:tc>
        <w:tc>
          <w:tcPr>
            <w:tcW w:w="1170" w:type="dxa"/>
            <w:noWrap/>
            <w:hideMark/>
          </w:tcPr>
          <w:p w14:paraId="47A2873B" w14:textId="77777777" w:rsidR="002C707D" w:rsidRPr="009A7163" w:rsidRDefault="002C707D" w:rsidP="00293176">
            <w:r w:rsidRPr="009A7163">
              <w:t>0</w:t>
            </w:r>
          </w:p>
        </w:tc>
        <w:tc>
          <w:tcPr>
            <w:tcW w:w="1350" w:type="dxa"/>
            <w:noWrap/>
            <w:hideMark/>
          </w:tcPr>
          <w:p w14:paraId="412AC1BE" w14:textId="77777777" w:rsidR="002C707D" w:rsidRPr="009A7163" w:rsidRDefault="002C707D" w:rsidP="00293176"/>
        </w:tc>
        <w:tc>
          <w:tcPr>
            <w:tcW w:w="1530" w:type="dxa"/>
            <w:noWrap/>
            <w:hideMark/>
          </w:tcPr>
          <w:p w14:paraId="205771AA" w14:textId="77777777" w:rsidR="002C707D" w:rsidRPr="009A7163" w:rsidRDefault="002C707D" w:rsidP="00293176">
            <w:r w:rsidRPr="009A7163">
              <w:t>0</w:t>
            </w:r>
          </w:p>
        </w:tc>
        <w:tc>
          <w:tcPr>
            <w:tcW w:w="1170" w:type="dxa"/>
            <w:noWrap/>
            <w:hideMark/>
          </w:tcPr>
          <w:p w14:paraId="55B03FDA" w14:textId="77777777" w:rsidR="002C707D" w:rsidRPr="009A7163" w:rsidRDefault="002C707D" w:rsidP="00293176"/>
        </w:tc>
      </w:tr>
      <w:tr w:rsidR="002C707D" w:rsidRPr="009A7163" w14:paraId="5784D536" w14:textId="77777777" w:rsidTr="00CB5642">
        <w:trPr>
          <w:trHeight w:val="260"/>
        </w:trPr>
        <w:tc>
          <w:tcPr>
            <w:tcW w:w="2155" w:type="dxa"/>
            <w:noWrap/>
            <w:hideMark/>
          </w:tcPr>
          <w:p w14:paraId="259597C9" w14:textId="77777777" w:rsidR="002C707D" w:rsidRPr="009A7163" w:rsidRDefault="002C707D" w:rsidP="00293176">
            <w:r w:rsidRPr="009A7163">
              <w:t>In process</w:t>
            </w:r>
          </w:p>
        </w:tc>
        <w:tc>
          <w:tcPr>
            <w:tcW w:w="1170" w:type="dxa"/>
            <w:noWrap/>
            <w:hideMark/>
          </w:tcPr>
          <w:p w14:paraId="76ECBDFA" w14:textId="77777777" w:rsidR="002C707D" w:rsidRPr="009A7163" w:rsidRDefault="002C707D" w:rsidP="00293176"/>
        </w:tc>
        <w:tc>
          <w:tcPr>
            <w:tcW w:w="1350" w:type="dxa"/>
            <w:noWrap/>
            <w:hideMark/>
          </w:tcPr>
          <w:p w14:paraId="7341165B" w14:textId="77777777" w:rsidR="002C707D" w:rsidRPr="009A7163" w:rsidRDefault="002C707D" w:rsidP="00293176"/>
        </w:tc>
        <w:tc>
          <w:tcPr>
            <w:tcW w:w="1530" w:type="dxa"/>
            <w:noWrap/>
            <w:hideMark/>
          </w:tcPr>
          <w:p w14:paraId="230388B0" w14:textId="77777777" w:rsidR="002C707D" w:rsidRPr="009A7163" w:rsidRDefault="002C707D" w:rsidP="00293176"/>
        </w:tc>
        <w:tc>
          <w:tcPr>
            <w:tcW w:w="1170" w:type="dxa"/>
            <w:noWrap/>
            <w:hideMark/>
          </w:tcPr>
          <w:p w14:paraId="599F8381" w14:textId="77777777" w:rsidR="002C707D" w:rsidRPr="009A7163" w:rsidRDefault="002C707D" w:rsidP="00293176"/>
        </w:tc>
      </w:tr>
      <w:tr w:rsidR="002C707D" w:rsidRPr="009A7163" w14:paraId="44B7F6CC" w14:textId="77777777" w:rsidTr="00CB5642">
        <w:trPr>
          <w:trHeight w:val="260"/>
        </w:trPr>
        <w:tc>
          <w:tcPr>
            <w:tcW w:w="2155" w:type="dxa"/>
            <w:noWrap/>
            <w:hideMark/>
          </w:tcPr>
          <w:p w14:paraId="1DF4614B" w14:textId="4AFEE1C1" w:rsidR="002C707D" w:rsidRPr="009A7163" w:rsidRDefault="00B720FD" w:rsidP="00293176">
            <w:r w:rsidRPr="009A7163">
              <w:t>n.r.</w:t>
            </w:r>
          </w:p>
        </w:tc>
        <w:tc>
          <w:tcPr>
            <w:tcW w:w="1170" w:type="dxa"/>
            <w:noWrap/>
            <w:hideMark/>
          </w:tcPr>
          <w:p w14:paraId="43454A92" w14:textId="77777777" w:rsidR="002C707D" w:rsidRPr="009A7163" w:rsidRDefault="002C707D" w:rsidP="00293176"/>
        </w:tc>
        <w:tc>
          <w:tcPr>
            <w:tcW w:w="1350" w:type="dxa"/>
            <w:noWrap/>
            <w:hideMark/>
          </w:tcPr>
          <w:p w14:paraId="544A9216" w14:textId="77777777" w:rsidR="002C707D" w:rsidRPr="009A7163" w:rsidRDefault="002C707D" w:rsidP="00293176"/>
        </w:tc>
        <w:tc>
          <w:tcPr>
            <w:tcW w:w="1530" w:type="dxa"/>
            <w:noWrap/>
            <w:hideMark/>
          </w:tcPr>
          <w:p w14:paraId="4BD34808" w14:textId="77777777" w:rsidR="002C707D" w:rsidRPr="009A7163" w:rsidRDefault="002C707D" w:rsidP="00293176">
            <w:r w:rsidRPr="009A7163">
              <w:t>1</w:t>
            </w:r>
          </w:p>
        </w:tc>
        <w:tc>
          <w:tcPr>
            <w:tcW w:w="1170" w:type="dxa"/>
            <w:noWrap/>
            <w:hideMark/>
          </w:tcPr>
          <w:p w14:paraId="037F4648" w14:textId="77777777" w:rsidR="002C707D" w:rsidRPr="009A7163" w:rsidRDefault="002C707D" w:rsidP="00293176">
            <w:r w:rsidRPr="009A7163">
              <w:t>1</w:t>
            </w:r>
          </w:p>
        </w:tc>
      </w:tr>
      <w:tr w:rsidR="002C707D" w:rsidRPr="009A7163" w14:paraId="777A8214" w14:textId="77777777" w:rsidTr="00CB5642">
        <w:trPr>
          <w:trHeight w:val="260"/>
        </w:trPr>
        <w:tc>
          <w:tcPr>
            <w:tcW w:w="2155" w:type="dxa"/>
            <w:noWrap/>
            <w:hideMark/>
          </w:tcPr>
          <w:p w14:paraId="6083C441" w14:textId="77777777" w:rsidR="002C707D" w:rsidRPr="009A7163" w:rsidRDefault="002C707D" w:rsidP="00293176"/>
        </w:tc>
        <w:tc>
          <w:tcPr>
            <w:tcW w:w="1170" w:type="dxa"/>
            <w:noWrap/>
            <w:hideMark/>
          </w:tcPr>
          <w:p w14:paraId="3A0CCAC7" w14:textId="77777777" w:rsidR="002C707D" w:rsidRPr="009A7163" w:rsidRDefault="002C707D" w:rsidP="00293176">
            <w:r w:rsidRPr="009A7163">
              <w:t>13</w:t>
            </w:r>
          </w:p>
        </w:tc>
        <w:tc>
          <w:tcPr>
            <w:tcW w:w="1350" w:type="dxa"/>
            <w:noWrap/>
            <w:hideMark/>
          </w:tcPr>
          <w:p w14:paraId="17CC13FB" w14:textId="77777777" w:rsidR="002C707D" w:rsidRPr="009A7163" w:rsidRDefault="002C707D" w:rsidP="00293176">
            <w:r w:rsidRPr="009A7163">
              <w:t>12</w:t>
            </w:r>
          </w:p>
        </w:tc>
        <w:tc>
          <w:tcPr>
            <w:tcW w:w="1530" w:type="dxa"/>
            <w:noWrap/>
            <w:hideMark/>
          </w:tcPr>
          <w:p w14:paraId="0B2735F1" w14:textId="77777777" w:rsidR="002C707D" w:rsidRPr="009A7163" w:rsidRDefault="002C707D" w:rsidP="00293176">
            <w:r w:rsidRPr="009A7163">
              <w:t>9</w:t>
            </w:r>
          </w:p>
        </w:tc>
        <w:tc>
          <w:tcPr>
            <w:tcW w:w="1170" w:type="dxa"/>
            <w:noWrap/>
            <w:hideMark/>
          </w:tcPr>
          <w:p w14:paraId="7A4D030A" w14:textId="77777777" w:rsidR="002C707D" w:rsidRPr="009A7163" w:rsidRDefault="002C707D" w:rsidP="00293176">
            <w:r w:rsidRPr="009A7163">
              <w:t>13</w:t>
            </w:r>
          </w:p>
        </w:tc>
      </w:tr>
      <w:tr w:rsidR="002C707D" w:rsidRPr="009A7163" w14:paraId="4081158B" w14:textId="77777777" w:rsidTr="00CB5642">
        <w:trPr>
          <w:trHeight w:val="260"/>
        </w:trPr>
        <w:tc>
          <w:tcPr>
            <w:tcW w:w="2155" w:type="dxa"/>
            <w:noWrap/>
            <w:hideMark/>
          </w:tcPr>
          <w:p w14:paraId="31DD2563" w14:textId="77777777" w:rsidR="002C707D" w:rsidRPr="009A7163" w:rsidRDefault="002C707D" w:rsidP="00293176">
            <w:pPr>
              <w:rPr>
                <w:b/>
                <w:bCs/>
              </w:rPr>
            </w:pPr>
            <w:r w:rsidRPr="009A7163">
              <w:rPr>
                <w:b/>
                <w:bCs/>
              </w:rPr>
              <w:t>Producer</w:t>
            </w:r>
          </w:p>
        </w:tc>
        <w:tc>
          <w:tcPr>
            <w:tcW w:w="1170" w:type="dxa"/>
            <w:noWrap/>
            <w:hideMark/>
          </w:tcPr>
          <w:p w14:paraId="0BF02501" w14:textId="77777777" w:rsidR="002C707D" w:rsidRPr="009A7163" w:rsidRDefault="002C707D" w:rsidP="00293176">
            <w:pPr>
              <w:rPr>
                <w:b/>
                <w:bCs/>
              </w:rPr>
            </w:pPr>
          </w:p>
        </w:tc>
        <w:tc>
          <w:tcPr>
            <w:tcW w:w="1350" w:type="dxa"/>
            <w:noWrap/>
            <w:hideMark/>
          </w:tcPr>
          <w:p w14:paraId="16C84945" w14:textId="77777777" w:rsidR="002C707D" w:rsidRPr="009A7163" w:rsidRDefault="002C707D" w:rsidP="00293176"/>
        </w:tc>
        <w:tc>
          <w:tcPr>
            <w:tcW w:w="1530" w:type="dxa"/>
            <w:noWrap/>
            <w:hideMark/>
          </w:tcPr>
          <w:p w14:paraId="1CAF8E7F" w14:textId="77777777" w:rsidR="002C707D" w:rsidRPr="009A7163" w:rsidRDefault="002C707D" w:rsidP="00293176"/>
        </w:tc>
        <w:tc>
          <w:tcPr>
            <w:tcW w:w="1170" w:type="dxa"/>
            <w:noWrap/>
            <w:hideMark/>
          </w:tcPr>
          <w:p w14:paraId="15FA5AFB" w14:textId="77777777" w:rsidR="002C707D" w:rsidRPr="009A7163" w:rsidRDefault="002C707D" w:rsidP="00293176"/>
        </w:tc>
      </w:tr>
      <w:tr w:rsidR="002C707D" w:rsidRPr="009A7163" w14:paraId="00CFC1AD" w14:textId="77777777" w:rsidTr="00CB5642">
        <w:trPr>
          <w:trHeight w:val="260"/>
        </w:trPr>
        <w:tc>
          <w:tcPr>
            <w:tcW w:w="2155" w:type="dxa"/>
            <w:noWrap/>
            <w:hideMark/>
          </w:tcPr>
          <w:p w14:paraId="33243E7A" w14:textId="77777777" w:rsidR="002C707D" w:rsidRPr="009A7163" w:rsidRDefault="002C707D" w:rsidP="00293176">
            <w:r w:rsidRPr="009A7163">
              <w:t>Producer</w:t>
            </w:r>
          </w:p>
        </w:tc>
        <w:tc>
          <w:tcPr>
            <w:tcW w:w="1170" w:type="dxa"/>
            <w:noWrap/>
            <w:hideMark/>
          </w:tcPr>
          <w:p w14:paraId="107DA504" w14:textId="77777777" w:rsidR="002C707D" w:rsidRPr="009A7163" w:rsidRDefault="002C707D" w:rsidP="00293176">
            <w:r w:rsidRPr="009A7163">
              <w:t>11</w:t>
            </w:r>
          </w:p>
        </w:tc>
        <w:tc>
          <w:tcPr>
            <w:tcW w:w="1350" w:type="dxa"/>
            <w:noWrap/>
            <w:hideMark/>
          </w:tcPr>
          <w:p w14:paraId="3F304400" w14:textId="77777777" w:rsidR="002C707D" w:rsidRPr="009A7163" w:rsidRDefault="002C707D" w:rsidP="00293176">
            <w:r w:rsidRPr="009A7163">
              <w:t>11</w:t>
            </w:r>
          </w:p>
        </w:tc>
        <w:tc>
          <w:tcPr>
            <w:tcW w:w="1530" w:type="dxa"/>
            <w:noWrap/>
            <w:hideMark/>
          </w:tcPr>
          <w:p w14:paraId="39AD7AA8" w14:textId="77777777" w:rsidR="002C707D" w:rsidRPr="009A7163" w:rsidRDefault="002C707D" w:rsidP="00293176">
            <w:r w:rsidRPr="009A7163">
              <w:t>8</w:t>
            </w:r>
          </w:p>
        </w:tc>
        <w:tc>
          <w:tcPr>
            <w:tcW w:w="1170" w:type="dxa"/>
            <w:noWrap/>
            <w:hideMark/>
          </w:tcPr>
          <w:p w14:paraId="4F4763E2" w14:textId="77777777" w:rsidR="002C707D" w:rsidRPr="009A7163" w:rsidRDefault="002C707D" w:rsidP="00293176">
            <w:r w:rsidRPr="009A7163">
              <w:t>11</w:t>
            </w:r>
          </w:p>
        </w:tc>
      </w:tr>
      <w:tr w:rsidR="002C707D" w:rsidRPr="009A7163" w14:paraId="1853836C" w14:textId="77777777" w:rsidTr="00CB5642">
        <w:trPr>
          <w:trHeight w:val="260"/>
        </w:trPr>
        <w:tc>
          <w:tcPr>
            <w:tcW w:w="2155" w:type="dxa"/>
            <w:noWrap/>
            <w:hideMark/>
          </w:tcPr>
          <w:p w14:paraId="3D45C4E4" w14:textId="77777777" w:rsidR="002C707D" w:rsidRPr="009A7163" w:rsidRDefault="002C707D" w:rsidP="00293176">
            <w:r w:rsidRPr="009A7163">
              <w:t>Not a producer</w:t>
            </w:r>
          </w:p>
        </w:tc>
        <w:tc>
          <w:tcPr>
            <w:tcW w:w="1170" w:type="dxa"/>
            <w:noWrap/>
            <w:hideMark/>
          </w:tcPr>
          <w:p w14:paraId="389F3DC4" w14:textId="77777777" w:rsidR="002C707D" w:rsidRPr="009A7163" w:rsidRDefault="002C707D" w:rsidP="00293176">
            <w:r w:rsidRPr="009A7163">
              <w:t>2</w:t>
            </w:r>
          </w:p>
        </w:tc>
        <w:tc>
          <w:tcPr>
            <w:tcW w:w="1350" w:type="dxa"/>
            <w:noWrap/>
            <w:hideMark/>
          </w:tcPr>
          <w:p w14:paraId="50114C76" w14:textId="77777777" w:rsidR="002C707D" w:rsidRPr="009A7163" w:rsidRDefault="002C707D" w:rsidP="00293176"/>
        </w:tc>
        <w:tc>
          <w:tcPr>
            <w:tcW w:w="1530" w:type="dxa"/>
            <w:noWrap/>
            <w:hideMark/>
          </w:tcPr>
          <w:p w14:paraId="42AF36EA" w14:textId="77777777" w:rsidR="002C707D" w:rsidRPr="009A7163" w:rsidRDefault="002C707D" w:rsidP="00293176"/>
        </w:tc>
        <w:tc>
          <w:tcPr>
            <w:tcW w:w="1170" w:type="dxa"/>
            <w:noWrap/>
            <w:hideMark/>
          </w:tcPr>
          <w:p w14:paraId="56DA8600" w14:textId="77777777" w:rsidR="002C707D" w:rsidRPr="009A7163" w:rsidRDefault="002C707D" w:rsidP="00293176">
            <w:r w:rsidRPr="009A7163">
              <w:t>1</w:t>
            </w:r>
          </w:p>
        </w:tc>
      </w:tr>
      <w:tr w:rsidR="002C707D" w:rsidRPr="009A7163" w14:paraId="7344B320" w14:textId="77777777" w:rsidTr="00CB5642">
        <w:trPr>
          <w:trHeight w:val="260"/>
        </w:trPr>
        <w:tc>
          <w:tcPr>
            <w:tcW w:w="2155" w:type="dxa"/>
            <w:noWrap/>
            <w:hideMark/>
          </w:tcPr>
          <w:p w14:paraId="56E57C68" w14:textId="2F278D12" w:rsidR="002C707D" w:rsidRPr="009A7163" w:rsidRDefault="00B720FD" w:rsidP="00293176">
            <w:r w:rsidRPr="009A7163">
              <w:t>n.r.</w:t>
            </w:r>
          </w:p>
        </w:tc>
        <w:tc>
          <w:tcPr>
            <w:tcW w:w="1170" w:type="dxa"/>
            <w:noWrap/>
            <w:hideMark/>
          </w:tcPr>
          <w:p w14:paraId="3CE28822" w14:textId="77777777" w:rsidR="002C707D" w:rsidRPr="009A7163" w:rsidRDefault="002C707D" w:rsidP="00293176"/>
        </w:tc>
        <w:tc>
          <w:tcPr>
            <w:tcW w:w="1350" w:type="dxa"/>
            <w:noWrap/>
            <w:hideMark/>
          </w:tcPr>
          <w:p w14:paraId="598D5ED6" w14:textId="77777777" w:rsidR="002C707D" w:rsidRPr="009A7163" w:rsidRDefault="002C707D" w:rsidP="00293176">
            <w:r w:rsidRPr="009A7163">
              <w:t>1</w:t>
            </w:r>
          </w:p>
        </w:tc>
        <w:tc>
          <w:tcPr>
            <w:tcW w:w="1530" w:type="dxa"/>
            <w:noWrap/>
            <w:hideMark/>
          </w:tcPr>
          <w:p w14:paraId="1F7C1375" w14:textId="77777777" w:rsidR="002C707D" w:rsidRPr="009A7163" w:rsidRDefault="002C707D" w:rsidP="00293176">
            <w:r w:rsidRPr="009A7163">
              <w:t>1</w:t>
            </w:r>
          </w:p>
        </w:tc>
        <w:tc>
          <w:tcPr>
            <w:tcW w:w="1170" w:type="dxa"/>
            <w:noWrap/>
            <w:hideMark/>
          </w:tcPr>
          <w:p w14:paraId="76032F91" w14:textId="77777777" w:rsidR="002C707D" w:rsidRPr="009A7163" w:rsidRDefault="002C707D" w:rsidP="00293176">
            <w:r w:rsidRPr="009A7163">
              <w:t>1</w:t>
            </w:r>
          </w:p>
        </w:tc>
      </w:tr>
      <w:tr w:rsidR="002C707D" w:rsidRPr="009A7163" w14:paraId="0A345943" w14:textId="77777777" w:rsidTr="00CB5642">
        <w:trPr>
          <w:trHeight w:val="260"/>
        </w:trPr>
        <w:tc>
          <w:tcPr>
            <w:tcW w:w="2155" w:type="dxa"/>
            <w:noWrap/>
            <w:hideMark/>
          </w:tcPr>
          <w:p w14:paraId="2D98D0BB" w14:textId="77777777" w:rsidR="002C707D" w:rsidRPr="009A7163" w:rsidRDefault="002C707D" w:rsidP="00293176"/>
        </w:tc>
        <w:tc>
          <w:tcPr>
            <w:tcW w:w="1170" w:type="dxa"/>
            <w:noWrap/>
            <w:hideMark/>
          </w:tcPr>
          <w:p w14:paraId="5A8C6462" w14:textId="77777777" w:rsidR="002C707D" w:rsidRPr="009A7163" w:rsidRDefault="002C707D" w:rsidP="00293176">
            <w:r w:rsidRPr="009A7163">
              <w:t>13</w:t>
            </w:r>
          </w:p>
        </w:tc>
        <w:tc>
          <w:tcPr>
            <w:tcW w:w="1350" w:type="dxa"/>
            <w:noWrap/>
            <w:hideMark/>
          </w:tcPr>
          <w:p w14:paraId="56F3E442" w14:textId="77777777" w:rsidR="002C707D" w:rsidRPr="009A7163" w:rsidRDefault="002C707D" w:rsidP="00293176">
            <w:r w:rsidRPr="009A7163">
              <w:t>12</w:t>
            </w:r>
          </w:p>
        </w:tc>
        <w:tc>
          <w:tcPr>
            <w:tcW w:w="1530" w:type="dxa"/>
            <w:noWrap/>
            <w:hideMark/>
          </w:tcPr>
          <w:p w14:paraId="65889DF4" w14:textId="77777777" w:rsidR="002C707D" w:rsidRPr="009A7163" w:rsidRDefault="002C707D" w:rsidP="00293176">
            <w:r w:rsidRPr="009A7163">
              <w:t>9</w:t>
            </w:r>
          </w:p>
        </w:tc>
        <w:tc>
          <w:tcPr>
            <w:tcW w:w="1170" w:type="dxa"/>
            <w:noWrap/>
            <w:hideMark/>
          </w:tcPr>
          <w:p w14:paraId="45207BA6" w14:textId="77777777" w:rsidR="002C707D" w:rsidRPr="009A7163" w:rsidRDefault="002C707D" w:rsidP="00293176">
            <w:r w:rsidRPr="009A7163">
              <w:t>13</w:t>
            </w:r>
          </w:p>
        </w:tc>
      </w:tr>
      <w:tr w:rsidR="002C707D" w:rsidRPr="009A7163" w14:paraId="6F693C1D" w14:textId="77777777" w:rsidTr="00CB5642">
        <w:trPr>
          <w:trHeight w:val="260"/>
        </w:trPr>
        <w:tc>
          <w:tcPr>
            <w:tcW w:w="2155" w:type="dxa"/>
            <w:noWrap/>
            <w:hideMark/>
          </w:tcPr>
          <w:p w14:paraId="15511D89" w14:textId="77777777" w:rsidR="002C707D" w:rsidRPr="009A7163" w:rsidRDefault="002C707D" w:rsidP="00293176">
            <w:pPr>
              <w:rPr>
                <w:b/>
                <w:bCs/>
              </w:rPr>
            </w:pPr>
            <w:r w:rsidRPr="009A7163">
              <w:rPr>
                <w:b/>
                <w:bCs/>
              </w:rPr>
              <w:t>Years being part of the initiative</w:t>
            </w:r>
          </w:p>
        </w:tc>
        <w:tc>
          <w:tcPr>
            <w:tcW w:w="1170" w:type="dxa"/>
            <w:noWrap/>
            <w:hideMark/>
          </w:tcPr>
          <w:p w14:paraId="63E6BB1A" w14:textId="77777777" w:rsidR="002C707D" w:rsidRPr="009A7163" w:rsidRDefault="002C707D" w:rsidP="00293176">
            <w:pPr>
              <w:rPr>
                <w:b/>
                <w:bCs/>
              </w:rPr>
            </w:pPr>
          </w:p>
        </w:tc>
        <w:tc>
          <w:tcPr>
            <w:tcW w:w="1350" w:type="dxa"/>
            <w:noWrap/>
            <w:hideMark/>
          </w:tcPr>
          <w:p w14:paraId="25A4C657" w14:textId="77777777" w:rsidR="002C707D" w:rsidRPr="009A7163" w:rsidRDefault="002C707D" w:rsidP="00293176"/>
        </w:tc>
        <w:tc>
          <w:tcPr>
            <w:tcW w:w="1530" w:type="dxa"/>
            <w:noWrap/>
            <w:hideMark/>
          </w:tcPr>
          <w:p w14:paraId="3D59AEAE" w14:textId="77777777" w:rsidR="002C707D" w:rsidRPr="009A7163" w:rsidRDefault="002C707D" w:rsidP="00293176"/>
        </w:tc>
        <w:tc>
          <w:tcPr>
            <w:tcW w:w="1170" w:type="dxa"/>
            <w:noWrap/>
            <w:hideMark/>
          </w:tcPr>
          <w:p w14:paraId="348F1018" w14:textId="77777777" w:rsidR="002C707D" w:rsidRPr="009A7163" w:rsidRDefault="002C707D" w:rsidP="00293176"/>
        </w:tc>
      </w:tr>
      <w:tr w:rsidR="002C707D" w:rsidRPr="009A7163" w14:paraId="1F0DFEB6" w14:textId="77777777" w:rsidTr="00CB5642">
        <w:trPr>
          <w:trHeight w:val="260"/>
        </w:trPr>
        <w:tc>
          <w:tcPr>
            <w:tcW w:w="2155" w:type="dxa"/>
            <w:hideMark/>
          </w:tcPr>
          <w:p w14:paraId="333404BF" w14:textId="77777777" w:rsidR="002C707D" w:rsidRPr="009A7163" w:rsidRDefault="002C707D" w:rsidP="00293176">
            <w:r w:rsidRPr="009A7163">
              <w:t>Not part of the initiative</w:t>
            </w:r>
          </w:p>
        </w:tc>
        <w:tc>
          <w:tcPr>
            <w:tcW w:w="1170" w:type="dxa"/>
            <w:noWrap/>
            <w:hideMark/>
          </w:tcPr>
          <w:p w14:paraId="6DA6CF8D" w14:textId="77777777" w:rsidR="002C707D" w:rsidRPr="009A7163" w:rsidRDefault="002C707D" w:rsidP="00293176"/>
        </w:tc>
        <w:tc>
          <w:tcPr>
            <w:tcW w:w="1350" w:type="dxa"/>
            <w:noWrap/>
            <w:hideMark/>
          </w:tcPr>
          <w:p w14:paraId="33754EF5" w14:textId="77777777" w:rsidR="002C707D" w:rsidRPr="009A7163" w:rsidRDefault="002C707D" w:rsidP="00293176"/>
        </w:tc>
        <w:tc>
          <w:tcPr>
            <w:tcW w:w="1530" w:type="dxa"/>
            <w:noWrap/>
            <w:hideMark/>
          </w:tcPr>
          <w:p w14:paraId="3662D4DC" w14:textId="77777777" w:rsidR="002C707D" w:rsidRPr="009A7163" w:rsidRDefault="002C707D" w:rsidP="00293176"/>
        </w:tc>
        <w:tc>
          <w:tcPr>
            <w:tcW w:w="1170" w:type="dxa"/>
            <w:noWrap/>
            <w:hideMark/>
          </w:tcPr>
          <w:p w14:paraId="088CDD2F" w14:textId="77777777" w:rsidR="002C707D" w:rsidRPr="009A7163" w:rsidRDefault="002C707D" w:rsidP="00293176"/>
        </w:tc>
      </w:tr>
      <w:tr w:rsidR="002C707D" w:rsidRPr="009A7163" w14:paraId="2A5112FF" w14:textId="77777777" w:rsidTr="00CB5642">
        <w:trPr>
          <w:trHeight w:val="260"/>
        </w:trPr>
        <w:tc>
          <w:tcPr>
            <w:tcW w:w="2155" w:type="dxa"/>
            <w:hideMark/>
          </w:tcPr>
          <w:p w14:paraId="76F14D27" w14:textId="77777777" w:rsidR="002C707D" w:rsidRPr="009A7163" w:rsidRDefault="002C707D" w:rsidP="00293176">
            <w:r w:rsidRPr="009A7163">
              <w:t>Less than 3 years</w:t>
            </w:r>
          </w:p>
        </w:tc>
        <w:tc>
          <w:tcPr>
            <w:tcW w:w="1170" w:type="dxa"/>
            <w:noWrap/>
            <w:hideMark/>
          </w:tcPr>
          <w:p w14:paraId="2229C47C" w14:textId="77777777" w:rsidR="002C707D" w:rsidRPr="009A7163" w:rsidRDefault="002C707D" w:rsidP="00293176"/>
        </w:tc>
        <w:tc>
          <w:tcPr>
            <w:tcW w:w="1350" w:type="dxa"/>
            <w:noWrap/>
            <w:hideMark/>
          </w:tcPr>
          <w:p w14:paraId="37639181" w14:textId="77777777" w:rsidR="002C707D" w:rsidRPr="009A7163" w:rsidRDefault="002C707D" w:rsidP="00293176"/>
        </w:tc>
        <w:tc>
          <w:tcPr>
            <w:tcW w:w="1530" w:type="dxa"/>
            <w:noWrap/>
            <w:hideMark/>
          </w:tcPr>
          <w:p w14:paraId="01D1CE25" w14:textId="77777777" w:rsidR="002C707D" w:rsidRPr="009A7163" w:rsidRDefault="002C707D" w:rsidP="00293176"/>
        </w:tc>
        <w:tc>
          <w:tcPr>
            <w:tcW w:w="1170" w:type="dxa"/>
            <w:noWrap/>
            <w:hideMark/>
          </w:tcPr>
          <w:p w14:paraId="68DE1178" w14:textId="77777777" w:rsidR="002C707D" w:rsidRPr="009A7163" w:rsidRDefault="002C707D" w:rsidP="00293176"/>
        </w:tc>
      </w:tr>
      <w:tr w:rsidR="002C707D" w:rsidRPr="009A7163" w14:paraId="295E8FEF" w14:textId="77777777" w:rsidTr="00CB5642">
        <w:trPr>
          <w:trHeight w:val="260"/>
        </w:trPr>
        <w:tc>
          <w:tcPr>
            <w:tcW w:w="2155" w:type="dxa"/>
            <w:hideMark/>
          </w:tcPr>
          <w:p w14:paraId="0352886C" w14:textId="77777777" w:rsidR="002C707D" w:rsidRPr="009A7163" w:rsidRDefault="002C707D" w:rsidP="00293176">
            <w:r w:rsidRPr="009A7163">
              <w:t>3-6 years</w:t>
            </w:r>
          </w:p>
        </w:tc>
        <w:tc>
          <w:tcPr>
            <w:tcW w:w="1170" w:type="dxa"/>
            <w:noWrap/>
            <w:hideMark/>
          </w:tcPr>
          <w:p w14:paraId="10484B2A" w14:textId="77777777" w:rsidR="002C707D" w:rsidRPr="009A7163" w:rsidRDefault="002C707D" w:rsidP="00293176"/>
        </w:tc>
        <w:tc>
          <w:tcPr>
            <w:tcW w:w="1350" w:type="dxa"/>
            <w:noWrap/>
            <w:hideMark/>
          </w:tcPr>
          <w:p w14:paraId="40783904" w14:textId="77777777" w:rsidR="002C707D" w:rsidRPr="009A7163" w:rsidRDefault="002C707D" w:rsidP="00293176"/>
        </w:tc>
        <w:tc>
          <w:tcPr>
            <w:tcW w:w="1530" w:type="dxa"/>
            <w:noWrap/>
            <w:hideMark/>
          </w:tcPr>
          <w:p w14:paraId="5F30261E" w14:textId="77777777" w:rsidR="002C707D" w:rsidRPr="009A7163" w:rsidRDefault="002C707D" w:rsidP="00293176"/>
        </w:tc>
        <w:tc>
          <w:tcPr>
            <w:tcW w:w="1170" w:type="dxa"/>
            <w:noWrap/>
            <w:hideMark/>
          </w:tcPr>
          <w:p w14:paraId="55333AAB" w14:textId="77777777" w:rsidR="002C707D" w:rsidRPr="009A7163" w:rsidRDefault="002C707D" w:rsidP="00293176"/>
        </w:tc>
      </w:tr>
      <w:tr w:rsidR="002C707D" w:rsidRPr="009A7163" w14:paraId="41E05B75" w14:textId="77777777" w:rsidTr="00CB5642">
        <w:trPr>
          <w:trHeight w:val="260"/>
        </w:trPr>
        <w:tc>
          <w:tcPr>
            <w:tcW w:w="2155" w:type="dxa"/>
            <w:hideMark/>
          </w:tcPr>
          <w:p w14:paraId="2BC48730" w14:textId="77777777" w:rsidR="002C707D" w:rsidRPr="009A7163" w:rsidRDefault="002C707D" w:rsidP="00293176">
            <w:r w:rsidRPr="009A7163">
              <w:t>7-10 years</w:t>
            </w:r>
          </w:p>
        </w:tc>
        <w:tc>
          <w:tcPr>
            <w:tcW w:w="1170" w:type="dxa"/>
            <w:noWrap/>
            <w:hideMark/>
          </w:tcPr>
          <w:p w14:paraId="2D82FB3B" w14:textId="77777777" w:rsidR="002C707D" w:rsidRPr="009A7163" w:rsidRDefault="002C707D" w:rsidP="00293176"/>
        </w:tc>
        <w:tc>
          <w:tcPr>
            <w:tcW w:w="1350" w:type="dxa"/>
            <w:noWrap/>
            <w:hideMark/>
          </w:tcPr>
          <w:p w14:paraId="14ECC228" w14:textId="77777777" w:rsidR="002C707D" w:rsidRPr="009A7163" w:rsidRDefault="002C707D" w:rsidP="00293176"/>
        </w:tc>
        <w:tc>
          <w:tcPr>
            <w:tcW w:w="1530" w:type="dxa"/>
            <w:noWrap/>
            <w:hideMark/>
          </w:tcPr>
          <w:p w14:paraId="59E12317" w14:textId="77777777" w:rsidR="002C707D" w:rsidRPr="009A7163" w:rsidRDefault="002C707D" w:rsidP="00293176"/>
        </w:tc>
        <w:tc>
          <w:tcPr>
            <w:tcW w:w="1170" w:type="dxa"/>
            <w:noWrap/>
            <w:hideMark/>
          </w:tcPr>
          <w:p w14:paraId="2D0C09CA" w14:textId="77777777" w:rsidR="002C707D" w:rsidRPr="009A7163" w:rsidRDefault="002C707D" w:rsidP="00293176"/>
        </w:tc>
      </w:tr>
      <w:tr w:rsidR="002C707D" w:rsidRPr="009A7163" w14:paraId="294C4FBE" w14:textId="77777777" w:rsidTr="00CB5642">
        <w:trPr>
          <w:trHeight w:val="260"/>
        </w:trPr>
        <w:tc>
          <w:tcPr>
            <w:tcW w:w="2155" w:type="dxa"/>
            <w:hideMark/>
          </w:tcPr>
          <w:p w14:paraId="57215F82" w14:textId="77777777" w:rsidR="002C707D" w:rsidRPr="009A7163" w:rsidRDefault="002C707D" w:rsidP="00293176">
            <w:r w:rsidRPr="009A7163">
              <w:t>More than 10 years</w:t>
            </w:r>
          </w:p>
        </w:tc>
        <w:tc>
          <w:tcPr>
            <w:tcW w:w="1170" w:type="dxa"/>
            <w:noWrap/>
            <w:hideMark/>
          </w:tcPr>
          <w:p w14:paraId="3659ED6C" w14:textId="77777777" w:rsidR="002C707D" w:rsidRPr="009A7163" w:rsidRDefault="002C707D" w:rsidP="00293176"/>
        </w:tc>
        <w:tc>
          <w:tcPr>
            <w:tcW w:w="1350" w:type="dxa"/>
            <w:noWrap/>
            <w:hideMark/>
          </w:tcPr>
          <w:p w14:paraId="32F610FE" w14:textId="77777777" w:rsidR="002C707D" w:rsidRPr="009A7163" w:rsidRDefault="002C707D" w:rsidP="00293176"/>
        </w:tc>
        <w:tc>
          <w:tcPr>
            <w:tcW w:w="1530" w:type="dxa"/>
            <w:noWrap/>
            <w:hideMark/>
          </w:tcPr>
          <w:p w14:paraId="24F6A210" w14:textId="77777777" w:rsidR="002C707D" w:rsidRPr="009A7163" w:rsidRDefault="002C707D" w:rsidP="00293176"/>
        </w:tc>
        <w:tc>
          <w:tcPr>
            <w:tcW w:w="1170" w:type="dxa"/>
            <w:noWrap/>
            <w:hideMark/>
          </w:tcPr>
          <w:p w14:paraId="24B405B9" w14:textId="77777777" w:rsidR="002C707D" w:rsidRPr="009A7163" w:rsidRDefault="002C707D" w:rsidP="00293176"/>
        </w:tc>
      </w:tr>
      <w:tr w:rsidR="002C707D" w:rsidRPr="009A7163" w14:paraId="0B6FC3F8" w14:textId="77777777" w:rsidTr="00CB5642">
        <w:trPr>
          <w:trHeight w:val="260"/>
        </w:trPr>
        <w:tc>
          <w:tcPr>
            <w:tcW w:w="2155" w:type="dxa"/>
            <w:noWrap/>
            <w:hideMark/>
          </w:tcPr>
          <w:p w14:paraId="6F9BF513" w14:textId="77777777" w:rsidR="002C707D" w:rsidRPr="009A7163" w:rsidRDefault="002C707D" w:rsidP="00293176"/>
        </w:tc>
        <w:tc>
          <w:tcPr>
            <w:tcW w:w="1170" w:type="dxa"/>
            <w:noWrap/>
            <w:hideMark/>
          </w:tcPr>
          <w:p w14:paraId="4D15DDED" w14:textId="77777777" w:rsidR="002C707D" w:rsidRPr="009A7163" w:rsidRDefault="002C707D" w:rsidP="00293176"/>
        </w:tc>
        <w:tc>
          <w:tcPr>
            <w:tcW w:w="1350" w:type="dxa"/>
            <w:noWrap/>
            <w:hideMark/>
          </w:tcPr>
          <w:p w14:paraId="5AEFA909" w14:textId="77777777" w:rsidR="002C707D" w:rsidRPr="009A7163" w:rsidRDefault="002C707D" w:rsidP="00293176"/>
        </w:tc>
        <w:tc>
          <w:tcPr>
            <w:tcW w:w="1530" w:type="dxa"/>
            <w:noWrap/>
            <w:hideMark/>
          </w:tcPr>
          <w:p w14:paraId="3734933D" w14:textId="77777777" w:rsidR="002C707D" w:rsidRPr="009A7163" w:rsidRDefault="002C707D" w:rsidP="00293176"/>
        </w:tc>
        <w:tc>
          <w:tcPr>
            <w:tcW w:w="1170" w:type="dxa"/>
            <w:noWrap/>
            <w:hideMark/>
          </w:tcPr>
          <w:p w14:paraId="7701643F" w14:textId="77777777" w:rsidR="002C707D" w:rsidRPr="009A7163" w:rsidRDefault="002C707D" w:rsidP="00293176"/>
        </w:tc>
      </w:tr>
    </w:tbl>
    <w:p w14:paraId="59BDB6F7" w14:textId="77777777" w:rsidR="002C707D" w:rsidRPr="009A7163" w:rsidRDefault="002C707D" w:rsidP="00293176"/>
    <w:p w14:paraId="61D3D8F0" w14:textId="0041CEA8" w:rsidR="002C707D" w:rsidRPr="009A7163" w:rsidRDefault="002C707D" w:rsidP="00293176">
      <w:pPr>
        <w:pStyle w:val="TableTOC"/>
        <w:rPr>
          <w:lang w:val="en-GB"/>
        </w:rPr>
      </w:pPr>
      <w:bookmarkStart w:id="59" w:name="_Toc526710013"/>
      <w:r w:rsidRPr="009A7163">
        <w:rPr>
          <w:lang w:val="en-GB"/>
        </w:rPr>
        <w:lastRenderedPageBreak/>
        <w:t xml:space="preserve">Table </w:t>
      </w:r>
      <w:r w:rsidR="007B69E5" w:rsidRPr="009A7163">
        <w:rPr>
          <w:lang w:val="en-GB"/>
        </w:rPr>
        <w:t>3</w:t>
      </w:r>
      <w:r w:rsidRPr="009A7163">
        <w:rPr>
          <w:lang w:val="en-GB"/>
        </w:rPr>
        <w:t>.9. San Ramón Time Use Surveys (Women)</w:t>
      </w:r>
      <w:bookmarkEnd w:id="59"/>
    </w:p>
    <w:tbl>
      <w:tblPr>
        <w:tblStyle w:val="TableGrid1"/>
        <w:tblW w:w="0" w:type="auto"/>
        <w:tblLook w:val="04A0" w:firstRow="1" w:lastRow="0" w:firstColumn="1" w:lastColumn="0" w:noHBand="0" w:noVBand="1"/>
      </w:tblPr>
      <w:tblGrid>
        <w:gridCol w:w="1401"/>
        <w:gridCol w:w="1245"/>
        <w:gridCol w:w="1170"/>
        <w:gridCol w:w="1229"/>
        <w:gridCol w:w="1203"/>
        <w:gridCol w:w="723"/>
      </w:tblGrid>
      <w:tr w:rsidR="002C707D" w:rsidRPr="009A7163" w14:paraId="38F41111" w14:textId="77777777" w:rsidTr="00CB5642">
        <w:trPr>
          <w:trHeight w:val="701"/>
        </w:trPr>
        <w:tc>
          <w:tcPr>
            <w:tcW w:w="1401" w:type="dxa"/>
          </w:tcPr>
          <w:p w14:paraId="173663B4" w14:textId="77777777" w:rsidR="002C707D" w:rsidRPr="009A7163" w:rsidRDefault="002C707D" w:rsidP="00293176">
            <w:pPr>
              <w:ind w:hanging="23"/>
              <w:rPr>
                <w:b/>
              </w:rPr>
            </w:pPr>
            <w:r w:rsidRPr="009A7163">
              <w:rPr>
                <w:b/>
              </w:rPr>
              <w:t>Timeframe</w:t>
            </w:r>
          </w:p>
        </w:tc>
        <w:tc>
          <w:tcPr>
            <w:tcW w:w="1245" w:type="dxa"/>
          </w:tcPr>
          <w:p w14:paraId="1C9BB52D" w14:textId="77777777" w:rsidR="002C707D" w:rsidRPr="009A7163" w:rsidRDefault="002C707D" w:rsidP="00293176">
            <w:pPr>
              <w:ind w:hanging="23"/>
            </w:pPr>
            <w:r w:rsidRPr="009A7163">
              <w:rPr>
                <w:b/>
              </w:rPr>
              <w:t>Post- harvest</w:t>
            </w:r>
          </w:p>
        </w:tc>
        <w:tc>
          <w:tcPr>
            <w:tcW w:w="1170" w:type="dxa"/>
          </w:tcPr>
          <w:p w14:paraId="1C824F73" w14:textId="77777777" w:rsidR="002C707D" w:rsidRPr="009A7163" w:rsidRDefault="002C707D" w:rsidP="00293176">
            <w:pPr>
              <w:ind w:hanging="23"/>
            </w:pPr>
            <w:r w:rsidRPr="009A7163">
              <w:rPr>
                <w:b/>
              </w:rPr>
              <w:t>Non-harvest</w:t>
            </w:r>
          </w:p>
        </w:tc>
        <w:tc>
          <w:tcPr>
            <w:tcW w:w="1229" w:type="dxa"/>
          </w:tcPr>
          <w:p w14:paraId="4E2EA8EC" w14:textId="77777777" w:rsidR="002C707D" w:rsidRPr="009A7163" w:rsidRDefault="002C707D" w:rsidP="00293176">
            <w:pPr>
              <w:ind w:hanging="23"/>
            </w:pPr>
            <w:r w:rsidRPr="009A7163">
              <w:rPr>
                <w:b/>
              </w:rPr>
              <w:t>Pre -Harvest</w:t>
            </w:r>
          </w:p>
        </w:tc>
        <w:tc>
          <w:tcPr>
            <w:tcW w:w="1203" w:type="dxa"/>
          </w:tcPr>
          <w:p w14:paraId="6F133DC6" w14:textId="77777777" w:rsidR="002C707D" w:rsidRPr="009A7163" w:rsidRDefault="002C707D" w:rsidP="00293176">
            <w:pPr>
              <w:ind w:hanging="23"/>
            </w:pPr>
            <w:r w:rsidRPr="009A7163">
              <w:rPr>
                <w:b/>
              </w:rPr>
              <w:t>Harvest</w:t>
            </w:r>
          </w:p>
        </w:tc>
        <w:tc>
          <w:tcPr>
            <w:tcW w:w="723" w:type="dxa"/>
          </w:tcPr>
          <w:p w14:paraId="5035BF2D" w14:textId="77777777" w:rsidR="002C707D" w:rsidRPr="009A7163" w:rsidRDefault="002C707D" w:rsidP="00293176">
            <w:pPr>
              <w:ind w:hanging="23"/>
            </w:pPr>
            <w:r w:rsidRPr="009A7163">
              <w:t>Total</w:t>
            </w:r>
          </w:p>
        </w:tc>
      </w:tr>
      <w:tr w:rsidR="002C707D" w:rsidRPr="009A7163" w14:paraId="3658D5E4" w14:textId="77777777" w:rsidTr="00CB5642">
        <w:trPr>
          <w:trHeight w:val="242"/>
        </w:trPr>
        <w:tc>
          <w:tcPr>
            <w:tcW w:w="1401" w:type="dxa"/>
          </w:tcPr>
          <w:p w14:paraId="063F8C5A" w14:textId="77777777" w:rsidR="002C707D" w:rsidRPr="009A7163" w:rsidRDefault="002C707D" w:rsidP="00293176">
            <w:pPr>
              <w:ind w:hanging="23"/>
            </w:pPr>
            <w:r w:rsidRPr="009A7163">
              <w:t>Month(s)</w:t>
            </w:r>
          </w:p>
        </w:tc>
        <w:tc>
          <w:tcPr>
            <w:tcW w:w="1245" w:type="dxa"/>
          </w:tcPr>
          <w:p w14:paraId="4EF7FDA2" w14:textId="77777777" w:rsidR="002C707D" w:rsidRPr="009A7163" w:rsidRDefault="002C707D" w:rsidP="00293176">
            <w:pPr>
              <w:ind w:hanging="23"/>
            </w:pPr>
            <w:r w:rsidRPr="009A7163">
              <w:t>February 2015</w:t>
            </w:r>
          </w:p>
        </w:tc>
        <w:tc>
          <w:tcPr>
            <w:tcW w:w="1170" w:type="dxa"/>
          </w:tcPr>
          <w:p w14:paraId="1ACA1EBF" w14:textId="77777777" w:rsidR="002C707D" w:rsidRPr="009A7163" w:rsidRDefault="002C707D" w:rsidP="00293176">
            <w:pPr>
              <w:ind w:hanging="23"/>
            </w:pPr>
            <w:r w:rsidRPr="009A7163">
              <w:t>July 2015</w:t>
            </w:r>
          </w:p>
        </w:tc>
        <w:tc>
          <w:tcPr>
            <w:tcW w:w="1229" w:type="dxa"/>
          </w:tcPr>
          <w:p w14:paraId="570A58A2" w14:textId="77777777" w:rsidR="002C707D" w:rsidRPr="009A7163" w:rsidRDefault="002C707D" w:rsidP="00293176">
            <w:pPr>
              <w:ind w:hanging="23"/>
            </w:pPr>
            <w:r w:rsidRPr="009A7163">
              <w:t>November 2015 – January 2016</w:t>
            </w:r>
          </w:p>
        </w:tc>
        <w:tc>
          <w:tcPr>
            <w:tcW w:w="1203" w:type="dxa"/>
          </w:tcPr>
          <w:p w14:paraId="42F7111F" w14:textId="77777777" w:rsidR="002C707D" w:rsidRPr="009A7163" w:rsidRDefault="002C707D" w:rsidP="00293176">
            <w:pPr>
              <w:ind w:hanging="23"/>
            </w:pPr>
            <w:r w:rsidRPr="009A7163">
              <w:t>December 2017</w:t>
            </w:r>
          </w:p>
        </w:tc>
        <w:tc>
          <w:tcPr>
            <w:tcW w:w="723" w:type="dxa"/>
          </w:tcPr>
          <w:p w14:paraId="1B58BD09" w14:textId="77777777" w:rsidR="002C707D" w:rsidRPr="009A7163" w:rsidRDefault="002C707D" w:rsidP="00293176">
            <w:pPr>
              <w:ind w:hanging="23"/>
            </w:pPr>
          </w:p>
        </w:tc>
      </w:tr>
      <w:tr w:rsidR="002C707D" w:rsidRPr="009A7163" w14:paraId="6F11CF15" w14:textId="77777777" w:rsidTr="00CB5642">
        <w:trPr>
          <w:trHeight w:val="242"/>
        </w:trPr>
        <w:tc>
          <w:tcPr>
            <w:tcW w:w="1401" w:type="dxa"/>
          </w:tcPr>
          <w:p w14:paraId="09125A95" w14:textId="77777777" w:rsidR="002C707D" w:rsidRPr="009A7163" w:rsidRDefault="002C707D" w:rsidP="00293176">
            <w:pPr>
              <w:ind w:hanging="23"/>
            </w:pPr>
            <w:r w:rsidRPr="009A7163">
              <w:t>Survey Type</w:t>
            </w:r>
          </w:p>
        </w:tc>
        <w:tc>
          <w:tcPr>
            <w:tcW w:w="1245" w:type="dxa"/>
          </w:tcPr>
          <w:p w14:paraId="2029B5EF" w14:textId="77777777" w:rsidR="002C707D" w:rsidRPr="009A7163" w:rsidRDefault="002C707D" w:rsidP="00293176">
            <w:pPr>
              <w:ind w:hanging="23"/>
            </w:pPr>
            <w:r w:rsidRPr="009A7163">
              <w:t>TUS 1</w:t>
            </w:r>
          </w:p>
        </w:tc>
        <w:tc>
          <w:tcPr>
            <w:tcW w:w="1170" w:type="dxa"/>
          </w:tcPr>
          <w:p w14:paraId="7B356750" w14:textId="77777777" w:rsidR="002C707D" w:rsidRPr="009A7163" w:rsidRDefault="002C707D" w:rsidP="00293176">
            <w:pPr>
              <w:ind w:hanging="23"/>
            </w:pPr>
            <w:r w:rsidRPr="009A7163">
              <w:t>TUS 2</w:t>
            </w:r>
          </w:p>
        </w:tc>
        <w:tc>
          <w:tcPr>
            <w:tcW w:w="1229" w:type="dxa"/>
          </w:tcPr>
          <w:p w14:paraId="4AC971EE" w14:textId="77777777" w:rsidR="002C707D" w:rsidRPr="009A7163" w:rsidRDefault="002C707D" w:rsidP="00293176">
            <w:pPr>
              <w:ind w:hanging="23"/>
            </w:pPr>
            <w:r w:rsidRPr="009A7163">
              <w:t>TUS 3</w:t>
            </w:r>
          </w:p>
        </w:tc>
        <w:tc>
          <w:tcPr>
            <w:tcW w:w="1203" w:type="dxa"/>
          </w:tcPr>
          <w:p w14:paraId="2D2499B2" w14:textId="77777777" w:rsidR="002C707D" w:rsidRPr="009A7163" w:rsidRDefault="002C707D" w:rsidP="00293176">
            <w:pPr>
              <w:ind w:hanging="23"/>
            </w:pPr>
            <w:r w:rsidRPr="009A7163">
              <w:t>TUS 4</w:t>
            </w:r>
          </w:p>
        </w:tc>
        <w:tc>
          <w:tcPr>
            <w:tcW w:w="723" w:type="dxa"/>
          </w:tcPr>
          <w:p w14:paraId="7028FA28" w14:textId="77777777" w:rsidR="002C707D" w:rsidRPr="009A7163" w:rsidRDefault="002C707D" w:rsidP="00293176">
            <w:pPr>
              <w:ind w:hanging="23"/>
            </w:pPr>
          </w:p>
        </w:tc>
      </w:tr>
      <w:tr w:rsidR="002C707D" w:rsidRPr="009A7163" w14:paraId="2E3BC158" w14:textId="77777777" w:rsidTr="00CB5642">
        <w:trPr>
          <w:trHeight w:val="242"/>
        </w:trPr>
        <w:tc>
          <w:tcPr>
            <w:tcW w:w="1401" w:type="dxa"/>
          </w:tcPr>
          <w:p w14:paraId="194250E4" w14:textId="77777777" w:rsidR="002C707D" w:rsidRPr="009A7163" w:rsidRDefault="002C707D" w:rsidP="00293176">
            <w:pPr>
              <w:ind w:hanging="23"/>
            </w:pPr>
            <w:r w:rsidRPr="009A7163">
              <w:t xml:space="preserve">Overall group </w:t>
            </w:r>
          </w:p>
        </w:tc>
        <w:tc>
          <w:tcPr>
            <w:tcW w:w="1245" w:type="dxa"/>
          </w:tcPr>
          <w:p w14:paraId="202602D6" w14:textId="77777777" w:rsidR="002C707D" w:rsidRPr="009A7163" w:rsidRDefault="002C707D" w:rsidP="00293176">
            <w:pPr>
              <w:ind w:hanging="23"/>
            </w:pPr>
            <w:r w:rsidRPr="009A7163">
              <w:t>14</w:t>
            </w:r>
          </w:p>
        </w:tc>
        <w:tc>
          <w:tcPr>
            <w:tcW w:w="1170" w:type="dxa"/>
          </w:tcPr>
          <w:p w14:paraId="6D479492" w14:textId="77777777" w:rsidR="002C707D" w:rsidRPr="009A7163" w:rsidRDefault="002C707D" w:rsidP="00293176">
            <w:pPr>
              <w:ind w:hanging="23"/>
            </w:pPr>
            <w:r w:rsidRPr="009A7163">
              <w:t>12</w:t>
            </w:r>
          </w:p>
        </w:tc>
        <w:tc>
          <w:tcPr>
            <w:tcW w:w="1229" w:type="dxa"/>
          </w:tcPr>
          <w:p w14:paraId="6E1B9428" w14:textId="77777777" w:rsidR="002C707D" w:rsidRPr="009A7163" w:rsidRDefault="002C707D" w:rsidP="00293176">
            <w:pPr>
              <w:ind w:hanging="23"/>
            </w:pPr>
            <w:r w:rsidRPr="009A7163">
              <w:t>8</w:t>
            </w:r>
          </w:p>
        </w:tc>
        <w:tc>
          <w:tcPr>
            <w:tcW w:w="1203" w:type="dxa"/>
          </w:tcPr>
          <w:p w14:paraId="330FAAC2" w14:textId="77777777" w:rsidR="002C707D" w:rsidRPr="009A7163" w:rsidRDefault="002C707D" w:rsidP="00293176">
            <w:pPr>
              <w:ind w:hanging="23"/>
            </w:pPr>
            <w:r w:rsidRPr="009A7163">
              <w:t>11</w:t>
            </w:r>
          </w:p>
        </w:tc>
        <w:tc>
          <w:tcPr>
            <w:tcW w:w="723" w:type="dxa"/>
          </w:tcPr>
          <w:p w14:paraId="7B16A16D" w14:textId="77777777" w:rsidR="002C707D" w:rsidRPr="009A7163" w:rsidRDefault="002C707D" w:rsidP="00293176">
            <w:pPr>
              <w:ind w:hanging="23"/>
            </w:pPr>
            <w:r w:rsidRPr="009A7163">
              <w:t>45</w:t>
            </w:r>
          </w:p>
        </w:tc>
      </w:tr>
      <w:tr w:rsidR="002C707D" w:rsidRPr="009A7163" w14:paraId="7B4AD872" w14:textId="77777777" w:rsidTr="00CB5642">
        <w:trPr>
          <w:trHeight w:val="242"/>
        </w:trPr>
        <w:tc>
          <w:tcPr>
            <w:tcW w:w="1401" w:type="dxa"/>
          </w:tcPr>
          <w:p w14:paraId="4575126D" w14:textId="77777777" w:rsidR="002C707D" w:rsidRPr="009A7163" w:rsidRDefault="002C707D" w:rsidP="00293176">
            <w:pPr>
              <w:ind w:hanging="23"/>
            </w:pPr>
            <w:r w:rsidRPr="009A7163">
              <w:t>Sample</w:t>
            </w:r>
          </w:p>
        </w:tc>
        <w:tc>
          <w:tcPr>
            <w:tcW w:w="1245" w:type="dxa"/>
          </w:tcPr>
          <w:p w14:paraId="3750C80C" w14:textId="77777777" w:rsidR="002C707D" w:rsidRPr="009A7163" w:rsidRDefault="002C707D" w:rsidP="00293176">
            <w:pPr>
              <w:ind w:hanging="23"/>
            </w:pPr>
            <w:r w:rsidRPr="009A7163">
              <w:t>12</w:t>
            </w:r>
          </w:p>
        </w:tc>
        <w:tc>
          <w:tcPr>
            <w:tcW w:w="1170" w:type="dxa"/>
          </w:tcPr>
          <w:p w14:paraId="31175624" w14:textId="77777777" w:rsidR="002C707D" w:rsidRPr="009A7163" w:rsidRDefault="002C707D" w:rsidP="00293176">
            <w:pPr>
              <w:ind w:hanging="23"/>
            </w:pPr>
            <w:r w:rsidRPr="009A7163">
              <w:t>9</w:t>
            </w:r>
          </w:p>
        </w:tc>
        <w:tc>
          <w:tcPr>
            <w:tcW w:w="1229" w:type="dxa"/>
          </w:tcPr>
          <w:p w14:paraId="67507E7D" w14:textId="77777777" w:rsidR="002C707D" w:rsidRPr="009A7163" w:rsidRDefault="002C707D" w:rsidP="00293176">
            <w:pPr>
              <w:ind w:hanging="23"/>
            </w:pPr>
            <w:r w:rsidRPr="009A7163">
              <w:t>7</w:t>
            </w:r>
          </w:p>
        </w:tc>
        <w:tc>
          <w:tcPr>
            <w:tcW w:w="1203" w:type="dxa"/>
          </w:tcPr>
          <w:p w14:paraId="16117254" w14:textId="77777777" w:rsidR="002C707D" w:rsidRPr="009A7163" w:rsidRDefault="002C707D" w:rsidP="00293176">
            <w:pPr>
              <w:ind w:hanging="23"/>
            </w:pPr>
            <w:r w:rsidRPr="009A7163">
              <w:t>11</w:t>
            </w:r>
          </w:p>
        </w:tc>
        <w:tc>
          <w:tcPr>
            <w:tcW w:w="723" w:type="dxa"/>
          </w:tcPr>
          <w:p w14:paraId="365BD017" w14:textId="77777777" w:rsidR="002C707D" w:rsidRPr="009A7163" w:rsidRDefault="002C707D" w:rsidP="00293176">
            <w:pPr>
              <w:ind w:hanging="23"/>
            </w:pPr>
            <w:r w:rsidRPr="009A7163">
              <w:t>39</w:t>
            </w:r>
          </w:p>
        </w:tc>
      </w:tr>
    </w:tbl>
    <w:p w14:paraId="6AF8EE70" w14:textId="0AB30A4D" w:rsidR="002C707D" w:rsidRPr="009A7163" w:rsidRDefault="002C707D" w:rsidP="00293176">
      <w:pPr>
        <w:pStyle w:val="TableTOC"/>
        <w:spacing w:before="480"/>
        <w:jc w:val="left"/>
        <w:rPr>
          <w:lang w:val="en-GB"/>
        </w:rPr>
      </w:pPr>
      <w:bookmarkStart w:id="60" w:name="_Toc526710014"/>
      <w:r w:rsidRPr="009A7163">
        <w:rPr>
          <w:lang w:val="en-GB"/>
        </w:rPr>
        <w:t xml:space="preserve">Table </w:t>
      </w:r>
      <w:r w:rsidR="007B69E5" w:rsidRPr="009A7163">
        <w:rPr>
          <w:lang w:val="en-GB"/>
        </w:rPr>
        <w:t>3</w:t>
      </w:r>
      <w:r w:rsidRPr="009A7163">
        <w:rPr>
          <w:lang w:val="en-GB"/>
        </w:rPr>
        <w:t>.10. San Ramón Time Use Surveys Family Members (Men and Sons/</w:t>
      </w:r>
      <w:r w:rsidR="007B69E5" w:rsidRPr="009A7163">
        <w:rPr>
          <w:lang w:val="en-GB"/>
        </w:rPr>
        <w:t>D</w:t>
      </w:r>
      <w:r w:rsidRPr="009A7163">
        <w:rPr>
          <w:lang w:val="en-GB"/>
        </w:rPr>
        <w:t>aughters)</w:t>
      </w:r>
      <w:bookmarkEnd w:id="60"/>
    </w:p>
    <w:tbl>
      <w:tblPr>
        <w:tblStyle w:val="TableGrid1"/>
        <w:tblW w:w="0" w:type="auto"/>
        <w:tblLook w:val="04A0" w:firstRow="1" w:lastRow="0" w:firstColumn="1" w:lastColumn="0" w:noHBand="0" w:noVBand="1"/>
      </w:tblPr>
      <w:tblGrid>
        <w:gridCol w:w="1401"/>
        <w:gridCol w:w="1245"/>
        <w:gridCol w:w="1170"/>
        <w:gridCol w:w="1229"/>
        <w:gridCol w:w="1203"/>
        <w:gridCol w:w="723"/>
      </w:tblGrid>
      <w:tr w:rsidR="002C707D" w:rsidRPr="009A7163" w14:paraId="112F227A" w14:textId="77777777" w:rsidTr="00CB5642">
        <w:trPr>
          <w:trHeight w:val="701"/>
        </w:trPr>
        <w:tc>
          <w:tcPr>
            <w:tcW w:w="1401" w:type="dxa"/>
          </w:tcPr>
          <w:p w14:paraId="6AE02C91" w14:textId="77777777" w:rsidR="002C707D" w:rsidRPr="009A7163" w:rsidRDefault="002C707D" w:rsidP="00293176">
            <w:pPr>
              <w:rPr>
                <w:b/>
              </w:rPr>
            </w:pPr>
            <w:r w:rsidRPr="009A7163">
              <w:rPr>
                <w:b/>
              </w:rPr>
              <w:t>Timeframe</w:t>
            </w:r>
          </w:p>
        </w:tc>
        <w:tc>
          <w:tcPr>
            <w:tcW w:w="1245" w:type="dxa"/>
          </w:tcPr>
          <w:p w14:paraId="351AB23C" w14:textId="77777777" w:rsidR="002C707D" w:rsidRPr="009A7163" w:rsidRDefault="002C707D" w:rsidP="00293176">
            <w:r w:rsidRPr="009A7163">
              <w:rPr>
                <w:b/>
              </w:rPr>
              <w:t>Post- harvest</w:t>
            </w:r>
          </w:p>
        </w:tc>
        <w:tc>
          <w:tcPr>
            <w:tcW w:w="1170" w:type="dxa"/>
          </w:tcPr>
          <w:p w14:paraId="5C346F80" w14:textId="77777777" w:rsidR="002C707D" w:rsidRPr="009A7163" w:rsidRDefault="002C707D" w:rsidP="00293176">
            <w:r w:rsidRPr="009A7163">
              <w:rPr>
                <w:b/>
              </w:rPr>
              <w:t>Non-harvest</w:t>
            </w:r>
          </w:p>
        </w:tc>
        <w:tc>
          <w:tcPr>
            <w:tcW w:w="1229" w:type="dxa"/>
          </w:tcPr>
          <w:p w14:paraId="62A67B2F" w14:textId="77777777" w:rsidR="002C707D" w:rsidRPr="009A7163" w:rsidRDefault="002C707D" w:rsidP="00293176">
            <w:r w:rsidRPr="009A7163">
              <w:rPr>
                <w:b/>
              </w:rPr>
              <w:t>Pre -Harvest</w:t>
            </w:r>
          </w:p>
        </w:tc>
        <w:tc>
          <w:tcPr>
            <w:tcW w:w="1203" w:type="dxa"/>
          </w:tcPr>
          <w:p w14:paraId="27D09351" w14:textId="77777777" w:rsidR="002C707D" w:rsidRPr="009A7163" w:rsidRDefault="002C707D" w:rsidP="00293176">
            <w:r w:rsidRPr="009A7163">
              <w:rPr>
                <w:b/>
              </w:rPr>
              <w:t>Harvest</w:t>
            </w:r>
          </w:p>
        </w:tc>
        <w:tc>
          <w:tcPr>
            <w:tcW w:w="723" w:type="dxa"/>
          </w:tcPr>
          <w:p w14:paraId="07B04AB8" w14:textId="77777777" w:rsidR="002C707D" w:rsidRPr="009A7163" w:rsidRDefault="002C707D" w:rsidP="00293176">
            <w:r w:rsidRPr="009A7163">
              <w:t>Total</w:t>
            </w:r>
          </w:p>
        </w:tc>
      </w:tr>
      <w:tr w:rsidR="002C707D" w:rsidRPr="009A7163" w14:paraId="3C791A22" w14:textId="77777777" w:rsidTr="00CB5642">
        <w:trPr>
          <w:trHeight w:val="242"/>
        </w:trPr>
        <w:tc>
          <w:tcPr>
            <w:tcW w:w="1401" w:type="dxa"/>
          </w:tcPr>
          <w:p w14:paraId="584A6D8C" w14:textId="77777777" w:rsidR="002C707D" w:rsidRPr="009A7163" w:rsidRDefault="002C707D" w:rsidP="00293176">
            <w:r w:rsidRPr="009A7163">
              <w:t>Month(s)</w:t>
            </w:r>
          </w:p>
        </w:tc>
        <w:tc>
          <w:tcPr>
            <w:tcW w:w="1245" w:type="dxa"/>
          </w:tcPr>
          <w:p w14:paraId="3A597BC9" w14:textId="77777777" w:rsidR="002C707D" w:rsidRPr="009A7163" w:rsidRDefault="002C707D" w:rsidP="00293176">
            <w:r w:rsidRPr="009A7163">
              <w:t>February 2015</w:t>
            </w:r>
          </w:p>
        </w:tc>
        <w:tc>
          <w:tcPr>
            <w:tcW w:w="1170" w:type="dxa"/>
          </w:tcPr>
          <w:p w14:paraId="15EEA564" w14:textId="77777777" w:rsidR="002C707D" w:rsidRPr="009A7163" w:rsidRDefault="002C707D" w:rsidP="00293176">
            <w:r w:rsidRPr="009A7163">
              <w:t>July 2015</w:t>
            </w:r>
          </w:p>
        </w:tc>
        <w:tc>
          <w:tcPr>
            <w:tcW w:w="1229" w:type="dxa"/>
          </w:tcPr>
          <w:p w14:paraId="7F4B98DC" w14:textId="77777777" w:rsidR="002C707D" w:rsidRPr="009A7163" w:rsidRDefault="002C707D" w:rsidP="00293176">
            <w:r w:rsidRPr="009A7163">
              <w:t>November 2015 – January 2016</w:t>
            </w:r>
          </w:p>
        </w:tc>
        <w:tc>
          <w:tcPr>
            <w:tcW w:w="1203" w:type="dxa"/>
          </w:tcPr>
          <w:p w14:paraId="12341E38" w14:textId="77777777" w:rsidR="002C707D" w:rsidRPr="009A7163" w:rsidRDefault="002C707D" w:rsidP="00293176">
            <w:r w:rsidRPr="009A7163">
              <w:t>December 2017</w:t>
            </w:r>
          </w:p>
        </w:tc>
        <w:tc>
          <w:tcPr>
            <w:tcW w:w="723" w:type="dxa"/>
          </w:tcPr>
          <w:p w14:paraId="74780C34" w14:textId="77777777" w:rsidR="002C707D" w:rsidRPr="009A7163" w:rsidRDefault="002C707D" w:rsidP="00293176"/>
        </w:tc>
      </w:tr>
      <w:tr w:rsidR="002C707D" w:rsidRPr="009A7163" w14:paraId="53854EDB" w14:textId="77777777" w:rsidTr="00CB5642">
        <w:trPr>
          <w:trHeight w:val="242"/>
        </w:trPr>
        <w:tc>
          <w:tcPr>
            <w:tcW w:w="1401" w:type="dxa"/>
          </w:tcPr>
          <w:p w14:paraId="0CEC4BEB" w14:textId="77777777" w:rsidR="002C707D" w:rsidRPr="009A7163" w:rsidRDefault="002C707D" w:rsidP="00293176">
            <w:r w:rsidRPr="009A7163">
              <w:t>Survey Type</w:t>
            </w:r>
          </w:p>
        </w:tc>
        <w:tc>
          <w:tcPr>
            <w:tcW w:w="1245" w:type="dxa"/>
          </w:tcPr>
          <w:p w14:paraId="6029275F" w14:textId="77777777" w:rsidR="002C707D" w:rsidRPr="009A7163" w:rsidRDefault="002C707D" w:rsidP="00293176">
            <w:r w:rsidRPr="009A7163">
              <w:t>TUS 1</w:t>
            </w:r>
          </w:p>
        </w:tc>
        <w:tc>
          <w:tcPr>
            <w:tcW w:w="1170" w:type="dxa"/>
          </w:tcPr>
          <w:p w14:paraId="25D85FC6" w14:textId="77777777" w:rsidR="002C707D" w:rsidRPr="009A7163" w:rsidRDefault="002C707D" w:rsidP="00293176">
            <w:r w:rsidRPr="009A7163">
              <w:t>TUS 2</w:t>
            </w:r>
          </w:p>
        </w:tc>
        <w:tc>
          <w:tcPr>
            <w:tcW w:w="1229" w:type="dxa"/>
          </w:tcPr>
          <w:p w14:paraId="78DEF6DC" w14:textId="77777777" w:rsidR="002C707D" w:rsidRPr="009A7163" w:rsidRDefault="002C707D" w:rsidP="00293176">
            <w:r w:rsidRPr="009A7163">
              <w:t>TUS 3</w:t>
            </w:r>
          </w:p>
        </w:tc>
        <w:tc>
          <w:tcPr>
            <w:tcW w:w="1203" w:type="dxa"/>
          </w:tcPr>
          <w:p w14:paraId="1CB13E26" w14:textId="77777777" w:rsidR="002C707D" w:rsidRPr="009A7163" w:rsidRDefault="002C707D" w:rsidP="00293176">
            <w:r w:rsidRPr="009A7163">
              <w:t>TUS 4</w:t>
            </w:r>
          </w:p>
        </w:tc>
        <w:tc>
          <w:tcPr>
            <w:tcW w:w="723" w:type="dxa"/>
          </w:tcPr>
          <w:p w14:paraId="56AA04C1" w14:textId="77777777" w:rsidR="002C707D" w:rsidRPr="009A7163" w:rsidRDefault="002C707D" w:rsidP="00293176"/>
        </w:tc>
      </w:tr>
      <w:tr w:rsidR="002C707D" w:rsidRPr="009A7163" w14:paraId="3022002C" w14:textId="77777777" w:rsidTr="00CB5642">
        <w:trPr>
          <w:trHeight w:val="242"/>
        </w:trPr>
        <w:tc>
          <w:tcPr>
            <w:tcW w:w="1401" w:type="dxa"/>
          </w:tcPr>
          <w:p w14:paraId="3C2F133B" w14:textId="77777777" w:rsidR="002C707D" w:rsidRPr="009A7163" w:rsidRDefault="002C707D" w:rsidP="00293176">
            <w:r w:rsidRPr="009A7163">
              <w:t xml:space="preserve">Overall group </w:t>
            </w:r>
          </w:p>
        </w:tc>
        <w:tc>
          <w:tcPr>
            <w:tcW w:w="1245" w:type="dxa"/>
          </w:tcPr>
          <w:p w14:paraId="750198F2" w14:textId="77777777" w:rsidR="002C707D" w:rsidRPr="009A7163" w:rsidRDefault="002C707D" w:rsidP="00293176">
            <w:r w:rsidRPr="009A7163">
              <w:t>13</w:t>
            </w:r>
          </w:p>
        </w:tc>
        <w:tc>
          <w:tcPr>
            <w:tcW w:w="1170" w:type="dxa"/>
          </w:tcPr>
          <w:p w14:paraId="595565F0" w14:textId="77777777" w:rsidR="002C707D" w:rsidRPr="009A7163" w:rsidRDefault="002C707D" w:rsidP="00293176">
            <w:r w:rsidRPr="009A7163">
              <w:t>12</w:t>
            </w:r>
          </w:p>
        </w:tc>
        <w:tc>
          <w:tcPr>
            <w:tcW w:w="1229" w:type="dxa"/>
          </w:tcPr>
          <w:p w14:paraId="3C3482ED" w14:textId="77777777" w:rsidR="002C707D" w:rsidRPr="009A7163" w:rsidRDefault="002C707D" w:rsidP="00293176">
            <w:r w:rsidRPr="009A7163">
              <w:t>8</w:t>
            </w:r>
          </w:p>
        </w:tc>
        <w:tc>
          <w:tcPr>
            <w:tcW w:w="1203" w:type="dxa"/>
          </w:tcPr>
          <w:p w14:paraId="458F96AA" w14:textId="77777777" w:rsidR="002C707D" w:rsidRPr="009A7163" w:rsidRDefault="002C707D" w:rsidP="00293176">
            <w:r w:rsidRPr="009A7163">
              <w:t>11</w:t>
            </w:r>
          </w:p>
        </w:tc>
        <w:tc>
          <w:tcPr>
            <w:tcW w:w="723" w:type="dxa"/>
          </w:tcPr>
          <w:p w14:paraId="3093C60F" w14:textId="77777777" w:rsidR="002C707D" w:rsidRPr="009A7163" w:rsidRDefault="002C707D" w:rsidP="00293176">
            <w:r w:rsidRPr="009A7163">
              <w:t>44</w:t>
            </w:r>
          </w:p>
        </w:tc>
      </w:tr>
      <w:tr w:rsidR="002C707D" w:rsidRPr="009A7163" w14:paraId="712970C7" w14:textId="77777777" w:rsidTr="00CB5642">
        <w:trPr>
          <w:trHeight w:val="242"/>
        </w:trPr>
        <w:tc>
          <w:tcPr>
            <w:tcW w:w="1401" w:type="dxa"/>
          </w:tcPr>
          <w:p w14:paraId="236D5FD8" w14:textId="77777777" w:rsidR="002C707D" w:rsidRPr="009A7163" w:rsidRDefault="002C707D" w:rsidP="00293176">
            <w:r w:rsidRPr="009A7163">
              <w:t>Sample</w:t>
            </w:r>
          </w:p>
        </w:tc>
        <w:tc>
          <w:tcPr>
            <w:tcW w:w="1245" w:type="dxa"/>
          </w:tcPr>
          <w:p w14:paraId="36029C5D" w14:textId="77777777" w:rsidR="002C707D" w:rsidRPr="009A7163" w:rsidRDefault="002C707D" w:rsidP="00293176">
            <w:r w:rsidRPr="009A7163">
              <w:t>12</w:t>
            </w:r>
          </w:p>
        </w:tc>
        <w:tc>
          <w:tcPr>
            <w:tcW w:w="1170" w:type="dxa"/>
          </w:tcPr>
          <w:p w14:paraId="1D356CC9" w14:textId="77777777" w:rsidR="002C707D" w:rsidRPr="009A7163" w:rsidRDefault="002C707D" w:rsidP="00293176">
            <w:r w:rsidRPr="009A7163">
              <w:t>9</w:t>
            </w:r>
          </w:p>
        </w:tc>
        <w:tc>
          <w:tcPr>
            <w:tcW w:w="1229" w:type="dxa"/>
          </w:tcPr>
          <w:p w14:paraId="259B1C0F" w14:textId="77777777" w:rsidR="002C707D" w:rsidRPr="009A7163" w:rsidRDefault="002C707D" w:rsidP="00293176">
            <w:r w:rsidRPr="009A7163">
              <w:t>7</w:t>
            </w:r>
          </w:p>
        </w:tc>
        <w:tc>
          <w:tcPr>
            <w:tcW w:w="1203" w:type="dxa"/>
          </w:tcPr>
          <w:p w14:paraId="4A903866" w14:textId="77777777" w:rsidR="002C707D" w:rsidRPr="009A7163" w:rsidRDefault="002C707D" w:rsidP="00293176">
            <w:r w:rsidRPr="009A7163">
              <w:t>11</w:t>
            </w:r>
          </w:p>
        </w:tc>
        <w:tc>
          <w:tcPr>
            <w:tcW w:w="723" w:type="dxa"/>
          </w:tcPr>
          <w:p w14:paraId="19D08FCD" w14:textId="77777777" w:rsidR="002C707D" w:rsidRPr="009A7163" w:rsidRDefault="002C707D" w:rsidP="00293176">
            <w:r w:rsidRPr="009A7163">
              <w:t>39</w:t>
            </w:r>
          </w:p>
        </w:tc>
      </w:tr>
    </w:tbl>
    <w:p w14:paraId="562CF2A5" w14:textId="0269A09F" w:rsidR="002C707D" w:rsidRPr="009A7163" w:rsidRDefault="002C707D" w:rsidP="00293176">
      <w:pPr>
        <w:pStyle w:val="TableTOC"/>
        <w:spacing w:before="480"/>
        <w:rPr>
          <w:lang w:val="en-GB"/>
        </w:rPr>
      </w:pPr>
      <w:bookmarkStart w:id="61" w:name="_Toc526710015"/>
      <w:r w:rsidRPr="009A7163">
        <w:rPr>
          <w:lang w:val="en-GB"/>
        </w:rPr>
        <w:t xml:space="preserve">Table </w:t>
      </w:r>
      <w:r w:rsidR="007B69E5" w:rsidRPr="009A7163">
        <w:rPr>
          <w:lang w:val="en-GB"/>
        </w:rPr>
        <w:t>3</w:t>
      </w:r>
      <w:r w:rsidRPr="009A7163">
        <w:rPr>
          <w:lang w:val="en-GB"/>
        </w:rPr>
        <w:t>.11. Number of Research Participants per Qualitative Method Employed (San Ramón)</w:t>
      </w:r>
      <w:bookmarkEnd w:id="61"/>
    </w:p>
    <w:tbl>
      <w:tblPr>
        <w:tblStyle w:val="TableGrid1"/>
        <w:tblW w:w="0" w:type="auto"/>
        <w:tblLook w:val="04A0" w:firstRow="1" w:lastRow="0" w:firstColumn="1" w:lastColumn="0" w:noHBand="0" w:noVBand="1"/>
      </w:tblPr>
      <w:tblGrid>
        <w:gridCol w:w="3003"/>
        <w:gridCol w:w="1042"/>
        <w:gridCol w:w="990"/>
      </w:tblGrid>
      <w:tr w:rsidR="002C707D" w:rsidRPr="009A7163" w14:paraId="3B8C62BD" w14:textId="77777777" w:rsidTr="00CB5642">
        <w:tc>
          <w:tcPr>
            <w:tcW w:w="3003" w:type="dxa"/>
          </w:tcPr>
          <w:p w14:paraId="15657E9C" w14:textId="77777777" w:rsidR="002C707D" w:rsidRPr="009A7163" w:rsidRDefault="002C707D" w:rsidP="00293176">
            <w:pPr>
              <w:rPr>
                <w:b/>
              </w:rPr>
            </w:pPr>
            <w:r w:rsidRPr="009A7163">
              <w:rPr>
                <w:b/>
              </w:rPr>
              <w:t>Qualitative methods</w:t>
            </w:r>
          </w:p>
        </w:tc>
        <w:tc>
          <w:tcPr>
            <w:tcW w:w="1042" w:type="dxa"/>
          </w:tcPr>
          <w:p w14:paraId="71B6D1E7" w14:textId="77777777" w:rsidR="002C707D" w:rsidRPr="009A7163" w:rsidRDefault="002C707D" w:rsidP="00293176">
            <w:pPr>
              <w:rPr>
                <w:b/>
              </w:rPr>
            </w:pPr>
            <w:r w:rsidRPr="009A7163">
              <w:rPr>
                <w:b/>
              </w:rPr>
              <w:t>Women</w:t>
            </w:r>
          </w:p>
        </w:tc>
        <w:tc>
          <w:tcPr>
            <w:tcW w:w="990" w:type="dxa"/>
          </w:tcPr>
          <w:p w14:paraId="0D9F83B5" w14:textId="77777777" w:rsidR="002C707D" w:rsidRPr="009A7163" w:rsidRDefault="002C707D" w:rsidP="00293176">
            <w:pPr>
              <w:rPr>
                <w:b/>
              </w:rPr>
            </w:pPr>
            <w:r w:rsidRPr="009A7163">
              <w:rPr>
                <w:b/>
              </w:rPr>
              <w:t>Men</w:t>
            </w:r>
          </w:p>
        </w:tc>
      </w:tr>
      <w:tr w:rsidR="002C707D" w:rsidRPr="009A7163" w14:paraId="12C0A4F8" w14:textId="77777777" w:rsidTr="00CB5642">
        <w:trPr>
          <w:trHeight w:val="332"/>
        </w:trPr>
        <w:tc>
          <w:tcPr>
            <w:tcW w:w="3003" w:type="dxa"/>
          </w:tcPr>
          <w:p w14:paraId="13B4B80B" w14:textId="77777777" w:rsidR="002C707D" w:rsidRPr="009A7163" w:rsidRDefault="002C707D" w:rsidP="00293176">
            <w:r w:rsidRPr="009A7163">
              <w:t>Focus group – La Pita</w:t>
            </w:r>
          </w:p>
        </w:tc>
        <w:tc>
          <w:tcPr>
            <w:tcW w:w="1042" w:type="dxa"/>
          </w:tcPr>
          <w:p w14:paraId="17052722" w14:textId="77777777" w:rsidR="002C707D" w:rsidRPr="009A7163" w:rsidRDefault="002C707D" w:rsidP="00293176">
            <w:r w:rsidRPr="009A7163">
              <w:t>7</w:t>
            </w:r>
          </w:p>
        </w:tc>
        <w:tc>
          <w:tcPr>
            <w:tcW w:w="990" w:type="dxa"/>
          </w:tcPr>
          <w:p w14:paraId="3BBB127A" w14:textId="77777777" w:rsidR="002C707D" w:rsidRPr="009A7163" w:rsidRDefault="002C707D" w:rsidP="00293176">
            <w:r w:rsidRPr="009A7163">
              <w:t>7</w:t>
            </w:r>
          </w:p>
        </w:tc>
      </w:tr>
      <w:tr w:rsidR="002C707D" w:rsidRPr="009A7163" w14:paraId="6A3497BF" w14:textId="77777777" w:rsidTr="00CB5642">
        <w:trPr>
          <w:trHeight w:val="332"/>
        </w:trPr>
        <w:tc>
          <w:tcPr>
            <w:tcW w:w="3003" w:type="dxa"/>
          </w:tcPr>
          <w:p w14:paraId="03857EFC" w14:textId="77777777" w:rsidR="002C707D" w:rsidRPr="009A7163" w:rsidRDefault="002C707D" w:rsidP="00293176">
            <w:r w:rsidRPr="009A7163">
              <w:t>Focus group – La Reina</w:t>
            </w:r>
          </w:p>
        </w:tc>
        <w:tc>
          <w:tcPr>
            <w:tcW w:w="1042" w:type="dxa"/>
          </w:tcPr>
          <w:p w14:paraId="33654890" w14:textId="77777777" w:rsidR="002C707D" w:rsidRPr="009A7163" w:rsidRDefault="002C707D" w:rsidP="00293176">
            <w:r w:rsidRPr="009A7163">
              <w:t>9</w:t>
            </w:r>
          </w:p>
        </w:tc>
        <w:tc>
          <w:tcPr>
            <w:tcW w:w="990" w:type="dxa"/>
          </w:tcPr>
          <w:p w14:paraId="4F9D8CEF" w14:textId="77777777" w:rsidR="002C707D" w:rsidRPr="009A7163" w:rsidRDefault="002C707D" w:rsidP="00293176">
            <w:r w:rsidRPr="009A7163">
              <w:t>6</w:t>
            </w:r>
          </w:p>
        </w:tc>
      </w:tr>
      <w:tr w:rsidR="002C707D" w:rsidRPr="009A7163" w14:paraId="78E7557D" w14:textId="77777777" w:rsidTr="00CB5642">
        <w:tc>
          <w:tcPr>
            <w:tcW w:w="3003" w:type="dxa"/>
          </w:tcPr>
          <w:p w14:paraId="7EAE5BF1" w14:textId="77777777" w:rsidR="002C707D" w:rsidRPr="009A7163" w:rsidRDefault="002C707D" w:rsidP="00293176">
            <w:r w:rsidRPr="009A7163">
              <w:t>Semi structured Interviews</w:t>
            </w:r>
          </w:p>
        </w:tc>
        <w:tc>
          <w:tcPr>
            <w:tcW w:w="1042" w:type="dxa"/>
          </w:tcPr>
          <w:p w14:paraId="020A196D" w14:textId="77777777" w:rsidR="002C707D" w:rsidRPr="009A7163" w:rsidRDefault="002C707D" w:rsidP="00293176">
            <w:r w:rsidRPr="009A7163">
              <w:t>13</w:t>
            </w:r>
          </w:p>
        </w:tc>
        <w:tc>
          <w:tcPr>
            <w:tcW w:w="990" w:type="dxa"/>
          </w:tcPr>
          <w:p w14:paraId="587E1B3A" w14:textId="77777777" w:rsidR="002C707D" w:rsidRPr="009A7163" w:rsidRDefault="002C707D" w:rsidP="00293176">
            <w:r w:rsidRPr="009A7163">
              <w:t>0</w:t>
            </w:r>
          </w:p>
        </w:tc>
      </w:tr>
    </w:tbl>
    <w:p w14:paraId="5DC78FF3" w14:textId="77777777" w:rsidR="002C707D" w:rsidRPr="009A7163" w:rsidRDefault="002C707D" w:rsidP="002C707D">
      <w:pPr>
        <w:spacing w:line="360" w:lineRule="auto"/>
        <w:ind w:firstLine="720"/>
        <w:jc w:val="both"/>
      </w:pPr>
    </w:p>
    <w:p w14:paraId="4BEA3AB6" w14:textId="468FCE8A" w:rsidR="002C707D" w:rsidRPr="009A7163" w:rsidRDefault="002C707D" w:rsidP="002C707D">
      <w:pPr>
        <w:spacing w:line="360" w:lineRule="auto"/>
        <w:ind w:firstLine="720"/>
        <w:jc w:val="both"/>
        <w:rPr>
          <w:bCs/>
        </w:rPr>
      </w:pPr>
      <w:r w:rsidRPr="009A7163">
        <w:rPr>
          <w:bCs/>
        </w:rPr>
        <w:t>Regarding focus groups in San Ramón, the same purposeful sampling that was employed for the quantitative data was repeated for the focus groups. All the women who were surveyed were invited to a focus group, as well as their partners and other men from the cooperative. The focus groups took place during the month of March 2015 in the communities in community spaces (</w:t>
      </w:r>
      <w:r w:rsidR="002D27D9" w:rsidRPr="009A7163">
        <w:rPr>
          <w:bCs/>
        </w:rPr>
        <w:t xml:space="preserve">e.g., </w:t>
      </w:r>
      <w:r w:rsidRPr="009A7163">
        <w:rPr>
          <w:bCs/>
        </w:rPr>
        <w:t>school and community rancho). Initially the UCA San Ramón (</w:t>
      </w:r>
      <w:r w:rsidR="002D27D9" w:rsidRPr="009A7163">
        <w:rPr>
          <w:bCs/>
        </w:rPr>
        <w:t>the u</w:t>
      </w:r>
      <w:r w:rsidRPr="009A7163">
        <w:rPr>
          <w:bCs/>
        </w:rPr>
        <w:t xml:space="preserve">nion of </w:t>
      </w:r>
      <w:r w:rsidR="002D27D9" w:rsidRPr="009A7163">
        <w:rPr>
          <w:bCs/>
        </w:rPr>
        <w:t>c</w:t>
      </w:r>
      <w:r w:rsidRPr="009A7163">
        <w:rPr>
          <w:bCs/>
        </w:rPr>
        <w:t xml:space="preserve">ooperatives </w:t>
      </w:r>
      <w:r w:rsidR="002D27D9" w:rsidRPr="009A7163">
        <w:rPr>
          <w:bCs/>
        </w:rPr>
        <w:t>to which the two cooperatives included in the case study belong</w:t>
      </w:r>
      <w:r w:rsidRPr="009A7163">
        <w:rPr>
          <w:bCs/>
        </w:rPr>
        <w:t xml:space="preserve">) insisted on being present and used my first focus </w:t>
      </w:r>
      <w:r w:rsidRPr="009A7163">
        <w:rPr>
          <w:bCs/>
        </w:rPr>
        <w:lastRenderedPageBreak/>
        <w:t>group to have a meeting on behalf of CAN to hand out project tools to the women (fertil</w:t>
      </w:r>
      <w:r w:rsidR="00C95A06" w:rsidRPr="009A7163">
        <w:rPr>
          <w:bCs/>
        </w:rPr>
        <w:t>ise</w:t>
      </w:r>
      <w:r w:rsidRPr="009A7163">
        <w:rPr>
          <w:bCs/>
        </w:rPr>
        <w:t xml:space="preserve">r dispensers </w:t>
      </w:r>
      <w:r w:rsidR="002D27D9" w:rsidRPr="009A7163">
        <w:rPr>
          <w:bCs/>
        </w:rPr>
        <w:t>that men</w:t>
      </w:r>
      <w:r w:rsidR="00F7525C" w:rsidRPr="009A7163">
        <w:rPr>
          <w:bCs/>
        </w:rPr>
        <w:t xml:space="preserve"> typically</w:t>
      </w:r>
      <w:r w:rsidR="002D27D9" w:rsidRPr="009A7163">
        <w:rPr>
          <w:bCs/>
        </w:rPr>
        <w:t xml:space="preserve"> </w:t>
      </w:r>
      <w:r w:rsidR="00F7525C" w:rsidRPr="009A7163">
        <w:rPr>
          <w:bCs/>
        </w:rPr>
        <w:t xml:space="preserve">handle) </w:t>
      </w:r>
      <w:r w:rsidRPr="009A7163">
        <w:rPr>
          <w:bCs/>
        </w:rPr>
        <w:t>and talk about what had been achieved to date through the programme. This was an unfortunate prelude to the focus group and all subsequent focus groups were organ</w:t>
      </w:r>
      <w:r w:rsidR="00C95A06" w:rsidRPr="009A7163">
        <w:rPr>
          <w:bCs/>
        </w:rPr>
        <w:t>ise</w:t>
      </w:r>
      <w:r w:rsidRPr="009A7163">
        <w:rPr>
          <w:bCs/>
        </w:rPr>
        <w:t>d independently via community leaders.</w:t>
      </w:r>
    </w:p>
    <w:p w14:paraId="3E00D42E" w14:textId="69503BDC" w:rsidR="002C707D" w:rsidRPr="009A7163" w:rsidRDefault="002C707D" w:rsidP="00293176">
      <w:pPr>
        <w:pStyle w:val="TableTOC"/>
        <w:rPr>
          <w:lang w:val="en-GB"/>
        </w:rPr>
      </w:pPr>
      <w:bookmarkStart w:id="62" w:name="_Toc526710016"/>
      <w:r w:rsidRPr="009A7163">
        <w:rPr>
          <w:lang w:val="en-GB"/>
        </w:rPr>
        <w:t xml:space="preserve">Table </w:t>
      </w:r>
      <w:r w:rsidR="007B69E5" w:rsidRPr="009A7163">
        <w:rPr>
          <w:lang w:val="en-GB"/>
        </w:rPr>
        <w:t>3</w:t>
      </w:r>
      <w:r w:rsidRPr="009A7163">
        <w:rPr>
          <w:lang w:val="en-GB"/>
        </w:rPr>
        <w:t>.12. Focus Groups in San Ramón</w:t>
      </w:r>
      <w:bookmarkEnd w:id="62"/>
    </w:p>
    <w:tbl>
      <w:tblPr>
        <w:tblStyle w:val="TableGrid1"/>
        <w:tblW w:w="0" w:type="auto"/>
        <w:tblLook w:val="04A0" w:firstRow="1" w:lastRow="0" w:firstColumn="1" w:lastColumn="0" w:noHBand="0" w:noVBand="1"/>
      </w:tblPr>
      <w:tblGrid>
        <w:gridCol w:w="1926"/>
        <w:gridCol w:w="2839"/>
        <w:gridCol w:w="1350"/>
        <w:gridCol w:w="1620"/>
      </w:tblGrid>
      <w:tr w:rsidR="002C707D" w:rsidRPr="009A7163" w14:paraId="51BA388B" w14:textId="77777777" w:rsidTr="00CB5642">
        <w:trPr>
          <w:trHeight w:val="300"/>
        </w:trPr>
        <w:tc>
          <w:tcPr>
            <w:tcW w:w="1926" w:type="dxa"/>
            <w:noWrap/>
          </w:tcPr>
          <w:p w14:paraId="40D8C8FE" w14:textId="77777777" w:rsidR="002C707D" w:rsidRPr="009A7163" w:rsidRDefault="002C707D" w:rsidP="00293176">
            <w:pPr>
              <w:ind w:hanging="23"/>
              <w:rPr>
                <w:b/>
                <w:bCs/>
              </w:rPr>
            </w:pPr>
            <w:r w:rsidRPr="009A7163">
              <w:rPr>
                <w:b/>
                <w:bCs/>
              </w:rPr>
              <w:t>Date</w:t>
            </w:r>
          </w:p>
        </w:tc>
        <w:tc>
          <w:tcPr>
            <w:tcW w:w="2839" w:type="dxa"/>
            <w:noWrap/>
          </w:tcPr>
          <w:p w14:paraId="57A3A1C5" w14:textId="77777777" w:rsidR="002C707D" w:rsidRPr="009A7163" w:rsidRDefault="002C707D" w:rsidP="00293176">
            <w:pPr>
              <w:ind w:hanging="23"/>
              <w:rPr>
                <w:b/>
                <w:bCs/>
              </w:rPr>
            </w:pPr>
            <w:r w:rsidRPr="009A7163">
              <w:rPr>
                <w:b/>
                <w:bCs/>
              </w:rPr>
              <w:t>Community</w:t>
            </w:r>
          </w:p>
        </w:tc>
        <w:tc>
          <w:tcPr>
            <w:tcW w:w="1350" w:type="dxa"/>
            <w:noWrap/>
          </w:tcPr>
          <w:p w14:paraId="3B81F92E" w14:textId="77777777" w:rsidR="002C707D" w:rsidRPr="009A7163" w:rsidRDefault="002C707D" w:rsidP="00293176">
            <w:pPr>
              <w:ind w:hanging="23"/>
              <w:rPr>
                <w:b/>
                <w:bCs/>
              </w:rPr>
            </w:pPr>
            <w:r w:rsidRPr="009A7163">
              <w:rPr>
                <w:b/>
                <w:bCs/>
              </w:rPr>
              <w:t>Sex</w:t>
            </w:r>
          </w:p>
        </w:tc>
        <w:tc>
          <w:tcPr>
            <w:tcW w:w="1620" w:type="dxa"/>
            <w:noWrap/>
          </w:tcPr>
          <w:p w14:paraId="044121CC" w14:textId="77777777" w:rsidR="002C707D" w:rsidRPr="009A7163" w:rsidRDefault="002C707D" w:rsidP="00293176">
            <w:pPr>
              <w:ind w:hanging="23"/>
              <w:rPr>
                <w:b/>
                <w:bCs/>
              </w:rPr>
            </w:pPr>
            <w:r w:rsidRPr="009A7163">
              <w:rPr>
                <w:b/>
                <w:bCs/>
              </w:rPr>
              <w:t>Number of Participants</w:t>
            </w:r>
          </w:p>
        </w:tc>
      </w:tr>
      <w:tr w:rsidR="002C707D" w:rsidRPr="009A7163" w14:paraId="3065264D" w14:textId="77777777" w:rsidTr="00CB5642">
        <w:trPr>
          <w:trHeight w:val="300"/>
        </w:trPr>
        <w:tc>
          <w:tcPr>
            <w:tcW w:w="1926" w:type="dxa"/>
            <w:noWrap/>
            <w:hideMark/>
          </w:tcPr>
          <w:p w14:paraId="7018177E" w14:textId="77777777" w:rsidR="002C707D" w:rsidRPr="009A7163" w:rsidRDefault="002C707D" w:rsidP="00293176">
            <w:pPr>
              <w:ind w:hanging="23"/>
              <w:rPr>
                <w:bCs/>
              </w:rPr>
            </w:pPr>
            <w:r w:rsidRPr="009A7163">
              <w:rPr>
                <w:bCs/>
              </w:rPr>
              <w:t>March 4, 2015</w:t>
            </w:r>
          </w:p>
        </w:tc>
        <w:tc>
          <w:tcPr>
            <w:tcW w:w="2839" w:type="dxa"/>
            <w:noWrap/>
            <w:hideMark/>
          </w:tcPr>
          <w:p w14:paraId="674A254C" w14:textId="77777777" w:rsidR="002C707D" w:rsidRPr="009A7163" w:rsidRDefault="002C707D" w:rsidP="00293176">
            <w:pPr>
              <w:ind w:hanging="23"/>
              <w:rPr>
                <w:bCs/>
              </w:rPr>
            </w:pPr>
            <w:r w:rsidRPr="009A7163">
              <w:rPr>
                <w:bCs/>
              </w:rPr>
              <w:t>San Ramón, La Pita</w:t>
            </w:r>
          </w:p>
        </w:tc>
        <w:tc>
          <w:tcPr>
            <w:tcW w:w="1350" w:type="dxa"/>
            <w:noWrap/>
            <w:hideMark/>
          </w:tcPr>
          <w:p w14:paraId="2285BD70" w14:textId="77777777" w:rsidR="002C707D" w:rsidRPr="009A7163" w:rsidRDefault="002C707D" w:rsidP="00293176">
            <w:pPr>
              <w:ind w:hanging="23"/>
              <w:rPr>
                <w:bCs/>
              </w:rPr>
            </w:pPr>
            <w:r w:rsidRPr="009A7163">
              <w:rPr>
                <w:bCs/>
              </w:rPr>
              <w:t>Female</w:t>
            </w:r>
          </w:p>
        </w:tc>
        <w:tc>
          <w:tcPr>
            <w:tcW w:w="1620" w:type="dxa"/>
            <w:noWrap/>
            <w:hideMark/>
          </w:tcPr>
          <w:p w14:paraId="7FC12995" w14:textId="77777777" w:rsidR="002C707D" w:rsidRPr="009A7163" w:rsidRDefault="002C707D" w:rsidP="00293176">
            <w:pPr>
              <w:ind w:hanging="23"/>
              <w:rPr>
                <w:bCs/>
              </w:rPr>
            </w:pPr>
            <w:r w:rsidRPr="009A7163">
              <w:rPr>
                <w:bCs/>
              </w:rPr>
              <w:t>7</w:t>
            </w:r>
          </w:p>
        </w:tc>
      </w:tr>
      <w:tr w:rsidR="002C707D" w:rsidRPr="009A7163" w14:paraId="3F1CE9D4" w14:textId="77777777" w:rsidTr="00CB5642">
        <w:trPr>
          <w:trHeight w:val="300"/>
        </w:trPr>
        <w:tc>
          <w:tcPr>
            <w:tcW w:w="1926" w:type="dxa"/>
            <w:noWrap/>
            <w:hideMark/>
          </w:tcPr>
          <w:p w14:paraId="337B247A" w14:textId="77777777" w:rsidR="002C707D" w:rsidRPr="009A7163" w:rsidRDefault="002C707D" w:rsidP="00293176">
            <w:pPr>
              <w:ind w:hanging="23"/>
              <w:rPr>
                <w:bCs/>
              </w:rPr>
            </w:pPr>
            <w:r w:rsidRPr="009A7163">
              <w:rPr>
                <w:bCs/>
              </w:rPr>
              <w:t>March, 20 2015</w:t>
            </w:r>
          </w:p>
        </w:tc>
        <w:tc>
          <w:tcPr>
            <w:tcW w:w="2839" w:type="dxa"/>
            <w:noWrap/>
            <w:hideMark/>
          </w:tcPr>
          <w:p w14:paraId="16332142" w14:textId="77777777" w:rsidR="002C707D" w:rsidRPr="009A7163" w:rsidRDefault="002C707D" w:rsidP="00293176">
            <w:pPr>
              <w:ind w:hanging="23"/>
              <w:rPr>
                <w:bCs/>
              </w:rPr>
            </w:pPr>
            <w:r w:rsidRPr="009A7163">
              <w:rPr>
                <w:bCs/>
              </w:rPr>
              <w:t>San Ramón, La Pita</w:t>
            </w:r>
          </w:p>
        </w:tc>
        <w:tc>
          <w:tcPr>
            <w:tcW w:w="1350" w:type="dxa"/>
            <w:noWrap/>
            <w:hideMark/>
          </w:tcPr>
          <w:p w14:paraId="428F98A6" w14:textId="77777777" w:rsidR="002C707D" w:rsidRPr="009A7163" w:rsidRDefault="002C707D" w:rsidP="00293176">
            <w:pPr>
              <w:ind w:hanging="23"/>
              <w:rPr>
                <w:bCs/>
              </w:rPr>
            </w:pPr>
            <w:r w:rsidRPr="009A7163">
              <w:rPr>
                <w:bCs/>
              </w:rPr>
              <w:t>Men</w:t>
            </w:r>
          </w:p>
        </w:tc>
        <w:tc>
          <w:tcPr>
            <w:tcW w:w="1620" w:type="dxa"/>
            <w:noWrap/>
            <w:hideMark/>
          </w:tcPr>
          <w:p w14:paraId="19DFF093" w14:textId="77777777" w:rsidR="002C707D" w:rsidRPr="009A7163" w:rsidRDefault="002C707D" w:rsidP="00293176">
            <w:pPr>
              <w:ind w:hanging="23"/>
              <w:rPr>
                <w:bCs/>
              </w:rPr>
            </w:pPr>
            <w:r w:rsidRPr="009A7163">
              <w:rPr>
                <w:bCs/>
              </w:rPr>
              <w:t>7</w:t>
            </w:r>
          </w:p>
        </w:tc>
      </w:tr>
      <w:tr w:rsidR="002C707D" w:rsidRPr="009A7163" w14:paraId="57F4FA9D" w14:textId="77777777" w:rsidTr="00CB5642">
        <w:trPr>
          <w:trHeight w:val="300"/>
        </w:trPr>
        <w:tc>
          <w:tcPr>
            <w:tcW w:w="1926" w:type="dxa"/>
            <w:noWrap/>
            <w:hideMark/>
          </w:tcPr>
          <w:p w14:paraId="53434D38" w14:textId="77777777" w:rsidR="002C707D" w:rsidRPr="009A7163" w:rsidRDefault="002C707D" w:rsidP="00293176">
            <w:pPr>
              <w:ind w:hanging="23"/>
              <w:rPr>
                <w:bCs/>
              </w:rPr>
            </w:pPr>
            <w:r w:rsidRPr="009A7163">
              <w:rPr>
                <w:bCs/>
              </w:rPr>
              <w:t>March 5, 2015</w:t>
            </w:r>
          </w:p>
        </w:tc>
        <w:tc>
          <w:tcPr>
            <w:tcW w:w="2839" w:type="dxa"/>
            <w:noWrap/>
            <w:hideMark/>
          </w:tcPr>
          <w:p w14:paraId="57F64A10" w14:textId="77777777" w:rsidR="002C707D" w:rsidRPr="009A7163" w:rsidRDefault="002C707D" w:rsidP="00293176">
            <w:pPr>
              <w:ind w:hanging="23"/>
              <w:rPr>
                <w:bCs/>
              </w:rPr>
            </w:pPr>
            <w:r w:rsidRPr="009A7163">
              <w:rPr>
                <w:bCs/>
              </w:rPr>
              <w:t>San Ramón, La Reina</w:t>
            </w:r>
          </w:p>
        </w:tc>
        <w:tc>
          <w:tcPr>
            <w:tcW w:w="1350" w:type="dxa"/>
            <w:noWrap/>
            <w:hideMark/>
          </w:tcPr>
          <w:p w14:paraId="1E843729" w14:textId="77777777" w:rsidR="002C707D" w:rsidRPr="009A7163" w:rsidRDefault="002C707D" w:rsidP="00293176">
            <w:pPr>
              <w:ind w:hanging="23"/>
              <w:rPr>
                <w:bCs/>
              </w:rPr>
            </w:pPr>
            <w:r w:rsidRPr="009A7163">
              <w:rPr>
                <w:bCs/>
              </w:rPr>
              <w:t>Female</w:t>
            </w:r>
          </w:p>
        </w:tc>
        <w:tc>
          <w:tcPr>
            <w:tcW w:w="1620" w:type="dxa"/>
            <w:noWrap/>
            <w:hideMark/>
          </w:tcPr>
          <w:p w14:paraId="5144D039" w14:textId="77777777" w:rsidR="002C707D" w:rsidRPr="009A7163" w:rsidRDefault="002C707D" w:rsidP="00293176">
            <w:pPr>
              <w:ind w:hanging="23"/>
              <w:rPr>
                <w:bCs/>
              </w:rPr>
            </w:pPr>
            <w:r w:rsidRPr="009A7163">
              <w:rPr>
                <w:bCs/>
              </w:rPr>
              <w:t>9</w:t>
            </w:r>
          </w:p>
        </w:tc>
      </w:tr>
      <w:tr w:rsidR="002C707D" w:rsidRPr="009A7163" w14:paraId="36C929D1" w14:textId="77777777" w:rsidTr="00CB5642">
        <w:trPr>
          <w:trHeight w:val="269"/>
        </w:trPr>
        <w:tc>
          <w:tcPr>
            <w:tcW w:w="1926" w:type="dxa"/>
            <w:noWrap/>
            <w:hideMark/>
          </w:tcPr>
          <w:p w14:paraId="6C3F460E" w14:textId="77777777" w:rsidR="002C707D" w:rsidRPr="009A7163" w:rsidRDefault="002C707D" w:rsidP="00293176">
            <w:pPr>
              <w:ind w:hanging="23"/>
              <w:rPr>
                <w:bCs/>
              </w:rPr>
            </w:pPr>
            <w:r w:rsidRPr="009A7163">
              <w:rPr>
                <w:bCs/>
              </w:rPr>
              <w:t>March 19, 2015</w:t>
            </w:r>
          </w:p>
        </w:tc>
        <w:tc>
          <w:tcPr>
            <w:tcW w:w="2839" w:type="dxa"/>
            <w:noWrap/>
            <w:hideMark/>
          </w:tcPr>
          <w:p w14:paraId="526F6BF0" w14:textId="77777777" w:rsidR="002C707D" w:rsidRPr="009A7163" w:rsidRDefault="002C707D" w:rsidP="00293176">
            <w:pPr>
              <w:ind w:hanging="23"/>
              <w:rPr>
                <w:bCs/>
              </w:rPr>
            </w:pPr>
            <w:r w:rsidRPr="009A7163">
              <w:rPr>
                <w:bCs/>
              </w:rPr>
              <w:t>San Ramón, La Reina</w:t>
            </w:r>
          </w:p>
        </w:tc>
        <w:tc>
          <w:tcPr>
            <w:tcW w:w="1350" w:type="dxa"/>
            <w:noWrap/>
            <w:hideMark/>
          </w:tcPr>
          <w:p w14:paraId="178CC2E9" w14:textId="77777777" w:rsidR="002C707D" w:rsidRPr="009A7163" w:rsidRDefault="002C707D" w:rsidP="00293176">
            <w:pPr>
              <w:ind w:hanging="23"/>
              <w:rPr>
                <w:bCs/>
              </w:rPr>
            </w:pPr>
            <w:r w:rsidRPr="009A7163">
              <w:rPr>
                <w:bCs/>
              </w:rPr>
              <w:t>Men</w:t>
            </w:r>
          </w:p>
        </w:tc>
        <w:tc>
          <w:tcPr>
            <w:tcW w:w="1620" w:type="dxa"/>
            <w:noWrap/>
            <w:hideMark/>
          </w:tcPr>
          <w:p w14:paraId="0E1E2DA1" w14:textId="77777777" w:rsidR="002C707D" w:rsidRPr="009A7163" w:rsidRDefault="002C707D" w:rsidP="00293176">
            <w:pPr>
              <w:ind w:hanging="23"/>
              <w:rPr>
                <w:bCs/>
              </w:rPr>
            </w:pPr>
            <w:r w:rsidRPr="009A7163">
              <w:rPr>
                <w:bCs/>
              </w:rPr>
              <w:t>6</w:t>
            </w:r>
          </w:p>
        </w:tc>
      </w:tr>
    </w:tbl>
    <w:p w14:paraId="27B6D667" w14:textId="77777777" w:rsidR="002C707D" w:rsidRPr="009A7163" w:rsidRDefault="002C707D" w:rsidP="00293176">
      <w:pPr>
        <w:spacing w:before="360" w:after="240" w:line="360" w:lineRule="auto"/>
        <w:ind w:firstLine="720"/>
        <w:jc w:val="both"/>
        <w:rPr>
          <w:bCs/>
        </w:rPr>
      </w:pPr>
      <w:r w:rsidRPr="009A7163">
        <w:rPr>
          <w:bCs/>
        </w:rPr>
        <w:t>In addition to the focus groups, 13 semi-structured mini interviews on empowerment were conducted with the women in the first round of the research after the survey and TUS 1.</w:t>
      </w:r>
    </w:p>
    <w:p w14:paraId="77A60FD9" w14:textId="46156879" w:rsidR="002C707D" w:rsidRPr="009A7163" w:rsidRDefault="00430E65" w:rsidP="00293176">
      <w:pPr>
        <w:pStyle w:val="Heading3"/>
      </w:pPr>
      <w:bookmarkStart w:id="63" w:name="_Toc526819287"/>
      <w:r w:rsidRPr="009A7163">
        <w:t>3.5.2  Expert Interviews</w:t>
      </w:r>
      <w:bookmarkEnd w:id="63"/>
    </w:p>
    <w:p w14:paraId="38BAFF9A" w14:textId="7AEB8078" w:rsidR="002C707D" w:rsidRPr="009A7163" w:rsidRDefault="002C707D" w:rsidP="002C707D">
      <w:pPr>
        <w:spacing w:line="360" w:lineRule="auto"/>
        <w:ind w:firstLine="720"/>
        <w:jc w:val="both"/>
      </w:pPr>
      <w:r w:rsidRPr="009A7163">
        <w:t>A total number of 19 expert interviews were carried out with cooperative and key informants in Nicaragua and beyond. The non-cooperative leaders involved a variety of key women from different national feminist movemen</w:t>
      </w:r>
      <w:r w:rsidR="002E351C" w:rsidRPr="009A7163">
        <w:t>ts in Nicaragua</w:t>
      </w:r>
      <w:r w:rsidR="002D27D9" w:rsidRPr="009A7163">
        <w:t xml:space="preserve"> (s</w:t>
      </w:r>
      <w:r w:rsidR="002E351C" w:rsidRPr="009A7163">
        <w:t>ee A</w:t>
      </w:r>
      <w:r w:rsidR="004D06D8" w:rsidRPr="009A7163">
        <w:t>ppendix G</w:t>
      </w:r>
      <w:r w:rsidRPr="009A7163">
        <w:t>)</w:t>
      </w:r>
      <w:r w:rsidR="002D27D9" w:rsidRPr="009A7163">
        <w:t>.</w:t>
      </w:r>
      <w:r w:rsidRPr="009A7163">
        <w:t xml:space="preserve"> The purpose of the semi-structured interviews with the experts was to solicit information regarding their understanding of how unpaid labour is defined and distributed, how it could be measured and valued and its importance to ethical trade, justice movements and women’s empowerment both in the context of Nicaragua and elsewhere. Interviews were carried out with the following groups:</w:t>
      </w:r>
    </w:p>
    <w:p w14:paraId="78EC95E0" w14:textId="72C30649" w:rsidR="002C707D" w:rsidRPr="009A7163" w:rsidRDefault="002C707D" w:rsidP="003D3C63">
      <w:pPr>
        <w:numPr>
          <w:ilvl w:val="0"/>
          <w:numId w:val="5"/>
        </w:numPr>
        <w:spacing w:line="360" w:lineRule="auto"/>
        <w:jc w:val="both"/>
        <w:rPr>
          <w:bCs/>
        </w:rPr>
      </w:pPr>
      <w:r w:rsidRPr="009A7163">
        <w:t>Experts/key informants (10)</w:t>
      </w:r>
      <w:r w:rsidR="002D27D9" w:rsidRPr="009A7163">
        <w:t xml:space="preserve">, which, as </w:t>
      </w:r>
      <w:r w:rsidRPr="009A7163">
        <w:t>described above in the selection criteria</w:t>
      </w:r>
      <w:r w:rsidR="002D27D9" w:rsidRPr="009A7163">
        <w:t xml:space="preserve">, </w:t>
      </w:r>
      <w:r w:rsidRPr="009A7163">
        <w:t>were chosen through a purposive sampling that included a wide variety of organizations, national networks, development policymakers, practitioners, government representatives and universit</w:t>
      </w:r>
      <w:r w:rsidR="002D27D9" w:rsidRPr="009A7163">
        <w:t xml:space="preserve">y staff/instructors </w:t>
      </w:r>
      <w:r w:rsidRPr="009A7163">
        <w:t>who c</w:t>
      </w:r>
      <w:r w:rsidR="002D27D9" w:rsidRPr="009A7163">
        <w:t>ould</w:t>
      </w:r>
      <w:r w:rsidRPr="009A7163">
        <w:t xml:space="preserve"> provide insights to the wider macro context. </w:t>
      </w:r>
      <w:r w:rsidRPr="009A7163">
        <w:rPr>
          <w:bCs/>
        </w:rPr>
        <w:t>The selection changed when the interviews commenced and recommendations were made. This is also known as snowball sampling or gradual sampling (Flick, 2009).</w:t>
      </w:r>
    </w:p>
    <w:p w14:paraId="273EB7E6" w14:textId="484F23C0" w:rsidR="002C707D" w:rsidRPr="009A7163" w:rsidRDefault="002C707D" w:rsidP="003D3C63">
      <w:pPr>
        <w:numPr>
          <w:ilvl w:val="0"/>
          <w:numId w:val="5"/>
        </w:numPr>
        <w:spacing w:line="360" w:lineRule="auto"/>
        <w:jc w:val="both"/>
        <w:rPr>
          <w:b/>
          <w:i/>
        </w:rPr>
      </w:pPr>
      <w:r w:rsidRPr="009A7163">
        <w:t xml:space="preserve">Buyers (2) who </w:t>
      </w:r>
      <w:r w:rsidR="002D27D9" w:rsidRPr="009A7163">
        <w:t>were</w:t>
      </w:r>
      <w:r w:rsidRPr="009A7163">
        <w:t xml:space="preserve"> currently buying from the cooperative and/or pa</w:t>
      </w:r>
      <w:r w:rsidR="002D27D9" w:rsidRPr="009A7163">
        <w:t>id</w:t>
      </w:r>
      <w:r w:rsidRPr="009A7163">
        <w:t xml:space="preserve"> a premium for the recognition of the unpaid work of women.  </w:t>
      </w:r>
    </w:p>
    <w:p w14:paraId="2C21C068" w14:textId="1F1B6188" w:rsidR="002C707D" w:rsidRPr="009A7163" w:rsidRDefault="002C707D" w:rsidP="00293176">
      <w:pPr>
        <w:numPr>
          <w:ilvl w:val="0"/>
          <w:numId w:val="5"/>
        </w:numPr>
        <w:spacing w:after="240" w:line="360" w:lineRule="auto"/>
        <w:jc w:val="both"/>
        <w:rPr>
          <w:b/>
          <w:i/>
        </w:rPr>
      </w:pPr>
      <w:r w:rsidRPr="009A7163">
        <w:lastRenderedPageBreak/>
        <w:t>Cooperative representatives (7) based on position held (e.g., president, cooperative manager, gender coordinator and women leader/board member were chosen for in-depth interviews).</w:t>
      </w:r>
    </w:p>
    <w:p w14:paraId="25DF250F" w14:textId="3008F33F" w:rsidR="002C707D" w:rsidRPr="009A7163" w:rsidRDefault="00430E65" w:rsidP="00293176">
      <w:pPr>
        <w:pStyle w:val="Heading2"/>
        <w:rPr>
          <w:lang w:val="en-GB"/>
        </w:rPr>
      </w:pPr>
      <w:bookmarkStart w:id="64" w:name="_Toc526819288"/>
      <w:r w:rsidRPr="009A7163">
        <w:rPr>
          <w:lang w:val="en-GB"/>
        </w:rPr>
        <w:t xml:space="preserve">3.6  </w:t>
      </w:r>
      <w:r w:rsidR="002C707D" w:rsidRPr="009A7163">
        <w:rPr>
          <w:lang w:val="en-GB"/>
        </w:rPr>
        <w:t>Data Processing and Analysis</w:t>
      </w:r>
      <w:bookmarkEnd w:id="64"/>
      <w:r w:rsidR="002C707D" w:rsidRPr="009A7163">
        <w:rPr>
          <w:lang w:val="en-GB"/>
        </w:rPr>
        <w:t xml:space="preserve"> </w:t>
      </w:r>
    </w:p>
    <w:p w14:paraId="7C9D6AAA" w14:textId="2156A23B" w:rsidR="002C707D" w:rsidRPr="009A7163" w:rsidRDefault="00430E65" w:rsidP="002C707D">
      <w:pPr>
        <w:spacing w:line="360" w:lineRule="auto"/>
        <w:ind w:firstLine="720"/>
        <w:jc w:val="both"/>
      </w:pPr>
      <w:r w:rsidRPr="009A7163">
        <w:t>F</w:t>
      </w:r>
      <w:r w:rsidR="002C707D" w:rsidRPr="009A7163">
        <w:t xml:space="preserve">or the quantitative analysis (surveys), the information was processed via SPSS and also manually using Microsoft Excel. In some cases, tallies were created to verify totals. A local research assistant was employed to process all the statistical data. There were a number of issues that we dealt with such as vague response. There is a real danger that before they even try to find a precise code, coders may use ‘default’ groups as ‘dump groups’ for responses that are difficult to code (United Nations Statistical Division, 2005), which is why I worked closely with my research assistant to </w:t>
      </w:r>
      <w:r w:rsidR="002D27D9" w:rsidRPr="009A7163">
        <w:t>sort</w:t>
      </w:r>
      <w:r w:rsidR="002C707D" w:rsidRPr="009A7163">
        <w:t xml:space="preserve"> through the data. Due to the small numbers, only descriptive statistical analysis was used for the TUS and HCS. For data analysis, a sample was selected from the overall group in order to look at how time use varied through the agricultural cycle with a smaller group who participated in more than three rounds. </w:t>
      </w:r>
    </w:p>
    <w:p w14:paraId="3E120121" w14:textId="139A74B9" w:rsidR="002C707D" w:rsidRPr="009A7163" w:rsidRDefault="002C707D" w:rsidP="002C707D">
      <w:pPr>
        <w:spacing w:line="360" w:lineRule="auto"/>
        <w:ind w:firstLine="720"/>
        <w:jc w:val="both"/>
      </w:pPr>
      <w:r w:rsidRPr="009A7163">
        <w:t xml:space="preserve">For the qualitative data (focus group, interviews, and expert interviews), the NVivo programme was used to code transcripts of the focus groups and interviews. Categories and descriptors were assigned based on the study’s framework. An open coding system was used whereby codes were assigned as the information was processed. I analysed </w:t>
      </w:r>
      <w:r w:rsidR="002D27D9" w:rsidRPr="009A7163">
        <w:t>the data using the</w:t>
      </w:r>
      <w:r w:rsidRPr="009A7163">
        <w:t xml:space="preserve"> current literature and theoretical framework. I later created Excel tables for each research question where I entered in the main points from each code</w:t>
      </w:r>
      <w:r w:rsidR="001429FE" w:rsidRPr="009A7163">
        <w:t>,</w:t>
      </w:r>
      <w:r w:rsidRPr="009A7163">
        <w:t xml:space="preserve"> and through this process I was able to discover and recognise patterns and key trends emerging and therein begin to answer my research questions.</w:t>
      </w:r>
    </w:p>
    <w:p w14:paraId="00EF958E" w14:textId="0151FD7C" w:rsidR="00C07D08" w:rsidRPr="009A7163" w:rsidRDefault="002C707D" w:rsidP="002064B0">
      <w:pPr>
        <w:spacing w:after="240" w:line="360" w:lineRule="auto"/>
        <w:ind w:firstLine="720"/>
        <w:jc w:val="both"/>
      </w:pPr>
      <w:r w:rsidRPr="009A7163">
        <w:t>Initially</w:t>
      </w:r>
      <w:r w:rsidR="001429FE" w:rsidRPr="009A7163">
        <w:t>,</w:t>
      </w:r>
      <w:r w:rsidRPr="009A7163">
        <w:t xml:space="preserve"> when I started working through my definitions of empowerment</w:t>
      </w:r>
      <w:r w:rsidR="001429FE" w:rsidRPr="009A7163">
        <w:t>,</w:t>
      </w:r>
      <w:r w:rsidRPr="009A7163">
        <w:t xml:space="preserve"> I created an analytical framework for empowerment (see </w:t>
      </w:r>
      <w:r w:rsidR="00B44AC2" w:rsidRPr="009A7163">
        <w:t>Chapter Two</w:t>
      </w:r>
      <w:r w:rsidRPr="009A7163">
        <w:t>)</w:t>
      </w:r>
      <w:r w:rsidR="001429FE" w:rsidRPr="009A7163">
        <w:t xml:space="preserve"> that</w:t>
      </w:r>
      <w:r w:rsidRPr="009A7163">
        <w:t xml:space="preserve"> included 21 outcomes an</w:t>
      </w:r>
      <w:r w:rsidR="00213104" w:rsidRPr="009A7163">
        <w:t>d 45 indicators</w:t>
      </w:r>
      <w:r w:rsidRPr="009A7163">
        <w:t xml:space="preserve">. I later decided to broadly highlight key messages in the analysis chapter on empowerment. Through NVivo I created 16 codes related to empowerment </w:t>
      </w:r>
      <w:r w:rsidR="001429FE" w:rsidRPr="009A7163">
        <w:t>that</w:t>
      </w:r>
      <w:r w:rsidRPr="009A7163">
        <w:t xml:space="preserve"> included broader definitions of empowerment </w:t>
      </w:r>
      <w:r w:rsidR="001429FE" w:rsidRPr="009A7163">
        <w:t>to be</w:t>
      </w:r>
      <w:r w:rsidRPr="009A7163">
        <w:t xml:space="preserve"> introduced in </w:t>
      </w:r>
      <w:r w:rsidR="00B44AC2" w:rsidRPr="009A7163">
        <w:t>Chapter Eight</w:t>
      </w:r>
      <w:r w:rsidRPr="009A7163">
        <w:t>. I assessed empowerment from what the women said in the focus groups and interviews based on my definition of empowerment.</w:t>
      </w:r>
      <w:r w:rsidR="001429FE" w:rsidRPr="009A7163">
        <w:t xml:space="preserve"> </w:t>
      </w:r>
      <w:r w:rsidRPr="009A7163">
        <w:t xml:space="preserve">I also hand-coded the transcripts produced from each interview and focus group. I then read and re-read the transcripts to identify themes and sub-themes to be drawn out with quotes to illustrate key points. As I am a fluent Spanish speaker, I did all my data collection and analysis </w:t>
      </w:r>
      <w:r w:rsidRPr="009A7163">
        <w:lastRenderedPageBreak/>
        <w:t>in Spanish and translated the selected quotes during my write-up. This was also useful when I wanted to double check my understandings and analysis with my research assistant in order to ensure credibility</w:t>
      </w:r>
      <w:r w:rsidR="001429FE" w:rsidRPr="009A7163">
        <w:t>,</w:t>
      </w:r>
      <w:r w:rsidRPr="009A7163">
        <w:t xml:space="preserve"> which will be dealt with in a later section on trustworthiness.</w:t>
      </w:r>
    </w:p>
    <w:p w14:paraId="02490882" w14:textId="749D927B" w:rsidR="00C07D08" w:rsidRPr="009A7163" w:rsidRDefault="00C07D08" w:rsidP="00293176">
      <w:pPr>
        <w:pStyle w:val="Heading2"/>
        <w:rPr>
          <w:lang w:val="en-GB"/>
        </w:rPr>
      </w:pPr>
      <w:bookmarkStart w:id="65" w:name="_Toc526819289"/>
      <w:r w:rsidRPr="009A7163">
        <w:rPr>
          <w:lang w:val="en-GB"/>
        </w:rPr>
        <w:t>3.7  Ethical Considerations</w:t>
      </w:r>
      <w:bookmarkEnd w:id="65"/>
    </w:p>
    <w:p w14:paraId="337356F2" w14:textId="5943BF9B" w:rsidR="00AF4CD3" w:rsidRPr="009A7163" w:rsidRDefault="00C07D08" w:rsidP="00293176">
      <w:pPr>
        <w:spacing w:line="360" w:lineRule="auto"/>
        <w:jc w:val="both"/>
        <w:rPr>
          <w:bCs/>
          <w:iCs/>
        </w:rPr>
      </w:pPr>
      <w:r w:rsidRPr="009A7163">
        <w:rPr>
          <w:bCs/>
          <w:iCs/>
        </w:rPr>
        <w:tab/>
      </w:r>
      <w:r w:rsidR="002C707D" w:rsidRPr="009A7163">
        <w:rPr>
          <w:bCs/>
          <w:iCs/>
        </w:rPr>
        <w:t>In terms of ethics and as part of the principles of feminist research, I maintained a concern with ethics throughout the research process and in the use of research results. According to Guimaraes (2007), many propose that whatever the method employed</w:t>
      </w:r>
      <w:r w:rsidR="001429FE" w:rsidRPr="009A7163">
        <w:rPr>
          <w:bCs/>
          <w:iCs/>
        </w:rPr>
        <w:t>,</w:t>
      </w:r>
      <w:r w:rsidR="002C707D" w:rsidRPr="009A7163">
        <w:rPr>
          <w:bCs/>
          <w:iCs/>
        </w:rPr>
        <w:t xml:space="preserve"> what makes research ‘feminist’ is</w:t>
      </w:r>
      <w:r w:rsidR="001429FE" w:rsidRPr="009A7163">
        <w:rPr>
          <w:bCs/>
          <w:iCs/>
        </w:rPr>
        <w:t>,</w:t>
      </w:r>
      <w:r w:rsidR="002C707D" w:rsidRPr="009A7163">
        <w:rPr>
          <w:bCs/>
          <w:iCs/>
        </w:rPr>
        <w:t xml:space="preserve"> in part, an underlying research ethic of integrity and responsibility in the research process (p. 149).  McCormick (2012) further state</w:t>
      </w:r>
      <w:r w:rsidR="001429FE" w:rsidRPr="009A7163">
        <w:rPr>
          <w:bCs/>
          <w:iCs/>
        </w:rPr>
        <w:t>s</w:t>
      </w:r>
      <w:r w:rsidR="002C707D" w:rsidRPr="009A7163">
        <w:rPr>
          <w:bCs/>
          <w:iCs/>
        </w:rPr>
        <w:t xml:space="preserve"> that in feminist research (although this is not exclusive to feminist research</w:t>
      </w:r>
      <w:r w:rsidR="008B253A" w:rsidRPr="009A7163">
        <w:rPr>
          <w:bCs/>
          <w:iCs/>
        </w:rPr>
        <w:t>)</w:t>
      </w:r>
      <w:r w:rsidR="002C707D" w:rsidRPr="009A7163">
        <w:rPr>
          <w:bCs/>
          <w:iCs/>
        </w:rPr>
        <w:t xml:space="preserve"> ‘</w:t>
      </w:r>
      <w:r w:rsidR="001429FE" w:rsidRPr="009A7163">
        <w:rPr>
          <w:bCs/>
          <w:iCs/>
        </w:rPr>
        <w:t>[t]</w:t>
      </w:r>
      <w:r w:rsidR="002C707D" w:rsidRPr="009A7163">
        <w:rPr>
          <w:bCs/>
          <w:iCs/>
        </w:rPr>
        <w:t xml:space="preserve">here is a concern that the research be ethical, in that it not causes harm to those being researched, and that it gives voice to the voiceless. These are high standards to meet, and yet many researchers use these guidelines in conducting their work’ (p. 24). In my research, I held ethics and the principle of doing no harm as central. </w:t>
      </w:r>
      <w:r w:rsidR="008B253A" w:rsidRPr="009A7163">
        <w:rPr>
          <w:bCs/>
          <w:iCs/>
        </w:rPr>
        <w:t>I referred to specific guides on rese</w:t>
      </w:r>
      <w:r w:rsidR="00AF4CD3" w:rsidRPr="009A7163">
        <w:rPr>
          <w:bCs/>
          <w:iCs/>
        </w:rPr>
        <w:t>arching violence against women</w:t>
      </w:r>
      <w:r w:rsidR="008B253A" w:rsidRPr="009A7163">
        <w:rPr>
          <w:bCs/>
          <w:iCs/>
        </w:rPr>
        <w:t xml:space="preserve"> (Ellseberg et al</w:t>
      </w:r>
      <w:r w:rsidR="001429FE" w:rsidRPr="009A7163">
        <w:rPr>
          <w:bCs/>
          <w:iCs/>
        </w:rPr>
        <w:t>.,</w:t>
      </w:r>
      <w:r w:rsidR="008B253A" w:rsidRPr="009A7163">
        <w:rPr>
          <w:bCs/>
          <w:iCs/>
        </w:rPr>
        <w:t xml:space="preserve"> 2005</w:t>
      </w:r>
      <w:r w:rsidR="001429FE" w:rsidRPr="009A7163">
        <w:rPr>
          <w:bCs/>
          <w:iCs/>
        </w:rPr>
        <w:t>;</w:t>
      </w:r>
      <w:r w:rsidR="008B253A" w:rsidRPr="009A7163">
        <w:rPr>
          <w:bCs/>
          <w:iCs/>
        </w:rPr>
        <w:t xml:space="preserve"> WHO, 1999) amongst others to inform the design, implementation and interpretation of results. Whilst my research did not </w:t>
      </w:r>
      <w:r w:rsidR="00E83763" w:rsidRPr="009A7163">
        <w:rPr>
          <w:bCs/>
          <w:iCs/>
        </w:rPr>
        <w:t xml:space="preserve">have </w:t>
      </w:r>
      <w:r w:rsidR="008B253A" w:rsidRPr="009A7163">
        <w:rPr>
          <w:bCs/>
          <w:iCs/>
        </w:rPr>
        <w:t xml:space="preserve">violence </w:t>
      </w:r>
      <w:r w:rsidR="00E83763" w:rsidRPr="009A7163">
        <w:rPr>
          <w:bCs/>
          <w:iCs/>
        </w:rPr>
        <w:t xml:space="preserve">as a central focus, </w:t>
      </w:r>
      <w:r w:rsidR="008B253A" w:rsidRPr="009A7163">
        <w:rPr>
          <w:bCs/>
          <w:iCs/>
        </w:rPr>
        <w:t>I was conscious that this issue may come up</w:t>
      </w:r>
      <w:r w:rsidR="00E83763" w:rsidRPr="009A7163">
        <w:rPr>
          <w:bCs/>
          <w:iCs/>
        </w:rPr>
        <w:t>. There is</w:t>
      </w:r>
      <w:r w:rsidR="008B253A" w:rsidRPr="009A7163">
        <w:rPr>
          <w:bCs/>
          <w:iCs/>
        </w:rPr>
        <w:t xml:space="preserve"> also the concern of revictimizing the participant</w:t>
      </w:r>
      <w:r w:rsidR="0004602B" w:rsidRPr="009A7163">
        <w:rPr>
          <w:bCs/>
          <w:iCs/>
        </w:rPr>
        <w:t xml:space="preserve"> through asking questions or using a tone of voice which may downplay violence or make them feel that what they are speaking about is not significant</w:t>
      </w:r>
      <w:r w:rsidR="008B253A" w:rsidRPr="009A7163">
        <w:rPr>
          <w:bCs/>
          <w:iCs/>
        </w:rPr>
        <w:t>.</w:t>
      </w:r>
      <w:r w:rsidR="00AF4CD3" w:rsidRPr="009A7163">
        <w:rPr>
          <w:bCs/>
          <w:iCs/>
        </w:rPr>
        <w:t xml:space="preserve"> I used the </w:t>
      </w:r>
      <w:r w:rsidR="00E83763" w:rsidRPr="009A7163">
        <w:rPr>
          <w:bCs/>
          <w:iCs/>
        </w:rPr>
        <w:t>W</w:t>
      </w:r>
      <w:r w:rsidR="00655D04" w:rsidRPr="009A7163">
        <w:rPr>
          <w:bCs/>
          <w:iCs/>
        </w:rPr>
        <w:t xml:space="preserve">orld </w:t>
      </w:r>
      <w:r w:rsidR="00E83763" w:rsidRPr="009A7163">
        <w:rPr>
          <w:bCs/>
          <w:iCs/>
        </w:rPr>
        <w:t>H</w:t>
      </w:r>
      <w:r w:rsidR="00655D04" w:rsidRPr="009A7163">
        <w:rPr>
          <w:bCs/>
          <w:iCs/>
        </w:rPr>
        <w:t xml:space="preserve">ealth </w:t>
      </w:r>
      <w:r w:rsidR="00E83763" w:rsidRPr="009A7163">
        <w:rPr>
          <w:bCs/>
          <w:iCs/>
        </w:rPr>
        <w:t>O</w:t>
      </w:r>
      <w:r w:rsidR="00655D04" w:rsidRPr="009A7163">
        <w:rPr>
          <w:bCs/>
          <w:iCs/>
        </w:rPr>
        <w:t>rganization</w:t>
      </w:r>
      <w:r w:rsidR="00E83763" w:rsidRPr="009A7163">
        <w:rPr>
          <w:bCs/>
          <w:iCs/>
        </w:rPr>
        <w:t xml:space="preserve"> </w:t>
      </w:r>
      <w:r w:rsidR="00AF4CD3" w:rsidRPr="009A7163">
        <w:rPr>
          <w:bCs/>
          <w:iCs/>
        </w:rPr>
        <w:t>ethical and safety recommendations</w:t>
      </w:r>
      <w:r w:rsidR="00644227" w:rsidRPr="009A7163">
        <w:rPr>
          <w:bCs/>
          <w:iCs/>
        </w:rPr>
        <w:t xml:space="preserve"> on researching gender violence</w:t>
      </w:r>
      <w:r w:rsidR="00AF4CD3" w:rsidRPr="009A7163">
        <w:rPr>
          <w:bCs/>
          <w:iCs/>
        </w:rPr>
        <w:t xml:space="preserve"> (</w:t>
      </w:r>
      <w:r w:rsidR="00655D04" w:rsidRPr="009A7163">
        <w:rPr>
          <w:bCs/>
          <w:iCs/>
        </w:rPr>
        <w:t>WHO, 1999</w:t>
      </w:r>
      <w:r w:rsidR="00AF4CD3" w:rsidRPr="009A7163">
        <w:rPr>
          <w:bCs/>
          <w:iCs/>
        </w:rPr>
        <w:t>)</w:t>
      </w:r>
      <w:r w:rsidR="001429FE" w:rsidRPr="009A7163">
        <w:rPr>
          <w:bCs/>
          <w:iCs/>
        </w:rPr>
        <w:t>,</w:t>
      </w:r>
      <w:r w:rsidR="0004602B" w:rsidRPr="009A7163">
        <w:rPr>
          <w:bCs/>
          <w:iCs/>
        </w:rPr>
        <w:t xml:space="preserve"> as well as the ESRC ethical guidelines </w:t>
      </w:r>
      <w:r w:rsidR="00AF4CD3" w:rsidRPr="009A7163">
        <w:rPr>
          <w:bCs/>
          <w:iCs/>
        </w:rPr>
        <w:t>to guide my fieldwork and shared them with my research assistance.</w:t>
      </w:r>
    </w:p>
    <w:p w14:paraId="43CEE84B" w14:textId="6D375235" w:rsidR="002C707D" w:rsidRPr="009A7163" w:rsidRDefault="00AF4CD3" w:rsidP="00AE6A5B">
      <w:pPr>
        <w:spacing w:line="360" w:lineRule="auto"/>
        <w:ind w:firstLine="720"/>
        <w:jc w:val="both"/>
        <w:rPr>
          <w:bCs/>
          <w:iCs/>
        </w:rPr>
      </w:pPr>
      <w:r w:rsidRPr="009A7163">
        <w:rPr>
          <w:bCs/>
          <w:iCs/>
        </w:rPr>
        <w:t>So f</w:t>
      </w:r>
      <w:r w:rsidR="002C707D" w:rsidRPr="009A7163">
        <w:rPr>
          <w:bCs/>
          <w:iCs/>
        </w:rPr>
        <w:t xml:space="preserve">irst and foremost, I was conscious of the possible consequences of my research. One of the first ethical questions feminist researchers face is that of informed consent and as part of that obtaining meaningful consent can be problematic. I made sure the participants knew that I would change their names for confidentiality reasons. I also fully briefed the respondents about the purpose of my research, purpose of recording, voluntary nature of their participation and the potential hazards of participating (e.g., emotional upset, disappointment, etc.). I then made sure I obtained oral informed consent and in particular I double-checked that the participants understood what I was asking and the implications of granting the request. Sometimes </w:t>
      </w:r>
      <w:r w:rsidR="002C707D" w:rsidRPr="009A7163">
        <w:rPr>
          <w:bCs/>
          <w:iCs/>
        </w:rPr>
        <w:lastRenderedPageBreak/>
        <w:t>I asked my research assistant to go over the informed consent to double check it was understood and there were no language barriers. Although I am a fluent Spanish speaker, I never take for granted that language issues w</w:t>
      </w:r>
      <w:r w:rsidR="00110169" w:rsidRPr="009A7163">
        <w:rPr>
          <w:bCs/>
          <w:iCs/>
        </w:rPr>
        <w:t>ill not</w:t>
      </w:r>
      <w:r w:rsidR="002C707D" w:rsidRPr="009A7163">
        <w:rPr>
          <w:bCs/>
          <w:iCs/>
        </w:rPr>
        <w:t xml:space="preserve"> come up.</w:t>
      </w:r>
    </w:p>
    <w:p w14:paraId="1A645E48" w14:textId="01EF7A97" w:rsidR="002C707D" w:rsidRPr="009A7163" w:rsidRDefault="002C707D" w:rsidP="002064B0">
      <w:pPr>
        <w:spacing w:line="360" w:lineRule="auto"/>
        <w:ind w:firstLine="720"/>
        <w:jc w:val="both"/>
        <w:rPr>
          <w:bCs/>
          <w:iCs/>
        </w:rPr>
      </w:pPr>
      <w:r w:rsidRPr="009A7163">
        <w:rPr>
          <w:bCs/>
          <w:iCs/>
        </w:rPr>
        <w:t xml:space="preserve">Another issue connected to informed consent is the requirement of voluntariness. This means that the person has volunteered to be part of the project and is not part of the project by coercion (McCormick, 2012, p. 25). In some </w:t>
      </w:r>
      <w:r w:rsidR="004B3334" w:rsidRPr="009A7163">
        <w:rPr>
          <w:bCs/>
          <w:iCs/>
        </w:rPr>
        <w:t>instances,</w:t>
      </w:r>
      <w:r w:rsidRPr="009A7163">
        <w:rPr>
          <w:bCs/>
          <w:iCs/>
        </w:rPr>
        <w:t xml:space="preserve"> in my fieldwork</w:t>
      </w:r>
      <w:r w:rsidR="00110169" w:rsidRPr="009A7163">
        <w:rPr>
          <w:bCs/>
          <w:iCs/>
        </w:rPr>
        <w:t xml:space="preserve"> and with </w:t>
      </w:r>
      <w:r w:rsidRPr="009A7163">
        <w:rPr>
          <w:bCs/>
          <w:iCs/>
        </w:rPr>
        <w:t xml:space="preserve">group activities </w:t>
      </w:r>
      <w:r w:rsidR="00110169" w:rsidRPr="009A7163">
        <w:rPr>
          <w:bCs/>
          <w:iCs/>
        </w:rPr>
        <w:t>(</w:t>
      </w:r>
      <w:r w:rsidRPr="009A7163">
        <w:rPr>
          <w:bCs/>
          <w:iCs/>
        </w:rPr>
        <w:t>such as the focus groups or surveys</w:t>
      </w:r>
      <w:r w:rsidR="00110169" w:rsidRPr="009A7163">
        <w:rPr>
          <w:bCs/>
          <w:iCs/>
        </w:rPr>
        <w:t>)</w:t>
      </w:r>
      <w:r w:rsidRPr="009A7163">
        <w:rPr>
          <w:bCs/>
          <w:iCs/>
        </w:rPr>
        <w:t>, I sensed that the women did feel obliged or pressured to attend. As soon as I sensed this, I gave the women permission not</w:t>
      </w:r>
      <w:r w:rsidR="00110169" w:rsidRPr="009A7163">
        <w:rPr>
          <w:bCs/>
          <w:iCs/>
        </w:rPr>
        <w:t xml:space="preserve"> to</w:t>
      </w:r>
      <w:r w:rsidRPr="009A7163">
        <w:rPr>
          <w:bCs/>
          <w:iCs/>
        </w:rPr>
        <w:t xml:space="preserve"> attend. Equally</w:t>
      </w:r>
      <w:r w:rsidR="00110169" w:rsidRPr="009A7163">
        <w:rPr>
          <w:bCs/>
          <w:iCs/>
        </w:rPr>
        <w:t>,</w:t>
      </w:r>
      <w:r w:rsidRPr="009A7163">
        <w:rPr>
          <w:bCs/>
          <w:iCs/>
        </w:rPr>
        <w:t xml:space="preserve"> before every interview</w:t>
      </w:r>
      <w:r w:rsidR="00110169" w:rsidRPr="009A7163">
        <w:rPr>
          <w:bCs/>
          <w:iCs/>
        </w:rPr>
        <w:t>,</w:t>
      </w:r>
      <w:r w:rsidRPr="009A7163">
        <w:rPr>
          <w:bCs/>
          <w:iCs/>
        </w:rPr>
        <w:t xml:space="preserve"> when I asked for a signature of informed consent, I also made sure the women understood it was not obligatory to participate. In the case of one community in San Ramón, their willingness to participate in ‘another TUS’ waned and I did not impose participation</w:t>
      </w:r>
      <w:r w:rsidR="00110169" w:rsidRPr="009A7163">
        <w:rPr>
          <w:bCs/>
          <w:iCs/>
        </w:rPr>
        <w:t>,</w:t>
      </w:r>
      <w:r w:rsidRPr="009A7163">
        <w:rPr>
          <w:bCs/>
          <w:iCs/>
        </w:rPr>
        <w:t xml:space="preserve"> but </w:t>
      </w:r>
      <w:r w:rsidR="00110169" w:rsidRPr="009A7163">
        <w:rPr>
          <w:bCs/>
          <w:iCs/>
        </w:rPr>
        <w:t xml:space="preserve">rather </w:t>
      </w:r>
      <w:r w:rsidRPr="009A7163">
        <w:rPr>
          <w:bCs/>
          <w:iCs/>
        </w:rPr>
        <w:t>respected their choice. I also assured them of my neutrality and that participating or not in the research would have no direct effect on the buying preferences or patter</w:t>
      </w:r>
      <w:r w:rsidR="00110169" w:rsidRPr="009A7163">
        <w:rPr>
          <w:bCs/>
          <w:iCs/>
        </w:rPr>
        <w:t>n</w:t>
      </w:r>
      <w:r w:rsidRPr="009A7163">
        <w:rPr>
          <w:bCs/>
          <w:iCs/>
        </w:rPr>
        <w:t xml:space="preserve">s of </w:t>
      </w:r>
      <w:r w:rsidR="001B31D5" w:rsidRPr="009A7163">
        <w:rPr>
          <w:bCs/>
          <w:iCs/>
        </w:rPr>
        <w:t>BSI</w:t>
      </w:r>
      <w:r w:rsidRPr="009A7163">
        <w:rPr>
          <w:bCs/>
          <w:iCs/>
        </w:rPr>
        <w:t xml:space="preserve"> or the coffee buyers, i.e., their livelihood was not at stake.</w:t>
      </w:r>
      <w:r w:rsidR="003D197D" w:rsidRPr="009A7163">
        <w:rPr>
          <w:bCs/>
          <w:iCs/>
        </w:rPr>
        <w:t xml:space="preserve"> This</w:t>
      </w:r>
      <w:r w:rsidR="00F62934" w:rsidRPr="009A7163">
        <w:rPr>
          <w:bCs/>
          <w:iCs/>
        </w:rPr>
        <w:t xml:space="preserve"> was important since my research w</w:t>
      </w:r>
      <w:r w:rsidR="00E661AF" w:rsidRPr="009A7163">
        <w:rPr>
          <w:bCs/>
          <w:iCs/>
        </w:rPr>
        <w:t xml:space="preserve">as funded in part by one of the </w:t>
      </w:r>
      <w:r w:rsidR="00F62934" w:rsidRPr="009A7163">
        <w:rPr>
          <w:bCs/>
          <w:iCs/>
        </w:rPr>
        <w:t xml:space="preserve">major buyers </w:t>
      </w:r>
      <w:r w:rsidR="00E661AF" w:rsidRPr="009A7163">
        <w:rPr>
          <w:bCs/>
          <w:iCs/>
        </w:rPr>
        <w:t>in the sesame cooperative</w:t>
      </w:r>
      <w:r w:rsidR="00250B59" w:rsidRPr="009A7163">
        <w:rPr>
          <w:bCs/>
          <w:iCs/>
        </w:rPr>
        <w:t>,</w:t>
      </w:r>
      <w:r w:rsidR="00E661AF" w:rsidRPr="009A7163">
        <w:rPr>
          <w:bCs/>
          <w:iCs/>
        </w:rPr>
        <w:t xml:space="preserve"> </w:t>
      </w:r>
      <w:r w:rsidR="00F62934" w:rsidRPr="009A7163">
        <w:rPr>
          <w:bCs/>
          <w:iCs/>
        </w:rPr>
        <w:t>and I have good relationships with all of the buyers</w:t>
      </w:r>
      <w:r w:rsidR="00E661AF" w:rsidRPr="009A7163">
        <w:rPr>
          <w:bCs/>
          <w:iCs/>
        </w:rPr>
        <w:t xml:space="preserve"> who participated in the research</w:t>
      </w:r>
      <w:r w:rsidR="00F62934" w:rsidRPr="009A7163">
        <w:rPr>
          <w:bCs/>
          <w:iCs/>
        </w:rPr>
        <w:t>.</w:t>
      </w:r>
      <w:r w:rsidRPr="009A7163">
        <w:rPr>
          <w:bCs/>
          <w:iCs/>
        </w:rPr>
        <w:t xml:space="preserve"> I made sure to ask about consent during every round of research, so it was something that was discussed and not taken for granted. As my work spanned over a number of years, I did remind the participants that they could withdraw their consent at any time; however, it seemed to be more complex than this as we developed relationships</w:t>
      </w:r>
      <w:r w:rsidR="00250B59" w:rsidRPr="009A7163">
        <w:rPr>
          <w:bCs/>
          <w:iCs/>
        </w:rPr>
        <w:t>. I</w:t>
      </w:r>
      <w:r w:rsidR="00A57A25" w:rsidRPr="009A7163">
        <w:rPr>
          <w:bCs/>
          <w:iCs/>
        </w:rPr>
        <w:t>n some cases,</w:t>
      </w:r>
      <w:r w:rsidRPr="009A7163">
        <w:rPr>
          <w:bCs/>
          <w:iCs/>
        </w:rPr>
        <w:t xml:space="preserve"> whilst the repeated TUS could have been a burden for them, I also sensed that they did not want to let me down. Informed consent during long-term research with repeated field visits is an area </w:t>
      </w:r>
      <w:r w:rsidR="00250B59" w:rsidRPr="009A7163">
        <w:rPr>
          <w:bCs/>
          <w:iCs/>
        </w:rPr>
        <w:t>that</w:t>
      </w:r>
      <w:r w:rsidRPr="009A7163">
        <w:rPr>
          <w:bCs/>
          <w:iCs/>
        </w:rPr>
        <w:t xml:space="preserve"> is perhaps overlooked when identifying potential harms. In relation to the relationships I built during my fieldwork, this highlighted a few tensions around the issues of ethics especially in relation to harm, which is a major concern in feminist research. Yet, as Kirsch (2005) point</w:t>
      </w:r>
      <w:r w:rsidR="00466669" w:rsidRPr="009A7163">
        <w:rPr>
          <w:bCs/>
          <w:iCs/>
        </w:rPr>
        <w:t>s</w:t>
      </w:r>
      <w:r w:rsidRPr="009A7163">
        <w:rPr>
          <w:bCs/>
          <w:iCs/>
        </w:rPr>
        <w:t xml:space="preserve"> out, the attempts to level power relations and be more open with research participants may have inadvertently reintroduced some of the ethical dilemmas feminist researchers had hoped to eliminate: participants’ ‘sense of disappointment, alienation, and potential exploitation’ (p. 2163). Stacey (1988) further argue</w:t>
      </w:r>
      <w:r w:rsidR="00250B59" w:rsidRPr="009A7163">
        <w:rPr>
          <w:bCs/>
          <w:iCs/>
        </w:rPr>
        <w:t>s that</w:t>
      </w:r>
      <w:r w:rsidRPr="009A7163">
        <w:rPr>
          <w:bCs/>
          <w:iCs/>
        </w:rPr>
        <w:t xml:space="preserve"> ‘the greater the intimacy, the apparent mutuality of the researcher/researched relationship, the greater is the danger’ (p. 24). Some of these issues came up in my own work whereby one community was disappointed that I could not communicate on their behalf with the buyer about the next harvest sales volumes. I </w:t>
      </w:r>
      <w:r w:rsidRPr="009A7163">
        <w:rPr>
          <w:bCs/>
          <w:iCs/>
        </w:rPr>
        <w:lastRenderedPageBreak/>
        <w:t xml:space="preserve">felt in an incredibly compromised position and they were frustrated and perhaps resentful that I could not ‘just email the buyer’ on their behalf. I did not want to communicate with the buyer </w:t>
      </w:r>
      <w:r w:rsidR="00250B59" w:rsidRPr="009A7163">
        <w:rPr>
          <w:bCs/>
          <w:iCs/>
        </w:rPr>
        <w:t>because I did not want</w:t>
      </w:r>
      <w:r w:rsidRPr="009A7163">
        <w:rPr>
          <w:bCs/>
          <w:iCs/>
        </w:rPr>
        <w:t xml:space="preserve"> to position myself as able to influence buying practices</w:t>
      </w:r>
      <w:r w:rsidR="00250B59" w:rsidRPr="009A7163">
        <w:rPr>
          <w:bCs/>
          <w:iCs/>
        </w:rPr>
        <w:t>,</w:t>
      </w:r>
      <w:r w:rsidRPr="009A7163">
        <w:rPr>
          <w:bCs/>
          <w:iCs/>
        </w:rPr>
        <w:t xml:space="preserve"> which was important due to the nature of this study. Another issue for both myself and the participants</w:t>
      </w:r>
      <w:r w:rsidR="00250B59" w:rsidRPr="009A7163">
        <w:rPr>
          <w:bCs/>
          <w:iCs/>
        </w:rPr>
        <w:t xml:space="preserve">, given the significant time we spent together and my periodic visits with them </w:t>
      </w:r>
      <w:r w:rsidRPr="009A7163">
        <w:rPr>
          <w:bCs/>
          <w:iCs/>
        </w:rPr>
        <w:t>over a number of years</w:t>
      </w:r>
      <w:r w:rsidR="00250B59" w:rsidRPr="009A7163">
        <w:rPr>
          <w:bCs/>
          <w:iCs/>
        </w:rPr>
        <w:t xml:space="preserve"> to</w:t>
      </w:r>
      <w:r w:rsidRPr="009A7163">
        <w:rPr>
          <w:bCs/>
          <w:iCs/>
        </w:rPr>
        <w:t xml:space="preserve"> collect information on their lives and their time use, was a sense of ‘what now?’ and ‘what next?’ Building rapport with participants and knowing the research has ended created conflicting emotions for me</w:t>
      </w:r>
      <w:r w:rsidR="00250B59" w:rsidRPr="009A7163">
        <w:rPr>
          <w:bCs/>
          <w:iCs/>
        </w:rPr>
        <w:t>,</w:t>
      </w:r>
      <w:r w:rsidRPr="009A7163">
        <w:rPr>
          <w:bCs/>
          <w:iCs/>
        </w:rPr>
        <w:t xml:space="preserve"> and I am sure some of the research participants</w:t>
      </w:r>
      <w:r w:rsidR="00250B59" w:rsidRPr="009A7163">
        <w:rPr>
          <w:bCs/>
          <w:iCs/>
        </w:rPr>
        <w:t xml:space="preserve"> feel the same</w:t>
      </w:r>
      <w:r w:rsidRPr="009A7163">
        <w:rPr>
          <w:bCs/>
          <w:iCs/>
        </w:rPr>
        <w:t xml:space="preserve">. Huisman (2008), in </w:t>
      </w:r>
      <w:r w:rsidR="00250B59" w:rsidRPr="009A7163">
        <w:rPr>
          <w:bCs/>
          <w:iCs/>
        </w:rPr>
        <w:t xml:space="preserve">an </w:t>
      </w:r>
      <w:r w:rsidRPr="009A7163">
        <w:rPr>
          <w:bCs/>
          <w:iCs/>
        </w:rPr>
        <w:t xml:space="preserve">article aptly </w:t>
      </w:r>
      <w:r w:rsidR="00250B59" w:rsidRPr="009A7163">
        <w:rPr>
          <w:bCs/>
          <w:iCs/>
        </w:rPr>
        <w:t>titled,</w:t>
      </w:r>
      <w:r w:rsidRPr="009A7163">
        <w:rPr>
          <w:bCs/>
          <w:iCs/>
        </w:rPr>
        <w:t xml:space="preserve"> ‘Does This Mean You’re not Going to Visit Anymore?’, articulated: </w:t>
      </w:r>
    </w:p>
    <w:p w14:paraId="66D36877" w14:textId="77777777" w:rsidR="002C707D" w:rsidRPr="009A7163" w:rsidRDefault="002C707D" w:rsidP="00293176">
      <w:pPr>
        <w:spacing w:after="180"/>
        <w:ind w:left="720"/>
        <w:jc w:val="both"/>
        <w:rPr>
          <w:bCs/>
          <w:iCs/>
        </w:rPr>
      </w:pPr>
      <w:r w:rsidRPr="009A7163">
        <w:rPr>
          <w:bCs/>
          <w:iCs/>
        </w:rPr>
        <w:t xml:space="preserve">Despite my efforts to avoid exploitation, betrayal, and abandonment in my work, I encountered several ethical challenges. Although I took steps to mitigate the challenges and dilemmas I faced, in the end I was left feeling as though I had let some of the participants down. Thus, more than 4 years after I completed this research, the ethical challenges I faced remain largely unresolved. (p. 379) </w:t>
      </w:r>
    </w:p>
    <w:p w14:paraId="575B8C0C" w14:textId="6F82FA1F" w:rsidR="002C707D" w:rsidRPr="009A7163" w:rsidRDefault="002C707D" w:rsidP="002C707D">
      <w:pPr>
        <w:spacing w:line="360" w:lineRule="auto"/>
        <w:ind w:firstLine="720"/>
        <w:jc w:val="both"/>
        <w:rPr>
          <w:bCs/>
          <w:iCs/>
        </w:rPr>
      </w:pPr>
      <w:r w:rsidRPr="009A7163">
        <w:rPr>
          <w:bCs/>
          <w:iCs/>
        </w:rPr>
        <w:t xml:space="preserve">Another issue that arose from the </w:t>
      </w:r>
      <w:r w:rsidR="00250B59" w:rsidRPr="009A7163">
        <w:rPr>
          <w:bCs/>
          <w:iCs/>
        </w:rPr>
        <w:t>research,</w:t>
      </w:r>
      <w:r w:rsidRPr="009A7163">
        <w:rPr>
          <w:bCs/>
          <w:iCs/>
        </w:rPr>
        <w:t xml:space="preserve"> and the close relationships that were </w:t>
      </w:r>
      <w:r w:rsidR="00250B59" w:rsidRPr="009A7163">
        <w:rPr>
          <w:bCs/>
          <w:iCs/>
        </w:rPr>
        <w:t xml:space="preserve">in some cases </w:t>
      </w:r>
      <w:r w:rsidRPr="009A7163">
        <w:rPr>
          <w:bCs/>
          <w:iCs/>
        </w:rPr>
        <w:t>built</w:t>
      </w:r>
      <w:r w:rsidR="00250B59" w:rsidRPr="009A7163">
        <w:rPr>
          <w:bCs/>
          <w:iCs/>
        </w:rPr>
        <w:t>,</w:t>
      </w:r>
      <w:r w:rsidRPr="009A7163">
        <w:rPr>
          <w:bCs/>
          <w:iCs/>
        </w:rPr>
        <w:t xml:space="preserve"> was how I handled sensitive information on issues surrounding physical</w:t>
      </w:r>
      <w:r w:rsidR="00250B59" w:rsidRPr="009A7163">
        <w:rPr>
          <w:bCs/>
          <w:iCs/>
        </w:rPr>
        <w:t xml:space="preserve"> and</w:t>
      </w:r>
      <w:r w:rsidRPr="009A7163">
        <w:rPr>
          <w:bCs/>
          <w:iCs/>
        </w:rPr>
        <w:t xml:space="preserve"> psychological abus</w:t>
      </w:r>
      <w:r w:rsidR="00466669" w:rsidRPr="009A7163">
        <w:rPr>
          <w:bCs/>
          <w:iCs/>
        </w:rPr>
        <w:t>e</w:t>
      </w:r>
      <w:r w:rsidRPr="009A7163">
        <w:rPr>
          <w:bCs/>
          <w:iCs/>
        </w:rPr>
        <w:t xml:space="preserve">, and other confidential information disclosed by the participants. I had to juggle being supportive </w:t>
      </w:r>
      <w:r w:rsidR="00250B59" w:rsidRPr="009A7163">
        <w:rPr>
          <w:bCs/>
          <w:iCs/>
        </w:rPr>
        <w:t>whilst</w:t>
      </w:r>
      <w:r w:rsidRPr="009A7163">
        <w:rPr>
          <w:bCs/>
          <w:iCs/>
        </w:rPr>
        <w:t xml:space="preserve"> maintain</w:t>
      </w:r>
      <w:r w:rsidR="00250B59" w:rsidRPr="009A7163">
        <w:rPr>
          <w:bCs/>
          <w:iCs/>
        </w:rPr>
        <w:t>ing</w:t>
      </w:r>
      <w:r w:rsidRPr="009A7163">
        <w:rPr>
          <w:bCs/>
          <w:iCs/>
        </w:rPr>
        <w:t xml:space="preserve"> my own space and a certain level of distance. I received training in non-violent communication and feminist communication skills, so </w:t>
      </w:r>
      <w:r w:rsidR="00250B59" w:rsidRPr="009A7163">
        <w:rPr>
          <w:bCs/>
          <w:iCs/>
        </w:rPr>
        <w:t xml:space="preserve">I </w:t>
      </w:r>
      <w:r w:rsidRPr="009A7163">
        <w:rPr>
          <w:bCs/>
          <w:iCs/>
        </w:rPr>
        <w:t>was able to be sensitive to the women’s needs and not ‘do any harm’ or further victimise the women through my own language and treatment of them. Furthermore, when appropriate I offered information about local women’s groups, NGOs or other services that the women could access. I was careful to protect the participants as much as myself and this meant being aware of clear boundaries. As Kirsch (2005) argue</w:t>
      </w:r>
      <w:r w:rsidR="00250B59" w:rsidRPr="009A7163">
        <w:rPr>
          <w:bCs/>
          <w:iCs/>
        </w:rPr>
        <w:t>s:</w:t>
      </w:r>
    </w:p>
    <w:p w14:paraId="6E189AFF" w14:textId="2B237F52" w:rsidR="002C707D" w:rsidRPr="009A7163" w:rsidRDefault="002C707D" w:rsidP="00293176">
      <w:pPr>
        <w:spacing w:after="180"/>
        <w:ind w:left="720"/>
        <w:jc w:val="both"/>
        <w:rPr>
          <w:bCs/>
          <w:iCs/>
        </w:rPr>
      </w:pPr>
      <w:r w:rsidRPr="009A7163">
        <w:rPr>
          <w:bCs/>
          <w:iCs/>
        </w:rPr>
        <w:t xml:space="preserve">I propose that feminist scholars may want to consider carefully which roles they wish to play (and which to avoid) by delineating clear boundaries between researchers and participants so that neither party unwittingly compromises expectations of friendship, confidentiality, and trust. </w:t>
      </w:r>
      <w:r w:rsidR="00250B59" w:rsidRPr="009A7163">
        <w:rPr>
          <w:bCs/>
          <w:iCs/>
        </w:rPr>
        <w:t>(p. 2166)</w:t>
      </w:r>
    </w:p>
    <w:p w14:paraId="40FF2565" w14:textId="20F52925" w:rsidR="002C707D" w:rsidRPr="009A7163" w:rsidRDefault="002C707D" w:rsidP="00293176">
      <w:pPr>
        <w:spacing w:after="240" w:line="360" w:lineRule="auto"/>
        <w:ind w:firstLine="720"/>
        <w:jc w:val="both"/>
        <w:rPr>
          <w:bCs/>
          <w:iCs/>
        </w:rPr>
      </w:pPr>
      <w:r w:rsidRPr="009A7163">
        <w:rPr>
          <w:bCs/>
          <w:iCs/>
        </w:rPr>
        <w:t xml:space="preserve">On the whole I tried to remain an </w:t>
      </w:r>
      <w:r w:rsidR="00430E65" w:rsidRPr="009A7163">
        <w:rPr>
          <w:bCs/>
          <w:iCs/>
        </w:rPr>
        <w:t>empathic</w:t>
      </w:r>
      <w:r w:rsidRPr="009A7163">
        <w:rPr>
          <w:bCs/>
          <w:iCs/>
        </w:rPr>
        <w:t xml:space="preserve"> and compassionate listener whilst maintaining distance and above all not raising expectations about </w:t>
      </w:r>
      <w:r w:rsidR="00250B59" w:rsidRPr="009A7163">
        <w:rPr>
          <w:bCs/>
          <w:iCs/>
        </w:rPr>
        <w:t xml:space="preserve">what </w:t>
      </w:r>
      <w:r w:rsidRPr="009A7163">
        <w:rPr>
          <w:bCs/>
          <w:iCs/>
        </w:rPr>
        <w:t>the research might do</w:t>
      </w:r>
      <w:r w:rsidR="00250B59" w:rsidRPr="009A7163">
        <w:rPr>
          <w:bCs/>
          <w:iCs/>
        </w:rPr>
        <w:t xml:space="preserve">, </w:t>
      </w:r>
      <w:r w:rsidRPr="009A7163">
        <w:rPr>
          <w:bCs/>
          <w:iCs/>
        </w:rPr>
        <w:t>especially in regards to anything commercial.</w:t>
      </w:r>
    </w:p>
    <w:p w14:paraId="547D560D" w14:textId="7838422F" w:rsidR="00C07D08" w:rsidRPr="009A7163" w:rsidRDefault="00C07D08" w:rsidP="00293176">
      <w:pPr>
        <w:pStyle w:val="Heading2"/>
        <w:rPr>
          <w:lang w:val="en-GB"/>
        </w:rPr>
      </w:pPr>
      <w:bookmarkStart w:id="66" w:name="_Toc526819290"/>
      <w:r w:rsidRPr="009A7163">
        <w:rPr>
          <w:lang w:val="en-GB"/>
        </w:rPr>
        <w:lastRenderedPageBreak/>
        <w:t xml:space="preserve">3.8  Credibility, </w:t>
      </w:r>
      <w:r w:rsidR="006B7F4F" w:rsidRPr="009A7163">
        <w:rPr>
          <w:lang w:val="en-GB"/>
        </w:rPr>
        <w:t xml:space="preserve">Dependability, </w:t>
      </w:r>
      <w:r w:rsidRPr="009A7163">
        <w:rPr>
          <w:lang w:val="en-GB"/>
        </w:rPr>
        <w:t>Plausibility and Transferability of the Research</w:t>
      </w:r>
      <w:bookmarkEnd w:id="66"/>
    </w:p>
    <w:p w14:paraId="120D9AED" w14:textId="79AD8711" w:rsidR="00C07D08" w:rsidRPr="009A7163" w:rsidRDefault="002C707D" w:rsidP="00293176">
      <w:pPr>
        <w:spacing w:after="240" w:line="360" w:lineRule="auto"/>
        <w:ind w:firstLine="720"/>
        <w:jc w:val="both"/>
      </w:pPr>
      <w:r w:rsidRPr="009A7163">
        <w:t xml:space="preserve">In this section I outline the steps taken to ensure a credible, dependable and transferable piece of research. </w:t>
      </w:r>
    </w:p>
    <w:p w14:paraId="2954E72A" w14:textId="3935011D" w:rsidR="00C07D08" w:rsidRPr="009A7163" w:rsidRDefault="00C07D08" w:rsidP="00293176">
      <w:pPr>
        <w:pStyle w:val="Heading3"/>
      </w:pPr>
      <w:bookmarkStart w:id="67" w:name="_Toc526819291"/>
      <w:r w:rsidRPr="009A7163">
        <w:t>3.8.1  Credibility</w:t>
      </w:r>
      <w:bookmarkEnd w:id="67"/>
    </w:p>
    <w:p w14:paraId="5AD8C474" w14:textId="34AA836C" w:rsidR="002C707D" w:rsidRPr="009A7163" w:rsidRDefault="00C07D08" w:rsidP="008C041F">
      <w:pPr>
        <w:spacing w:line="360" w:lineRule="auto"/>
        <w:ind w:firstLine="720"/>
        <w:jc w:val="both"/>
      </w:pPr>
      <w:r w:rsidRPr="009A7163">
        <w:t>I</w:t>
      </w:r>
      <w:r w:rsidR="002C707D" w:rsidRPr="009A7163">
        <w:t xml:space="preserve">n terms of credibility, it was of upmost importance to me to accurately portray </w:t>
      </w:r>
      <w:r w:rsidR="00430E65" w:rsidRPr="009A7163">
        <w:t xml:space="preserve">the </w:t>
      </w:r>
      <w:r w:rsidR="002C707D" w:rsidRPr="009A7163">
        <w:t>participants</w:t>
      </w:r>
      <w:r w:rsidR="00430E65" w:rsidRPr="009A7163">
        <w:t>’</w:t>
      </w:r>
      <w:r w:rsidR="002C707D" w:rsidRPr="009A7163">
        <w:t xml:space="preserve"> perceptions and to produce a credible account of their responses to my research questions. In this way, credibility can be found in as much as it demonstrates proximity to the participants understandings and accounts of time use based on my research questions and whether my theoretical conclusions ‘fit’ with the observations and data generated.</w:t>
      </w:r>
      <w:r w:rsidR="00430E65" w:rsidRPr="009A7163">
        <w:t xml:space="preserve"> </w:t>
      </w:r>
      <w:r w:rsidR="002C707D" w:rsidRPr="009A7163">
        <w:t>In order to ensure credibility, I used the following techniques:</w:t>
      </w:r>
    </w:p>
    <w:p w14:paraId="0C4B710C" w14:textId="4494F84C" w:rsidR="002C707D" w:rsidRPr="009A7163" w:rsidRDefault="002C707D" w:rsidP="00C07D08">
      <w:pPr>
        <w:numPr>
          <w:ilvl w:val="0"/>
          <w:numId w:val="8"/>
        </w:numPr>
        <w:spacing w:line="360" w:lineRule="auto"/>
        <w:jc w:val="both"/>
      </w:pPr>
      <w:r w:rsidRPr="009A7163">
        <w:t>I documented and clarified from the onset what biases I br</w:t>
      </w:r>
      <w:r w:rsidR="00430E65" w:rsidRPr="009A7163">
        <w:t>ought</w:t>
      </w:r>
      <w:r w:rsidRPr="009A7163">
        <w:t xml:space="preserve"> to this study and my positionality</w:t>
      </w:r>
      <w:r w:rsidR="00430E65" w:rsidRPr="009A7163">
        <w:t>,</w:t>
      </w:r>
      <w:r w:rsidRPr="009A7163">
        <w:t xml:space="preserve"> which I have also stated as a limitation in the </w:t>
      </w:r>
      <w:r w:rsidR="0080442D" w:rsidRPr="009A7163">
        <w:t xml:space="preserve">following </w:t>
      </w:r>
      <w:r w:rsidRPr="009A7163">
        <w:t>section. In order to be conscious of my own subjective perspectives and biases</w:t>
      </w:r>
      <w:r w:rsidR="00430E65" w:rsidRPr="009A7163">
        <w:t>,</w:t>
      </w:r>
      <w:r w:rsidRPr="009A7163">
        <w:t xml:space="preserve"> I wrote field notes and kept a journal throughout the process.</w:t>
      </w:r>
    </w:p>
    <w:p w14:paraId="453C8DBC" w14:textId="11239B0E" w:rsidR="002C707D" w:rsidRPr="009A7163" w:rsidRDefault="002C707D" w:rsidP="00C07D08">
      <w:pPr>
        <w:numPr>
          <w:ilvl w:val="0"/>
          <w:numId w:val="8"/>
        </w:numPr>
        <w:spacing w:line="360" w:lineRule="auto"/>
        <w:jc w:val="both"/>
      </w:pPr>
      <w:r w:rsidRPr="009A7163">
        <w:t>I engaged in repeated and substantial involvement in the field over a period of three years. As my research was longitudinal</w:t>
      </w:r>
      <w:r w:rsidR="00250B59" w:rsidRPr="009A7163">
        <w:t>,</w:t>
      </w:r>
      <w:r w:rsidRPr="009A7163">
        <w:t xml:space="preserve"> this prolonged involvement in the field</w:t>
      </w:r>
      <w:r w:rsidR="00250B59" w:rsidRPr="009A7163">
        <w:t xml:space="preserve"> and</w:t>
      </w:r>
      <w:r w:rsidRPr="009A7163">
        <w:t xml:space="preserve"> facilitated a</w:t>
      </w:r>
      <w:r w:rsidR="00890F01" w:rsidRPr="009A7163">
        <w:t xml:space="preserve"> </w:t>
      </w:r>
      <w:r w:rsidRPr="009A7163">
        <w:t>more in depth understanding of time use, family distribution of labour and how it is affected throughout the agricultural cycle and seasons. My in-depth study and the level of detail I provide lends credibility to my understanding and portrayal of the participants</w:t>
      </w:r>
      <w:r w:rsidR="00890F01" w:rsidRPr="009A7163">
        <w:t>’</w:t>
      </w:r>
      <w:r w:rsidRPr="009A7163">
        <w:t xml:space="preserve"> responses to my research.</w:t>
      </w:r>
    </w:p>
    <w:p w14:paraId="3F163DDD" w14:textId="3EFB2439" w:rsidR="002C707D" w:rsidRPr="009A7163" w:rsidRDefault="002C707D" w:rsidP="00C07D08">
      <w:pPr>
        <w:numPr>
          <w:ilvl w:val="0"/>
          <w:numId w:val="8"/>
        </w:numPr>
        <w:spacing w:line="360" w:lineRule="auto"/>
        <w:jc w:val="both"/>
      </w:pPr>
      <w:r w:rsidRPr="009A7163">
        <w:t>I employed multiple sources of data to corroborate evidence. I interviewed men and women from two supply chains as well cooperative managers</w:t>
      </w:r>
      <w:r w:rsidR="00250B59" w:rsidRPr="009A7163">
        <w:t>;</w:t>
      </w:r>
      <w:r w:rsidRPr="009A7163">
        <w:t xml:space="preserve"> cooperative employers</w:t>
      </w:r>
      <w:r w:rsidR="00250B59" w:rsidRPr="009A7163">
        <w:t>;</w:t>
      </w:r>
      <w:r w:rsidRPr="009A7163">
        <w:t xml:space="preserve"> local and national experts in the field of gender, time use and feminist economists</w:t>
      </w:r>
      <w:r w:rsidR="00250B59" w:rsidRPr="009A7163">
        <w:t>;</w:t>
      </w:r>
      <w:r w:rsidRPr="009A7163">
        <w:t xml:space="preserve"> buyers from the respective supply chains</w:t>
      </w:r>
      <w:r w:rsidR="00250B59" w:rsidRPr="009A7163">
        <w:t>;</w:t>
      </w:r>
      <w:r w:rsidRPr="009A7163">
        <w:t xml:space="preserve"> and other key informants. I included document</w:t>
      </w:r>
      <w:r w:rsidR="00250B59" w:rsidRPr="009A7163">
        <w:t>s</w:t>
      </w:r>
      <w:r w:rsidRPr="009A7163">
        <w:t xml:space="preserve"> that were both internally and externally authored. This is ensured that no one narrative dominated the study.</w:t>
      </w:r>
    </w:p>
    <w:p w14:paraId="53501596" w14:textId="46A7CC86" w:rsidR="002C707D" w:rsidRPr="009A7163" w:rsidRDefault="002C707D" w:rsidP="00C07D08">
      <w:pPr>
        <w:numPr>
          <w:ilvl w:val="0"/>
          <w:numId w:val="8"/>
        </w:numPr>
        <w:spacing w:line="360" w:lineRule="auto"/>
        <w:jc w:val="both"/>
      </w:pPr>
      <w:r w:rsidRPr="009A7163">
        <w:t>I completed TUS with in</w:t>
      </w:r>
      <w:r w:rsidR="00250B59" w:rsidRPr="009A7163">
        <w:t>-</w:t>
      </w:r>
      <w:r w:rsidRPr="009A7163">
        <w:t>depth interviews</w:t>
      </w:r>
      <w:r w:rsidR="00250B59" w:rsidRPr="009A7163">
        <w:t>,</w:t>
      </w:r>
      <w:r w:rsidRPr="009A7163">
        <w:t xml:space="preserve"> as </w:t>
      </w:r>
      <w:r w:rsidR="00250B59" w:rsidRPr="009A7163">
        <w:t>this</w:t>
      </w:r>
      <w:r w:rsidRPr="009A7163">
        <w:t xml:space="preserve"> allowed interviewees to speak about their feelings around time use and their daily routines. Additionally, I held focus groups </w:t>
      </w:r>
      <w:r w:rsidR="00250B59" w:rsidRPr="009A7163">
        <w:t>that</w:t>
      </w:r>
      <w:r w:rsidRPr="009A7163">
        <w:t xml:space="preserve"> allowed the women and men to discuss their own thoughts and feelings around household labour collectively</w:t>
      </w:r>
      <w:r w:rsidR="00250B59" w:rsidRPr="009A7163">
        <w:t>,</w:t>
      </w:r>
      <w:r w:rsidRPr="009A7163">
        <w:t xml:space="preserve"> which they noted was important for beginning to see their reality differently.</w:t>
      </w:r>
    </w:p>
    <w:p w14:paraId="4258EE37" w14:textId="1240A7EB" w:rsidR="002C707D" w:rsidRPr="009A7163" w:rsidRDefault="002C707D" w:rsidP="00C07D08">
      <w:pPr>
        <w:numPr>
          <w:ilvl w:val="0"/>
          <w:numId w:val="8"/>
        </w:numPr>
        <w:spacing w:line="360" w:lineRule="auto"/>
        <w:jc w:val="both"/>
      </w:pPr>
      <w:r w:rsidRPr="009A7163">
        <w:t xml:space="preserve">I used participatory methods (visual and theatrical) as an addition </w:t>
      </w:r>
      <w:r w:rsidR="00250B59" w:rsidRPr="009A7163">
        <w:t>given that</w:t>
      </w:r>
      <w:r w:rsidRPr="009A7163">
        <w:t xml:space="preserve"> they can ‘enhance our understanding of sensory embodiment and </w:t>
      </w:r>
      <w:r w:rsidRPr="009A7163">
        <w:lastRenderedPageBreak/>
        <w:t>communication, and hence reflect more the diversity of human experience (Prosser and Loxley, 2008, p.</w:t>
      </w:r>
      <w:r w:rsidR="00C07D08" w:rsidRPr="009A7163">
        <w:t xml:space="preserve"> </w:t>
      </w:r>
      <w:r w:rsidRPr="009A7163">
        <w:t>1). For example, I used physical theatre with couples as a means to discuss time use</w:t>
      </w:r>
      <w:r w:rsidR="00195E71" w:rsidRPr="009A7163">
        <w:t xml:space="preserve"> because</w:t>
      </w:r>
      <w:r w:rsidRPr="009A7163">
        <w:t xml:space="preserve"> this allowed participants to explore in a more supportive way how they felt at the end of their day. When this was presented back to the group, the visual difference in time use and the unequal burden on women was a stark image and prompted discussions on inequality.</w:t>
      </w:r>
    </w:p>
    <w:p w14:paraId="68B77BD6" w14:textId="77777777" w:rsidR="002C707D" w:rsidRPr="009A7163" w:rsidRDefault="002C707D" w:rsidP="00C07D08">
      <w:pPr>
        <w:numPr>
          <w:ilvl w:val="0"/>
          <w:numId w:val="8"/>
        </w:numPr>
        <w:spacing w:line="360" w:lineRule="auto"/>
        <w:jc w:val="both"/>
      </w:pPr>
      <w:r w:rsidRPr="009A7163">
        <w:t xml:space="preserve">Visual representations of time and allowing the women to draw or write out their day reduced power differentials between researcher and researched and allowed the women to talk and draw about time however they liked and in the order that they preferred. </w:t>
      </w:r>
    </w:p>
    <w:p w14:paraId="6216A1FF" w14:textId="77777777" w:rsidR="002C707D" w:rsidRPr="009A7163" w:rsidRDefault="002C707D" w:rsidP="00293176">
      <w:pPr>
        <w:numPr>
          <w:ilvl w:val="0"/>
          <w:numId w:val="8"/>
        </w:numPr>
        <w:spacing w:after="240" w:line="360" w:lineRule="auto"/>
        <w:jc w:val="both"/>
      </w:pPr>
      <w:r w:rsidRPr="009A7163">
        <w:t xml:space="preserve">Lastly, I shared the TUS that I undertook with my research assistant and asked her to examine them as well as my fieldwork notes and vice versa. This enhanced the accuracy of my findings. </w:t>
      </w:r>
    </w:p>
    <w:p w14:paraId="7A9D928A" w14:textId="5532D666" w:rsidR="00C07D08" w:rsidRPr="009A7163" w:rsidRDefault="00C07D08" w:rsidP="00293176">
      <w:pPr>
        <w:pStyle w:val="Heading3"/>
      </w:pPr>
      <w:bookmarkStart w:id="68" w:name="_Toc526819292"/>
      <w:r w:rsidRPr="009A7163">
        <w:t>3.8.2  Dependability</w:t>
      </w:r>
      <w:bookmarkEnd w:id="68"/>
    </w:p>
    <w:p w14:paraId="6D19E009" w14:textId="6BB75E94" w:rsidR="002C707D" w:rsidRPr="009A7163" w:rsidRDefault="002C707D" w:rsidP="008C041F">
      <w:pPr>
        <w:spacing w:line="360" w:lineRule="auto"/>
        <w:ind w:firstLine="720"/>
        <w:jc w:val="both"/>
      </w:pPr>
      <w:r w:rsidRPr="009A7163">
        <w:t>Dependability pertains ‘to whether one can track the processes and procedures used to collect and interpret data’ (Bloomberg and Volpe, 2012, p.</w:t>
      </w:r>
      <w:r w:rsidR="00C07D08" w:rsidRPr="009A7163">
        <w:t xml:space="preserve"> </w:t>
      </w:r>
      <w:r w:rsidRPr="009A7163">
        <w:t>113). I have ensured this by:</w:t>
      </w:r>
    </w:p>
    <w:p w14:paraId="724DBEF2" w14:textId="6403696A" w:rsidR="002C707D" w:rsidRPr="009A7163" w:rsidRDefault="002C707D" w:rsidP="00C07D08">
      <w:pPr>
        <w:numPr>
          <w:ilvl w:val="0"/>
          <w:numId w:val="9"/>
        </w:numPr>
        <w:spacing w:line="360" w:lineRule="auto"/>
        <w:ind w:left="720"/>
        <w:jc w:val="both"/>
      </w:pPr>
      <w:r w:rsidRPr="009A7163">
        <w:t>Providing detailed explanations of how the data was collected and analysed. Due to the significant amount of data (both qualitative and quantitative) that I collected, I was unable to include it in this thesis</w:t>
      </w:r>
      <w:r w:rsidR="00C07D08" w:rsidRPr="009A7163">
        <w:t>;</w:t>
      </w:r>
      <w:r w:rsidRPr="009A7163">
        <w:t xml:space="preserve"> however, I do have an ‘audit trail’ for where each finding can be located.</w:t>
      </w:r>
    </w:p>
    <w:p w14:paraId="2BA33C8E" w14:textId="285F1DB5" w:rsidR="002C707D" w:rsidRPr="009A7163" w:rsidRDefault="002C707D" w:rsidP="00293176">
      <w:pPr>
        <w:numPr>
          <w:ilvl w:val="0"/>
          <w:numId w:val="9"/>
        </w:numPr>
        <w:spacing w:after="240" w:line="360" w:lineRule="auto"/>
        <w:ind w:left="720"/>
        <w:jc w:val="both"/>
      </w:pPr>
      <w:r w:rsidRPr="009A7163">
        <w:t>In terms of data analysis, when I began coding and textual analysis</w:t>
      </w:r>
      <w:r w:rsidR="00C07D08" w:rsidRPr="009A7163">
        <w:t>,</w:t>
      </w:r>
      <w:r w:rsidRPr="009A7163">
        <w:t xml:space="preserve"> I also asked my researcher assistant to code a few interviews and read over my analysis work in order to check consistency in order to reduce any potential bias I may have.</w:t>
      </w:r>
    </w:p>
    <w:p w14:paraId="3056EA21" w14:textId="6F31728F" w:rsidR="002C707D" w:rsidRPr="009A7163" w:rsidRDefault="00C07D08" w:rsidP="00293176">
      <w:pPr>
        <w:pStyle w:val="Heading3"/>
      </w:pPr>
      <w:bookmarkStart w:id="69" w:name="_Toc526819293"/>
      <w:r w:rsidRPr="009A7163">
        <w:t>3.8.3  Plausibility</w:t>
      </w:r>
      <w:bookmarkEnd w:id="69"/>
    </w:p>
    <w:p w14:paraId="1160C5F7" w14:textId="5B4AE8ED" w:rsidR="002C707D" w:rsidRPr="009A7163" w:rsidRDefault="002C707D" w:rsidP="002064B0">
      <w:pPr>
        <w:spacing w:line="360" w:lineRule="auto"/>
        <w:ind w:firstLine="720"/>
        <w:jc w:val="both"/>
      </w:pPr>
      <w:r w:rsidRPr="009A7163">
        <w:t>Plausibility is about being able to ‘convince the reader of the soundness and sense of their research’ (MacPherson, 2008, p.</w:t>
      </w:r>
      <w:r w:rsidR="00C07D08" w:rsidRPr="009A7163">
        <w:t xml:space="preserve"> </w:t>
      </w:r>
      <w:r w:rsidRPr="009A7163">
        <w:t>187). Yin (2011) state</w:t>
      </w:r>
      <w:r w:rsidR="00195E71" w:rsidRPr="009A7163">
        <w:t>s</w:t>
      </w:r>
      <w:r w:rsidRPr="009A7163">
        <w:t xml:space="preserve"> that there are three areas that are vital for this: ‘Transparency, methodic-ness and adherence to evidence’</w:t>
      </w:r>
      <w:r w:rsidR="00195E71" w:rsidRPr="009A7163">
        <w:t xml:space="preserve"> (pp. 19–20)</w:t>
      </w:r>
      <w:r w:rsidRPr="009A7163">
        <w:t>. I achieved plausibility in the following ways:</w:t>
      </w:r>
    </w:p>
    <w:p w14:paraId="6D163DCE" w14:textId="06AA7054" w:rsidR="002C707D" w:rsidRPr="009A7163" w:rsidRDefault="002C707D" w:rsidP="003D3C63">
      <w:pPr>
        <w:numPr>
          <w:ilvl w:val="0"/>
          <w:numId w:val="10"/>
        </w:numPr>
        <w:spacing w:line="360" w:lineRule="auto"/>
        <w:jc w:val="both"/>
      </w:pPr>
      <w:r w:rsidRPr="009A7163">
        <w:t xml:space="preserve">I ensured data transparency with tape recordings and translations for all the interviews I undertook. The interviews were transcribed by a Nicaraguan </w:t>
      </w:r>
      <w:r w:rsidRPr="009A7163">
        <w:lastRenderedPageBreak/>
        <w:t>transcriptionist in order to make sure that the words (including local idioms and words) were documented. I later translated these</w:t>
      </w:r>
      <w:r w:rsidR="00C07D08" w:rsidRPr="009A7163">
        <w:t xml:space="preserve"> myself.</w:t>
      </w:r>
      <w:r w:rsidRPr="009A7163">
        <w:t xml:space="preserve"> </w:t>
      </w:r>
      <w:r w:rsidR="00C07D08" w:rsidRPr="009A7163">
        <w:t>W</w:t>
      </w:r>
      <w:r w:rsidRPr="009A7163">
        <w:t>hen needed, I got a professional translator with 25 years’ experience of translating in Nicaragua to review my English translations. This was important because</w:t>
      </w:r>
      <w:r w:rsidR="00C07D08" w:rsidRPr="009A7163">
        <w:t>,</w:t>
      </w:r>
      <w:r w:rsidRPr="009A7163">
        <w:t xml:space="preserve"> as Yin (2011)</w:t>
      </w:r>
      <w:r w:rsidR="00C07D08" w:rsidRPr="009A7163">
        <w:t xml:space="preserve"> state</w:t>
      </w:r>
      <w:r w:rsidR="00195E71" w:rsidRPr="009A7163">
        <w:t>s</w:t>
      </w:r>
      <w:r w:rsidR="00C07D08" w:rsidRPr="009A7163">
        <w:t>,</w:t>
      </w:r>
      <w:r w:rsidRPr="009A7163">
        <w:t xml:space="preserve"> ‘</w:t>
      </w:r>
      <w:r w:rsidR="00195E71" w:rsidRPr="009A7163">
        <w:t>[F]</w:t>
      </w:r>
      <w:r w:rsidRPr="009A7163">
        <w:t>or those where the goal is to have participants describe their own decision-making processes, the evidence will consist of participants’ actual language as well as the context in which the language is expressed (Van Manen, 1990, p. 38; Willig, 2009, p. 162). In these situations, the language is valued as the representation of reality’ (</w:t>
      </w:r>
      <w:r w:rsidR="00C07D08" w:rsidRPr="009A7163">
        <w:t>p</w:t>
      </w:r>
      <w:r w:rsidRPr="009A7163">
        <w:t>.</w:t>
      </w:r>
      <w:r w:rsidR="00C07D08" w:rsidRPr="009A7163">
        <w:t xml:space="preserve"> </w:t>
      </w:r>
      <w:r w:rsidRPr="009A7163">
        <w:t>20).</w:t>
      </w:r>
    </w:p>
    <w:p w14:paraId="094DFB74" w14:textId="144C0680" w:rsidR="002C707D" w:rsidRPr="009A7163" w:rsidRDefault="002C707D" w:rsidP="006B7F4F">
      <w:pPr>
        <w:numPr>
          <w:ilvl w:val="0"/>
          <w:numId w:val="10"/>
        </w:numPr>
        <w:spacing w:line="360" w:lineRule="auto"/>
        <w:jc w:val="both"/>
      </w:pPr>
      <w:r w:rsidRPr="009A7163">
        <w:t xml:space="preserve">I conducted my research methodically. Yin </w:t>
      </w:r>
      <w:r w:rsidR="00C07D08" w:rsidRPr="009A7163">
        <w:t>(2011) explain</w:t>
      </w:r>
      <w:r w:rsidR="00195E71" w:rsidRPr="009A7163">
        <w:t>s that</w:t>
      </w:r>
      <w:r w:rsidRPr="009A7163">
        <w:t xml:space="preserve"> </w:t>
      </w:r>
      <w:r w:rsidR="00195E71" w:rsidRPr="009A7163">
        <w:t>‘</w:t>
      </w:r>
      <w:r w:rsidRPr="009A7163">
        <w:t>being methodic means following some orderly set of research procedures and minimizing whimsical or careless wor</w:t>
      </w:r>
      <w:r w:rsidR="00C07D08" w:rsidRPr="009A7163">
        <w:t>k</w:t>
      </w:r>
      <w:r w:rsidR="00FE5EB3" w:rsidRPr="009A7163">
        <w:t>…</w:t>
      </w:r>
      <w:r w:rsidRPr="009A7163">
        <w:t>Being methodic also includes avoiding unexplained bias or deliberate distortion in carrying out research’ (pp.</w:t>
      </w:r>
      <w:r w:rsidR="00C07D08" w:rsidRPr="009A7163">
        <w:t xml:space="preserve"> </w:t>
      </w:r>
      <w:r w:rsidRPr="009A7163">
        <w:t>19</w:t>
      </w:r>
      <w:r w:rsidR="00C07D08" w:rsidRPr="009A7163">
        <w:t>–</w:t>
      </w:r>
      <w:r w:rsidRPr="009A7163">
        <w:t>20). Finally, being methodical also means bringing a sense of completeness to a research effort, as well as cross-checking a study’s procedures and data. I ensured this by using the same interview guide, focus group guide and TUS with every participant in each case study</w:t>
      </w:r>
      <w:r w:rsidR="00C07D08" w:rsidRPr="009A7163">
        <w:t xml:space="preserve">, as did my </w:t>
      </w:r>
      <w:r w:rsidRPr="009A7163">
        <w:t xml:space="preserve">research assistant. I also kept a research journal </w:t>
      </w:r>
      <w:r w:rsidR="00C07D08" w:rsidRPr="009A7163">
        <w:t>in which I</w:t>
      </w:r>
      <w:r w:rsidRPr="009A7163">
        <w:t xml:space="preserve"> documented this process. </w:t>
      </w:r>
    </w:p>
    <w:p w14:paraId="0FB44F1C" w14:textId="43A21BE4" w:rsidR="002C707D" w:rsidRPr="009A7163" w:rsidRDefault="002C707D" w:rsidP="00293176">
      <w:pPr>
        <w:numPr>
          <w:ilvl w:val="0"/>
          <w:numId w:val="10"/>
        </w:numPr>
        <w:spacing w:after="240" w:line="360" w:lineRule="auto"/>
        <w:jc w:val="both"/>
      </w:pPr>
      <w:r w:rsidRPr="009A7163">
        <w:t>I also used a number of research techniques to triangulate data: in-depth interviews, follow up interviews</w:t>
      </w:r>
      <w:r w:rsidR="00195E71" w:rsidRPr="009A7163">
        <w:t>,</w:t>
      </w:r>
      <w:r w:rsidRPr="009A7163">
        <w:t xml:space="preserve"> various TUS, focus groups, household surveys, participatory workshops and an evaluation session in order to ensure a ‘convergence of evidence’ with the case studies (Yin, 2009, p.</w:t>
      </w:r>
      <w:r w:rsidR="00C07D08" w:rsidRPr="009A7163">
        <w:t xml:space="preserve"> </w:t>
      </w:r>
      <w:r w:rsidRPr="009A7163">
        <w:t xml:space="preserve">116) </w:t>
      </w:r>
      <w:r w:rsidR="00C07D08" w:rsidRPr="009A7163">
        <w:t>to</w:t>
      </w:r>
      <w:r w:rsidRPr="009A7163">
        <w:t xml:space="preserve"> ensure that my study is plausible.</w:t>
      </w:r>
    </w:p>
    <w:p w14:paraId="134BA0F8" w14:textId="4B7652BD" w:rsidR="002C707D" w:rsidRPr="009A7163" w:rsidRDefault="006B7F4F" w:rsidP="00293176">
      <w:pPr>
        <w:pStyle w:val="Heading3"/>
      </w:pPr>
      <w:bookmarkStart w:id="70" w:name="_Toc526819294"/>
      <w:r w:rsidRPr="009A7163">
        <w:t>3.8.4  Transferability</w:t>
      </w:r>
      <w:bookmarkEnd w:id="70"/>
    </w:p>
    <w:p w14:paraId="6888DA9D" w14:textId="02CCCDAD" w:rsidR="0080442D" w:rsidRPr="009A7163" w:rsidRDefault="002C707D" w:rsidP="002C707D">
      <w:pPr>
        <w:spacing w:line="360" w:lineRule="auto"/>
        <w:ind w:firstLine="720"/>
        <w:jc w:val="both"/>
      </w:pPr>
      <w:r w:rsidRPr="009A7163">
        <w:t xml:space="preserve">Lastly, transferability is a very important aspect given the interest by the buyers and wider ethical trade sector in </w:t>
      </w:r>
      <w:r w:rsidR="0080442D" w:rsidRPr="009A7163">
        <w:t xml:space="preserve">the </w:t>
      </w:r>
      <w:r w:rsidRPr="009A7163">
        <w:t>transferability of this research and the pricing model. Transferability re</w:t>
      </w:r>
      <w:r w:rsidR="0080442D" w:rsidRPr="009A7163">
        <w:t>fers</w:t>
      </w:r>
      <w:r w:rsidRPr="009A7163">
        <w:t xml:space="preserve"> to</w:t>
      </w:r>
      <w:r w:rsidR="0080442D" w:rsidRPr="009A7163">
        <w:t>:</w:t>
      </w:r>
    </w:p>
    <w:p w14:paraId="1EBAAF69" w14:textId="4BB12D8F" w:rsidR="0080442D" w:rsidRPr="009A7163" w:rsidRDefault="0080442D" w:rsidP="00293176">
      <w:pPr>
        <w:spacing w:after="180"/>
        <w:ind w:left="720"/>
        <w:jc w:val="both"/>
      </w:pPr>
      <w:r w:rsidRPr="009A7163">
        <w:t>…</w:t>
      </w:r>
      <w:r w:rsidR="002C707D" w:rsidRPr="009A7163">
        <w:t>what lessons learned in one setting might be useful to others. Transferability is not whether the study includes a representative sample. Rather it is about how well the study has made it possible for readers to decide whether similar processes will be at work in their own settings and communities by understanding in depth how they occur at the research level</w:t>
      </w:r>
      <w:r w:rsidRPr="009A7163">
        <w:t>.</w:t>
      </w:r>
      <w:r w:rsidR="002C707D" w:rsidRPr="009A7163">
        <w:t xml:space="preserve"> (Bloomberg and Volpe, 2012, p.</w:t>
      </w:r>
      <w:r w:rsidRPr="009A7163">
        <w:t xml:space="preserve"> </w:t>
      </w:r>
      <w:r w:rsidR="002C707D" w:rsidRPr="009A7163">
        <w:t>113)</w:t>
      </w:r>
    </w:p>
    <w:p w14:paraId="576AFB9F" w14:textId="61206EC7" w:rsidR="002C707D" w:rsidRPr="009A7163" w:rsidRDefault="002C707D" w:rsidP="007A3A29">
      <w:pPr>
        <w:spacing w:after="240" w:line="360" w:lineRule="auto"/>
        <w:ind w:firstLine="720"/>
        <w:jc w:val="both"/>
      </w:pPr>
      <w:r w:rsidRPr="009A7163">
        <w:t xml:space="preserve">Through my detailed description of methods and lessons learnt, the study offers methodological learnings for those interested in implementing </w:t>
      </w:r>
      <w:r w:rsidR="008724E3" w:rsidRPr="009A7163">
        <w:t>TUS</w:t>
      </w:r>
      <w:r w:rsidRPr="009A7163">
        <w:t xml:space="preserve"> in rural areas. </w:t>
      </w:r>
      <w:r w:rsidRPr="009A7163">
        <w:lastRenderedPageBreak/>
        <w:t xml:space="preserve">Furthermore, my detailed research into the pricing initiative and analysis of how such a pioneering initiative works in practice coupled with my close analysis scholarly literature on the subject of unpaid work and WEE offers important insights </w:t>
      </w:r>
      <w:r w:rsidR="0080442D" w:rsidRPr="009A7163">
        <w:t>f</w:t>
      </w:r>
      <w:r w:rsidRPr="009A7163">
        <w:t xml:space="preserve">or organizations wanting to consider implementing a pricing model or policy on unpaid care work in supply chains. </w:t>
      </w:r>
    </w:p>
    <w:p w14:paraId="22F41A2F" w14:textId="6765FF73" w:rsidR="002C707D" w:rsidRPr="009A7163" w:rsidRDefault="0080442D" w:rsidP="00293176">
      <w:pPr>
        <w:pStyle w:val="Heading2"/>
        <w:rPr>
          <w:lang w:val="en-GB"/>
        </w:rPr>
      </w:pPr>
      <w:bookmarkStart w:id="71" w:name="_Toc526819295"/>
      <w:r w:rsidRPr="009A7163">
        <w:rPr>
          <w:lang w:val="en-GB"/>
        </w:rPr>
        <w:t>3.9  Limitations</w:t>
      </w:r>
      <w:bookmarkEnd w:id="71"/>
      <w:r w:rsidRPr="009A7163">
        <w:rPr>
          <w:lang w:val="en-GB"/>
        </w:rPr>
        <w:t xml:space="preserve"> </w:t>
      </w:r>
    </w:p>
    <w:p w14:paraId="099D314E" w14:textId="1C20E87C" w:rsidR="002C707D" w:rsidRPr="009A7163" w:rsidRDefault="002C707D" w:rsidP="002C707D">
      <w:pPr>
        <w:spacing w:line="360" w:lineRule="auto"/>
        <w:ind w:firstLine="720"/>
        <w:jc w:val="both"/>
        <w:rPr>
          <w:bCs/>
          <w:iCs/>
        </w:rPr>
      </w:pPr>
      <w:r w:rsidRPr="009A7163">
        <w:rPr>
          <w:bCs/>
          <w:iCs/>
        </w:rPr>
        <w:t xml:space="preserve">Since analysis ultimately rests with thinking and choices of the researcher, qualitative studies in general are limited by the researcher’s subjectivity, which is the case for all research. Therefore, a major concern is with researcher bias. One key limitation of this study was the potential bias resulting from my previous experience working with the cooperative and the influence of the cooperative and its ally, </w:t>
      </w:r>
      <w:r w:rsidR="00E42822" w:rsidRPr="009A7163">
        <w:rPr>
          <w:bCs/>
          <w:iCs/>
        </w:rPr>
        <w:t>Ético</w:t>
      </w:r>
      <w:r w:rsidRPr="009A7163">
        <w:rPr>
          <w:bCs/>
          <w:iCs/>
        </w:rPr>
        <w:t xml:space="preserve">. My prior relationship from my previous work as </w:t>
      </w:r>
      <w:r w:rsidR="00E42822" w:rsidRPr="009A7163">
        <w:rPr>
          <w:bCs/>
          <w:iCs/>
        </w:rPr>
        <w:t xml:space="preserve">an </w:t>
      </w:r>
      <w:r w:rsidRPr="009A7163">
        <w:rPr>
          <w:bCs/>
          <w:iCs/>
        </w:rPr>
        <w:t xml:space="preserve">imports and producer relations officer to a number of buyers who currently buy from CJFPS (TWIN and Equal Exchange) and my funding from their sole buyer, </w:t>
      </w:r>
      <w:r w:rsidR="001B31D5" w:rsidRPr="009A7163">
        <w:rPr>
          <w:bCs/>
          <w:iCs/>
        </w:rPr>
        <w:t>BSI</w:t>
      </w:r>
      <w:r w:rsidRPr="009A7163">
        <w:rPr>
          <w:bCs/>
          <w:iCs/>
        </w:rPr>
        <w:t>, could also be seen as affecting the study. While this previous relationship ensures a basis of trust and good access to documentation, I considered my positionality vis-à-vis the cooperative and buyers carefully. I acknowledge that the same experiences that are so valuable in providing insight could serve as a liability in terms of the risk of assumptions being built into regarding research design and interpretation of findings. Where necessary and appropriate</w:t>
      </w:r>
      <w:r w:rsidR="00195E71" w:rsidRPr="009A7163">
        <w:rPr>
          <w:bCs/>
          <w:iCs/>
        </w:rPr>
        <w:t>,</w:t>
      </w:r>
      <w:r w:rsidRPr="009A7163">
        <w:rPr>
          <w:bCs/>
          <w:iCs/>
        </w:rPr>
        <w:t xml:space="preserve"> I reminded participants of my role as researcher and what the objectives of the doctoral research.</w:t>
      </w:r>
      <w:r w:rsidR="00F62934" w:rsidRPr="009A7163">
        <w:rPr>
          <w:bCs/>
          <w:iCs/>
        </w:rPr>
        <w:t xml:space="preserve"> There were frequent challenges in nav</w:t>
      </w:r>
      <w:r w:rsidR="001A147D" w:rsidRPr="009A7163">
        <w:rPr>
          <w:bCs/>
          <w:iCs/>
        </w:rPr>
        <w:t xml:space="preserve">igating these </w:t>
      </w:r>
      <w:r w:rsidR="00F62934" w:rsidRPr="009A7163">
        <w:rPr>
          <w:bCs/>
          <w:iCs/>
        </w:rPr>
        <w:t>concerns about how I might be perceived and the relationships with and between organizations.</w:t>
      </w:r>
      <w:r w:rsidR="00F817FB" w:rsidRPr="009A7163">
        <w:rPr>
          <w:bCs/>
          <w:iCs/>
        </w:rPr>
        <w:t xml:space="preserve"> One challenge was the </w:t>
      </w:r>
      <w:r w:rsidR="009365F2" w:rsidRPr="009A7163">
        <w:rPr>
          <w:bCs/>
          <w:iCs/>
        </w:rPr>
        <w:t>insistence</w:t>
      </w:r>
      <w:r w:rsidR="00195E71" w:rsidRPr="009A7163">
        <w:rPr>
          <w:bCs/>
          <w:iCs/>
        </w:rPr>
        <w:t xml:space="preserve"> and </w:t>
      </w:r>
      <w:r w:rsidR="007D7CB7" w:rsidRPr="009A7163">
        <w:rPr>
          <w:bCs/>
          <w:iCs/>
        </w:rPr>
        <w:t>enthusiasm</w:t>
      </w:r>
      <w:r w:rsidR="009365F2" w:rsidRPr="009A7163">
        <w:rPr>
          <w:bCs/>
          <w:iCs/>
        </w:rPr>
        <w:t xml:space="preserve"> of an ethical middleman, very close to one of the cooperatives, to join up </w:t>
      </w:r>
      <w:r w:rsidR="00A57A25" w:rsidRPr="009A7163">
        <w:rPr>
          <w:bCs/>
          <w:iCs/>
        </w:rPr>
        <w:t xml:space="preserve">work </w:t>
      </w:r>
      <w:r w:rsidR="009365F2" w:rsidRPr="009A7163">
        <w:rPr>
          <w:bCs/>
          <w:iCs/>
        </w:rPr>
        <w:t>efforts. He suggested joint meetings where he could promote the pricing initiatives</w:t>
      </w:r>
      <w:r w:rsidR="007D7CB7" w:rsidRPr="009A7163">
        <w:rPr>
          <w:bCs/>
          <w:iCs/>
        </w:rPr>
        <w:t xml:space="preserve"> in a space </w:t>
      </w:r>
      <w:r w:rsidR="00A57A25" w:rsidRPr="009A7163">
        <w:rPr>
          <w:bCs/>
          <w:iCs/>
        </w:rPr>
        <w:t>whe</w:t>
      </w:r>
      <w:r w:rsidR="007D7CB7" w:rsidRPr="009A7163">
        <w:rPr>
          <w:bCs/>
          <w:iCs/>
        </w:rPr>
        <w:t>re</w:t>
      </w:r>
      <w:r w:rsidR="009365F2" w:rsidRPr="009A7163">
        <w:rPr>
          <w:bCs/>
          <w:iCs/>
        </w:rPr>
        <w:t xml:space="preserve"> I would want t</w:t>
      </w:r>
      <w:r w:rsidR="00B3467C" w:rsidRPr="009A7163">
        <w:rPr>
          <w:bCs/>
          <w:iCs/>
        </w:rPr>
        <w:t xml:space="preserve">o </w:t>
      </w:r>
      <w:r w:rsidR="00195E71" w:rsidRPr="009A7163">
        <w:rPr>
          <w:bCs/>
          <w:iCs/>
        </w:rPr>
        <w:t xml:space="preserve">provide </w:t>
      </w:r>
      <w:r w:rsidR="009365F2" w:rsidRPr="009A7163">
        <w:rPr>
          <w:bCs/>
          <w:iCs/>
        </w:rPr>
        <w:t>feedback to the women’s groups</w:t>
      </w:r>
      <w:r w:rsidR="00A57A25" w:rsidRPr="009A7163">
        <w:rPr>
          <w:bCs/>
          <w:iCs/>
        </w:rPr>
        <w:t xml:space="preserve"> on the research process</w:t>
      </w:r>
      <w:r w:rsidR="009365F2" w:rsidRPr="009A7163">
        <w:rPr>
          <w:bCs/>
          <w:iCs/>
        </w:rPr>
        <w:t>.</w:t>
      </w:r>
      <w:r w:rsidR="00A57A25" w:rsidRPr="009A7163">
        <w:rPr>
          <w:bCs/>
          <w:iCs/>
        </w:rPr>
        <w:t xml:space="preserve"> </w:t>
      </w:r>
      <w:r w:rsidR="007D7CB7" w:rsidRPr="009A7163">
        <w:rPr>
          <w:bCs/>
          <w:iCs/>
        </w:rPr>
        <w:t>I was concerned with the presence of someone directly in the supply chain in the research space.</w:t>
      </w:r>
      <w:r w:rsidR="00BE2E90" w:rsidRPr="009A7163">
        <w:rPr>
          <w:bCs/>
          <w:iCs/>
        </w:rPr>
        <w:t xml:space="preserve"> </w:t>
      </w:r>
      <w:r w:rsidR="009365F2" w:rsidRPr="009A7163">
        <w:rPr>
          <w:bCs/>
          <w:iCs/>
        </w:rPr>
        <w:t xml:space="preserve">This issue was dealt with by a letter </w:t>
      </w:r>
      <w:r w:rsidR="00195E71" w:rsidRPr="009A7163">
        <w:rPr>
          <w:bCs/>
          <w:iCs/>
        </w:rPr>
        <w:t>that</w:t>
      </w:r>
      <w:r w:rsidR="009365F2" w:rsidRPr="009A7163">
        <w:rPr>
          <w:bCs/>
          <w:iCs/>
        </w:rPr>
        <w:t xml:space="preserve"> stipulated the importance of my role and the research being neutral. Another </w:t>
      </w:r>
      <w:r w:rsidR="00195E71" w:rsidRPr="009A7163">
        <w:rPr>
          <w:bCs/>
          <w:iCs/>
        </w:rPr>
        <w:t xml:space="preserve">similar </w:t>
      </w:r>
      <w:r w:rsidR="009365F2" w:rsidRPr="009A7163">
        <w:rPr>
          <w:bCs/>
          <w:iCs/>
        </w:rPr>
        <w:t xml:space="preserve">challenge occurred when cooperative technicians came along to a focus group to give out project inputs. The </w:t>
      </w:r>
      <w:r w:rsidR="00195E71" w:rsidRPr="009A7163">
        <w:rPr>
          <w:bCs/>
          <w:iCs/>
        </w:rPr>
        <w:t>‘</w:t>
      </w:r>
      <w:r w:rsidR="00A57A25" w:rsidRPr="009A7163">
        <w:rPr>
          <w:bCs/>
          <w:iCs/>
        </w:rPr>
        <w:t>event</w:t>
      </w:r>
      <w:r w:rsidR="00195E71" w:rsidRPr="009A7163">
        <w:rPr>
          <w:bCs/>
          <w:iCs/>
        </w:rPr>
        <w:t>’</w:t>
      </w:r>
      <w:r w:rsidR="00A57A25" w:rsidRPr="009A7163">
        <w:rPr>
          <w:bCs/>
          <w:iCs/>
        </w:rPr>
        <w:t xml:space="preserve"> was staged with</w:t>
      </w:r>
      <w:r w:rsidR="009365F2" w:rsidRPr="009A7163">
        <w:rPr>
          <w:bCs/>
          <w:iCs/>
        </w:rPr>
        <w:t xml:space="preserve"> prizes </w:t>
      </w:r>
      <w:r w:rsidR="00A57A25" w:rsidRPr="009A7163">
        <w:rPr>
          <w:bCs/>
          <w:iCs/>
        </w:rPr>
        <w:t xml:space="preserve">and handouts. </w:t>
      </w:r>
      <w:r w:rsidR="009365F2" w:rsidRPr="009A7163">
        <w:rPr>
          <w:bCs/>
          <w:iCs/>
        </w:rPr>
        <w:t>I had not agreed on this session before the focus group activities</w:t>
      </w:r>
      <w:r w:rsidR="00DF2A70" w:rsidRPr="009A7163">
        <w:rPr>
          <w:bCs/>
          <w:iCs/>
        </w:rPr>
        <w:t xml:space="preserve"> and felt it created an expectation of</w:t>
      </w:r>
      <w:r w:rsidR="00F6637C" w:rsidRPr="009A7163">
        <w:rPr>
          <w:bCs/>
          <w:iCs/>
        </w:rPr>
        <w:t xml:space="preserve"> awards</w:t>
      </w:r>
      <w:r w:rsidR="009365F2" w:rsidRPr="009A7163">
        <w:rPr>
          <w:bCs/>
          <w:iCs/>
        </w:rPr>
        <w:t>. The next time I arranged focus groups</w:t>
      </w:r>
      <w:r w:rsidR="00195E71" w:rsidRPr="009A7163">
        <w:rPr>
          <w:bCs/>
          <w:iCs/>
        </w:rPr>
        <w:t>,</w:t>
      </w:r>
      <w:r w:rsidR="009365F2" w:rsidRPr="009A7163">
        <w:rPr>
          <w:bCs/>
          <w:iCs/>
        </w:rPr>
        <w:t xml:space="preserve"> I </w:t>
      </w:r>
      <w:r w:rsidR="00F6637C" w:rsidRPr="009A7163">
        <w:rPr>
          <w:bCs/>
          <w:iCs/>
        </w:rPr>
        <w:t>agreed</w:t>
      </w:r>
      <w:r w:rsidR="009365F2" w:rsidRPr="009A7163">
        <w:rPr>
          <w:bCs/>
          <w:iCs/>
        </w:rPr>
        <w:t xml:space="preserve"> with </w:t>
      </w:r>
      <w:r w:rsidR="009365F2" w:rsidRPr="009A7163">
        <w:rPr>
          <w:bCs/>
          <w:iCs/>
        </w:rPr>
        <w:lastRenderedPageBreak/>
        <w:t>the c</w:t>
      </w:r>
      <w:r w:rsidR="00663534">
        <w:rPr>
          <w:bCs/>
          <w:iCs/>
        </w:rPr>
        <w:t>ooperative management to organis</w:t>
      </w:r>
      <w:r w:rsidR="009365F2" w:rsidRPr="009A7163">
        <w:rPr>
          <w:bCs/>
          <w:iCs/>
        </w:rPr>
        <w:t xml:space="preserve">e research sessions directly with community leaders and stressed the importance of conducting my research </w:t>
      </w:r>
      <w:r w:rsidR="00B3467C" w:rsidRPr="009A7163">
        <w:rPr>
          <w:bCs/>
          <w:iCs/>
        </w:rPr>
        <w:t>independently</w:t>
      </w:r>
      <w:r w:rsidR="009365F2" w:rsidRPr="009A7163">
        <w:rPr>
          <w:bCs/>
          <w:iCs/>
        </w:rPr>
        <w:t>.</w:t>
      </w:r>
    </w:p>
    <w:p w14:paraId="6E792199" w14:textId="717D314D" w:rsidR="002C707D" w:rsidRPr="009A7163" w:rsidRDefault="002C707D" w:rsidP="002C707D">
      <w:pPr>
        <w:spacing w:line="360" w:lineRule="auto"/>
        <w:ind w:firstLine="720"/>
        <w:jc w:val="both"/>
        <w:rPr>
          <w:bCs/>
          <w:iCs/>
        </w:rPr>
      </w:pPr>
      <w:r w:rsidRPr="009A7163">
        <w:rPr>
          <w:bCs/>
          <w:iCs/>
        </w:rPr>
        <w:t xml:space="preserve"> In addition to the assumptions and theoretical orientation made explicit at the o</w:t>
      </w:r>
      <w:r w:rsidR="00195E71" w:rsidRPr="009A7163">
        <w:rPr>
          <w:bCs/>
          <w:iCs/>
        </w:rPr>
        <w:t>n</w:t>
      </w:r>
      <w:r w:rsidRPr="009A7163">
        <w:rPr>
          <w:bCs/>
          <w:iCs/>
        </w:rPr>
        <w:t>set of study, I remained committed to engage in on-going critical self-reflection by way of journaling and dialogue with my supervisor, research assistant and colleagues. Moreover, to address this subjectivity and strengthen the credibility of the research, various procedural safeguards were taken, such as triangulation of data sources and methods.</w:t>
      </w:r>
    </w:p>
    <w:p w14:paraId="380AE77D" w14:textId="0642113D" w:rsidR="002C707D" w:rsidRPr="009A7163" w:rsidRDefault="002C707D" w:rsidP="008C041F">
      <w:pPr>
        <w:spacing w:line="360" w:lineRule="auto"/>
        <w:ind w:firstLine="720"/>
        <w:jc w:val="both"/>
        <w:rPr>
          <w:bCs/>
          <w:iCs/>
        </w:rPr>
      </w:pPr>
      <w:r w:rsidRPr="009A7163">
        <w:rPr>
          <w:bCs/>
          <w:iCs/>
        </w:rPr>
        <w:t>A related limitation is that the participants may have had difficulty adjusting to seeing me take on the role as interviewer, as some of the participants knew me previously in my position as buyer for Equal Exchange and Twin Trading and/or project manager employed by the cooperative in the case of UCA San Ramon where I managed a community agro</w:t>
      </w:r>
      <w:r w:rsidR="00195E71" w:rsidRPr="009A7163">
        <w:rPr>
          <w:bCs/>
          <w:iCs/>
        </w:rPr>
        <w:t>-</w:t>
      </w:r>
      <w:r w:rsidRPr="009A7163">
        <w:rPr>
          <w:bCs/>
          <w:iCs/>
        </w:rPr>
        <w:t>ecotourism project from 2005</w:t>
      </w:r>
      <w:r w:rsidR="00E42822" w:rsidRPr="009A7163">
        <w:rPr>
          <w:bCs/>
          <w:iCs/>
        </w:rPr>
        <w:t>–</w:t>
      </w:r>
      <w:r w:rsidRPr="009A7163">
        <w:rPr>
          <w:bCs/>
          <w:iCs/>
        </w:rPr>
        <w:t xml:space="preserve">2007. Some of the participants in each case study have known me since 2003. Furthermore, the participants had been made aware by the cooperative that the investigation was funded by </w:t>
      </w:r>
      <w:r w:rsidR="001B31D5" w:rsidRPr="009A7163">
        <w:rPr>
          <w:bCs/>
          <w:iCs/>
        </w:rPr>
        <w:t>BSI</w:t>
      </w:r>
      <w:r w:rsidRPr="009A7163">
        <w:rPr>
          <w:bCs/>
          <w:iCs/>
        </w:rPr>
        <w:t>, which could affect their response to the interviewer. This is known as participant reactivity (Maxwell, 2005) and could affect how the respondents answer, potentially giving the researcher what they perceive the researcher and buyer (</w:t>
      </w:r>
      <w:r w:rsidR="001B31D5" w:rsidRPr="009A7163">
        <w:rPr>
          <w:bCs/>
          <w:iCs/>
        </w:rPr>
        <w:t>BSI</w:t>
      </w:r>
      <w:r w:rsidRPr="009A7163">
        <w:rPr>
          <w:bCs/>
          <w:iCs/>
        </w:rPr>
        <w:t>) want to know. I did stress during the initial explanations about the research and informed consent of my neutrality and the importance of this for the research process.</w:t>
      </w:r>
    </w:p>
    <w:p w14:paraId="58D5F624" w14:textId="61D8581F" w:rsidR="00E42822" w:rsidRPr="009A7163" w:rsidRDefault="00643FD5" w:rsidP="00643FD5">
      <w:pPr>
        <w:spacing w:after="240" w:line="360" w:lineRule="auto"/>
        <w:ind w:firstLine="720"/>
        <w:jc w:val="both"/>
      </w:pPr>
      <w:r w:rsidRPr="009A7163">
        <w:t>Lastly, I recognise that the limitations of the quantitative data and data analysis. Due to a number of factors</w:t>
      </w:r>
      <w:r w:rsidR="00195E71" w:rsidRPr="009A7163">
        <w:t>,</w:t>
      </w:r>
      <w:r w:rsidRPr="009A7163">
        <w:t xml:space="preserve"> large</w:t>
      </w:r>
      <w:r w:rsidR="00195E71" w:rsidRPr="009A7163">
        <w:t>-</w:t>
      </w:r>
      <w:r w:rsidRPr="009A7163">
        <w:t>scale statistical analysis was not possible</w:t>
      </w:r>
      <w:r w:rsidR="00195E71" w:rsidRPr="009A7163">
        <w:t>;</w:t>
      </w:r>
      <w:r w:rsidRPr="009A7163">
        <w:t xml:space="preserve"> however</w:t>
      </w:r>
      <w:r w:rsidR="00195E71" w:rsidRPr="009A7163">
        <w:t>,</w:t>
      </w:r>
      <w:r w:rsidRPr="009A7163">
        <w:t xml:space="preserve"> whilst my sample was small</w:t>
      </w:r>
      <w:r w:rsidR="00195E71" w:rsidRPr="009A7163">
        <w:t>,</w:t>
      </w:r>
      <w:r w:rsidRPr="009A7163">
        <w:t xml:space="preserve"> I did undertake multiple visits over a period of time</w:t>
      </w:r>
      <w:r w:rsidR="00195E71" w:rsidRPr="009A7163">
        <w:t>.</w:t>
      </w:r>
      <w:r w:rsidR="00E8515A" w:rsidRPr="009A7163">
        <w:t xml:space="preserve"> </w:t>
      </w:r>
      <w:r w:rsidR="00195E71" w:rsidRPr="009A7163">
        <w:t>This</w:t>
      </w:r>
      <w:r w:rsidR="00E8515A" w:rsidRPr="009A7163">
        <w:t xml:space="preserve"> allowed me to re</w:t>
      </w:r>
      <w:r w:rsidR="00515D6E" w:rsidRPr="009A7163">
        <w:t>-</w:t>
      </w:r>
      <w:r w:rsidR="00E8515A" w:rsidRPr="009A7163">
        <w:t xml:space="preserve">visit participants at different points of the agricultural cycle. </w:t>
      </w:r>
      <w:r w:rsidR="002C707D" w:rsidRPr="009A7163">
        <w:rPr>
          <w:bCs/>
          <w:iCs/>
        </w:rPr>
        <w:t xml:space="preserve">There were also methodological limitations related to the use of multiple types and versions of </w:t>
      </w:r>
      <w:r w:rsidR="00DB623F" w:rsidRPr="009A7163">
        <w:rPr>
          <w:bCs/>
          <w:iCs/>
        </w:rPr>
        <w:t xml:space="preserve">the </w:t>
      </w:r>
      <w:r w:rsidR="002C707D" w:rsidRPr="009A7163">
        <w:rPr>
          <w:bCs/>
          <w:iCs/>
        </w:rPr>
        <w:t xml:space="preserve">TUS. Broadly, I would argue that </w:t>
      </w:r>
      <w:r w:rsidR="00DB623F" w:rsidRPr="009A7163">
        <w:rPr>
          <w:bCs/>
          <w:iCs/>
        </w:rPr>
        <w:t xml:space="preserve">the </w:t>
      </w:r>
      <w:r w:rsidR="002C707D" w:rsidRPr="009A7163">
        <w:rPr>
          <w:bCs/>
          <w:iCs/>
        </w:rPr>
        <w:t>time use question (recounting the day before in hourly slots) was maintained throughout</w:t>
      </w:r>
      <w:r w:rsidR="00E42822" w:rsidRPr="009A7163">
        <w:rPr>
          <w:bCs/>
          <w:iCs/>
        </w:rPr>
        <w:t>,</w:t>
      </w:r>
      <w:r w:rsidR="002C707D" w:rsidRPr="009A7163">
        <w:rPr>
          <w:bCs/>
          <w:iCs/>
        </w:rPr>
        <w:t xml:space="preserve"> even though the instruments changed. Furthermore, the explorations of different formats and visualisation tools led to important insights into how time use is defined, categorised, verbalised and embodied</w:t>
      </w:r>
      <w:r w:rsidR="00DB623F" w:rsidRPr="009A7163">
        <w:rPr>
          <w:bCs/>
          <w:iCs/>
        </w:rPr>
        <w:t>,</w:t>
      </w:r>
      <w:r w:rsidR="00DA3E2F" w:rsidRPr="009A7163">
        <w:rPr>
          <w:bCs/>
          <w:iCs/>
        </w:rPr>
        <w:t xml:space="preserve"> and </w:t>
      </w:r>
      <w:r w:rsidR="00DB623F" w:rsidRPr="009A7163">
        <w:rPr>
          <w:bCs/>
          <w:iCs/>
        </w:rPr>
        <w:t xml:space="preserve">this </w:t>
      </w:r>
      <w:r w:rsidR="00DA3E2F" w:rsidRPr="009A7163">
        <w:rPr>
          <w:bCs/>
          <w:iCs/>
        </w:rPr>
        <w:t>led to important reflections for the women</w:t>
      </w:r>
      <w:r w:rsidR="002C707D" w:rsidRPr="009A7163">
        <w:rPr>
          <w:bCs/>
          <w:iCs/>
        </w:rPr>
        <w:t>.</w:t>
      </w:r>
      <w:r w:rsidRPr="009A7163">
        <w:rPr>
          <w:bCs/>
          <w:iCs/>
        </w:rPr>
        <w:t xml:space="preserve"> </w:t>
      </w:r>
    </w:p>
    <w:p w14:paraId="6783CAD3" w14:textId="12FA7B00" w:rsidR="00E42822" w:rsidRPr="009A7163" w:rsidRDefault="00E42822" w:rsidP="00293176">
      <w:pPr>
        <w:pStyle w:val="Heading2"/>
        <w:rPr>
          <w:lang w:val="en-GB"/>
        </w:rPr>
      </w:pPr>
      <w:bookmarkStart w:id="72" w:name="_Toc526819296"/>
      <w:r w:rsidRPr="009A7163">
        <w:rPr>
          <w:lang w:val="en-GB"/>
        </w:rPr>
        <w:t>3.10  Conclusion</w:t>
      </w:r>
      <w:bookmarkEnd w:id="72"/>
    </w:p>
    <w:p w14:paraId="3AFC27C3" w14:textId="7FB87693" w:rsidR="002C707D" w:rsidRPr="009A7163" w:rsidRDefault="00E42822" w:rsidP="00293176">
      <w:pPr>
        <w:spacing w:line="360" w:lineRule="auto"/>
        <w:jc w:val="both"/>
      </w:pPr>
      <w:r w:rsidRPr="009A7163">
        <w:rPr>
          <w:bCs/>
          <w:iCs/>
        </w:rPr>
        <w:tab/>
      </w:r>
      <w:r w:rsidR="002C707D" w:rsidRPr="009A7163">
        <w:t xml:space="preserve">In summary, I have provided a detailed description of this study’s research methodology. The research employed qualitative multi-case study methodology and </w:t>
      </w:r>
      <w:r w:rsidR="002C707D" w:rsidRPr="009A7163">
        <w:lastRenderedPageBreak/>
        <w:t>mixed methods to explore my research questions. My research was guided by feminist principles and informed by my many years living and working in Nicaragua. I used participatory methods to extend and explore time use diaries and explore how the participants felt in relation to their time use, work and gender roles</w:t>
      </w:r>
      <w:r w:rsidRPr="009A7163">
        <w:t>,</w:t>
      </w:r>
      <w:r w:rsidR="002C707D" w:rsidRPr="009A7163">
        <w:t xml:space="preserve"> which led to reported changes in the way women say themselves (e.g.</w:t>
      </w:r>
      <w:r w:rsidR="00DB623F" w:rsidRPr="009A7163">
        <w:t>,</w:t>
      </w:r>
      <w:r w:rsidR="002C707D" w:rsidRPr="009A7163">
        <w:t xml:space="preserve"> power within and also what Freire calls ‘critical consciousness’). By being able to visual</w:t>
      </w:r>
      <w:r w:rsidR="00C95A06" w:rsidRPr="009A7163">
        <w:t>ise</w:t>
      </w:r>
      <w:r w:rsidR="002C707D" w:rsidRPr="009A7163">
        <w:t xml:space="preserve"> and embody time use though these different methods, the participants </w:t>
      </w:r>
      <w:r w:rsidR="00DB623F" w:rsidRPr="009A7163">
        <w:t>observed</w:t>
      </w:r>
      <w:r w:rsidR="002C707D" w:rsidRPr="009A7163">
        <w:t xml:space="preserve"> that the methods raised awareness within themselves on time use burdens and the subsequent gender inequalities. In addition to extending the TUS, I modified my TUS a number of times whilst maintaining the core questions (based on 24</w:t>
      </w:r>
      <w:r w:rsidRPr="009A7163">
        <w:t xml:space="preserve"> hour</w:t>
      </w:r>
      <w:r w:rsidR="002C707D" w:rsidRPr="009A7163">
        <w:t xml:space="preserve"> recall)</w:t>
      </w:r>
      <w:r w:rsidRPr="009A7163">
        <w:t>,</w:t>
      </w:r>
      <w:r w:rsidR="00DB623F" w:rsidRPr="009A7163">
        <w:t xml:space="preserve"> and this</w:t>
      </w:r>
      <w:r w:rsidR="002C707D" w:rsidRPr="009A7163">
        <w:t xml:space="preserve"> led to the development of a </w:t>
      </w:r>
      <w:r w:rsidRPr="009A7163">
        <w:t>TUVI</w:t>
      </w:r>
      <w:r w:rsidR="00DB623F" w:rsidRPr="009A7163">
        <w:t>,</w:t>
      </w:r>
      <w:r w:rsidR="002C707D" w:rsidRPr="009A7163">
        <w:t xml:space="preserve"> which is an important contribution of this study to the field of time use studies. Lastly</w:t>
      </w:r>
      <w:r w:rsidRPr="009A7163">
        <w:t>,</w:t>
      </w:r>
      <w:r w:rsidR="002C707D" w:rsidRPr="009A7163">
        <w:t xml:space="preserve"> my research is concerned with knowledge production (as opposed to action research)</w:t>
      </w:r>
      <w:r w:rsidR="00DB623F" w:rsidRPr="009A7163">
        <w:t>,</w:t>
      </w:r>
      <w:r w:rsidR="002C707D" w:rsidRPr="009A7163">
        <w:t xml:space="preserve"> and the interaction with BSI, other buyers and the participants themselves throughout the process reminded me of the relevance of the study</w:t>
      </w:r>
      <w:r w:rsidR="00DB623F" w:rsidRPr="009A7163">
        <w:t xml:space="preserve"> and</w:t>
      </w:r>
      <w:r w:rsidR="002C707D" w:rsidRPr="009A7163">
        <w:t xml:space="preserve"> the participants expectations (including that of BSI)</w:t>
      </w:r>
      <w:r w:rsidR="00DB623F" w:rsidRPr="009A7163">
        <w:t>. This</w:t>
      </w:r>
      <w:r w:rsidR="002C707D" w:rsidRPr="009A7163">
        <w:t xml:space="preserve"> led me to engage with other working groups undertaking research in order to contribute more widely on the subject of unpaid care work and in specific my research on this pioneering initiative in Nicaragua. The chapter that follows will provide a context to my research in Nicaragua and present the case studies in more detail.</w:t>
      </w:r>
    </w:p>
    <w:p w14:paraId="0296C9D0" w14:textId="37635459" w:rsidR="0004045F" w:rsidRPr="009A7163" w:rsidRDefault="0004045F" w:rsidP="00293176">
      <w:pPr>
        <w:spacing w:line="360" w:lineRule="auto"/>
        <w:jc w:val="both"/>
      </w:pPr>
    </w:p>
    <w:p w14:paraId="78A7AC3A" w14:textId="5D9BA1D0" w:rsidR="0004045F" w:rsidRPr="009A7163" w:rsidRDefault="0004045F" w:rsidP="00293176">
      <w:pPr>
        <w:spacing w:line="360" w:lineRule="auto"/>
        <w:jc w:val="both"/>
      </w:pPr>
    </w:p>
    <w:p w14:paraId="369B889A" w14:textId="27E55691" w:rsidR="0004045F" w:rsidRPr="009A7163" w:rsidRDefault="0004045F" w:rsidP="00293176">
      <w:pPr>
        <w:spacing w:line="360" w:lineRule="auto"/>
        <w:jc w:val="both"/>
      </w:pPr>
    </w:p>
    <w:p w14:paraId="2436B572" w14:textId="3612FD80" w:rsidR="0004045F" w:rsidRPr="009A7163" w:rsidRDefault="0004045F" w:rsidP="00293176">
      <w:pPr>
        <w:spacing w:line="360" w:lineRule="auto"/>
        <w:jc w:val="both"/>
      </w:pPr>
    </w:p>
    <w:p w14:paraId="1193F936" w14:textId="250F0918" w:rsidR="0004045F" w:rsidRPr="009A7163" w:rsidRDefault="0004045F" w:rsidP="00293176">
      <w:pPr>
        <w:spacing w:line="360" w:lineRule="auto"/>
        <w:jc w:val="both"/>
      </w:pPr>
    </w:p>
    <w:p w14:paraId="4CDCACD8" w14:textId="42162191" w:rsidR="0004045F" w:rsidRPr="009A7163" w:rsidRDefault="0004045F" w:rsidP="00293176">
      <w:pPr>
        <w:spacing w:line="360" w:lineRule="auto"/>
        <w:jc w:val="both"/>
      </w:pPr>
    </w:p>
    <w:p w14:paraId="6612975B" w14:textId="5D562AA6" w:rsidR="0004045F" w:rsidRPr="009A7163" w:rsidRDefault="0004045F" w:rsidP="00293176">
      <w:pPr>
        <w:spacing w:line="360" w:lineRule="auto"/>
        <w:jc w:val="both"/>
      </w:pPr>
    </w:p>
    <w:p w14:paraId="4DAF1851" w14:textId="3EFE5B4D" w:rsidR="0004045F" w:rsidRPr="009A7163" w:rsidRDefault="0004045F" w:rsidP="00293176">
      <w:pPr>
        <w:spacing w:line="360" w:lineRule="auto"/>
        <w:jc w:val="both"/>
      </w:pPr>
    </w:p>
    <w:p w14:paraId="3F016134" w14:textId="7F853CCE" w:rsidR="0004045F" w:rsidRPr="009A7163" w:rsidRDefault="0004045F" w:rsidP="00293176">
      <w:pPr>
        <w:spacing w:line="360" w:lineRule="auto"/>
        <w:jc w:val="both"/>
      </w:pPr>
    </w:p>
    <w:p w14:paraId="357AA858" w14:textId="77777777" w:rsidR="0004045F" w:rsidRPr="009A7163" w:rsidRDefault="0004045F" w:rsidP="00293176">
      <w:pPr>
        <w:spacing w:line="360" w:lineRule="auto"/>
        <w:jc w:val="both"/>
      </w:pPr>
    </w:p>
    <w:p w14:paraId="768E4492" w14:textId="77777777" w:rsidR="002C707D" w:rsidRPr="009A7163" w:rsidRDefault="002C707D" w:rsidP="008C041F">
      <w:pPr>
        <w:spacing w:line="360" w:lineRule="auto"/>
        <w:ind w:firstLine="720"/>
        <w:jc w:val="both"/>
      </w:pPr>
    </w:p>
    <w:p w14:paraId="76515F76" w14:textId="77777777" w:rsidR="00E42822" w:rsidRPr="009A7163" w:rsidRDefault="00E42822" w:rsidP="00FE246F">
      <w:pPr>
        <w:spacing w:line="360" w:lineRule="auto"/>
        <w:ind w:firstLine="720"/>
        <w:jc w:val="both"/>
        <w:sectPr w:rsidR="00E42822" w:rsidRPr="009A7163" w:rsidSect="006155BA">
          <w:footerReference w:type="even" r:id="rId9"/>
          <w:footnotePr>
            <w:numRestart w:val="eachSect"/>
          </w:footnotePr>
          <w:type w:val="continuous"/>
          <w:pgSz w:w="11907" w:h="16839" w:code="9"/>
          <w:pgMar w:top="1440" w:right="1440" w:bottom="1440" w:left="2160" w:header="706" w:footer="706" w:gutter="0"/>
          <w:cols w:space="708"/>
          <w:docGrid w:linePitch="360"/>
        </w:sectPr>
      </w:pPr>
    </w:p>
    <w:p w14:paraId="10183A93" w14:textId="77777777" w:rsidR="00C86808" w:rsidRPr="009A7163" w:rsidRDefault="00C86808" w:rsidP="008C041F">
      <w:pPr>
        <w:pStyle w:val="Heading1"/>
        <w:rPr>
          <w:sz w:val="28"/>
          <w:shd w:val="clear" w:color="auto" w:fill="FFFFFF"/>
        </w:rPr>
      </w:pPr>
    </w:p>
    <w:p w14:paraId="7DAD3E4B" w14:textId="77777777" w:rsidR="00C86808" w:rsidRPr="009A7163" w:rsidRDefault="00C86808" w:rsidP="008C041F">
      <w:pPr>
        <w:pStyle w:val="Heading1"/>
        <w:rPr>
          <w:sz w:val="28"/>
          <w:shd w:val="clear" w:color="auto" w:fill="FFFFFF"/>
        </w:rPr>
      </w:pPr>
    </w:p>
    <w:p w14:paraId="0267C2DB" w14:textId="77777777" w:rsidR="00C86808" w:rsidRPr="009A7163" w:rsidRDefault="00C86808" w:rsidP="008C041F">
      <w:pPr>
        <w:pStyle w:val="Heading1"/>
        <w:rPr>
          <w:sz w:val="28"/>
          <w:shd w:val="clear" w:color="auto" w:fill="FFFFFF"/>
        </w:rPr>
      </w:pPr>
    </w:p>
    <w:p w14:paraId="3882B3E4" w14:textId="77777777" w:rsidR="00C86808" w:rsidRPr="009A7163" w:rsidRDefault="00C86808" w:rsidP="008C041F">
      <w:pPr>
        <w:pStyle w:val="Heading1"/>
        <w:rPr>
          <w:sz w:val="28"/>
          <w:shd w:val="clear" w:color="auto" w:fill="FFFFFF"/>
        </w:rPr>
      </w:pPr>
    </w:p>
    <w:p w14:paraId="2097B05E" w14:textId="0AB898A4" w:rsidR="006D76AB" w:rsidRPr="009A7163" w:rsidRDefault="00E42822" w:rsidP="008C041F">
      <w:pPr>
        <w:pStyle w:val="Heading1"/>
        <w:rPr>
          <w:sz w:val="28"/>
          <w:shd w:val="clear" w:color="auto" w:fill="FFFFFF"/>
        </w:rPr>
      </w:pPr>
      <w:bookmarkStart w:id="73" w:name="_Toc526819297"/>
      <w:r w:rsidRPr="009A7163">
        <w:rPr>
          <w:sz w:val="28"/>
          <w:shd w:val="clear" w:color="auto" w:fill="FFFFFF"/>
        </w:rPr>
        <w:lastRenderedPageBreak/>
        <w:t>Chapter Four: Gender and Development in Nicaragua</w:t>
      </w:r>
      <w:bookmarkEnd w:id="73"/>
    </w:p>
    <w:p w14:paraId="3F7F1B5A" w14:textId="77777777" w:rsidR="00586F14" w:rsidRPr="009A7163" w:rsidRDefault="00586F14" w:rsidP="00293176">
      <w:pPr>
        <w:pStyle w:val="NoSpacing"/>
        <w:rPr>
          <w:sz w:val="28"/>
          <w:shd w:val="clear" w:color="auto" w:fill="FFFFFF"/>
        </w:rPr>
      </w:pPr>
    </w:p>
    <w:p w14:paraId="2FD21F40" w14:textId="77777777" w:rsidR="00586F14" w:rsidRPr="009A7163" w:rsidRDefault="00586F14" w:rsidP="00293176">
      <w:pPr>
        <w:pStyle w:val="NoSpacing"/>
        <w:rPr>
          <w:shd w:val="clear" w:color="auto" w:fill="FFFFFF"/>
        </w:rPr>
      </w:pPr>
    </w:p>
    <w:p w14:paraId="54C43E02" w14:textId="1DE395C2" w:rsidR="006D76AB" w:rsidRPr="009A7163" w:rsidRDefault="006D76AB" w:rsidP="00293176">
      <w:pPr>
        <w:jc w:val="both"/>
        <w:rPr>
          <w:shd w:val="clear" w:color="auto" w:fill="FFFFFF"/>
        </w:rPr>
      </w:pPr>
      <w:r w:rsidRPr="009A7163">
        <w:rPr>
          <w:i/>
          <w:shd w:val="clear" w:color="auto" w:fill="FFFFFF"/>
        </w:rPr>
        <w:t>Nicaragua has a special place in my heart. This tiny country overthrew a brutal dictator in a popular revolution in 1979 only to face a long, bloody civil war provoked and then sustained by Ronald Reagan and the United States, covertly, illegally and in defiance of the country’s own Congress. I went to Nicaragua in 2001, a decade after the end of the revolution and the Contra war. I stayed in the northern hills with the farming cooperatives of Achuapa that is a community trade supplier of sesame oil for The Body Shop…Wherever I went, I met amazing, organized, committed people. For all the hardships Nicaraguans have endured and the efforts of successive right-wing governments to dismantle the social apparatus of the revolution, the spirit lives on!</w:t>
      </w:r>
      <w:r w:rsidRPr="009A7163">
        <w:rPr>
          <w:shd w:val="clear" w:color="auto" w:fill="FFFFFF"/>
        </w:rPr>
        <w:t xml:space="preserve"> </w:t>
      </w:r>
    </w:p>
    <w:p w14:paraId="078BB02A" w14:textId="154DAFEA" w:rsidR="006D76AB" w:rsidRPr="009A7163" w:rsidRDefault="006D76AB" w:rsidP="00293176">
      <w:pPr>
        <w:jc w:val="right"/>
        <w:rPr>
          <w:shd w:val="clear" w:color="auto" w:fill="FFFFFF"/>
        </w:rPr>
      </w:pPr>
      <w:r w:rsidRPr="009A7163">
        <w:rPr>
          <w:shd w:val="clear" w:color="auto" w:fill="FFFFFF"/>
        </w:rPr>
        <w:t>Anita Roddrick, Founder of the Body Shop</w:t>
      </w:r>
      <w:r w:rsidRPr="009A7163">
        <w:rPr>
          <w:rStyle w:val="FootnoteReference"/>
          <w:shd w:val="clear" w:color="auto" w:fill="FFFFFF"/>
        </w:rPr>
        <w:footnoteReference w:id="60"/>
      </w:r>
      <w:r w:rsidRPr="009A7163">
        <w:rPr>
          <w:shd w:val="clear" w:color="auto" w:fill="FFFFFF"/>
        </w:rPr>
        <w:t xml:space="preserve"> </w:t>
      </w:r>
    </w:p>
    <w:p w14:paraId="14F20225" w14:textId="77777777" w:rsidR="006D76AB" w:rsidRPr="009A7163" w:rsidRDefault="006D76AB" w:rsidP="00293176">
      <w:pPr>
        <w:pStyle w:val="NoSpacing"/>
      </w:pPr>
    </w:p>
    <w:p w14:paraId="45BFF78B" w14:textId="77777777" w:rsidR="00586F14" w:rsidRPr="009A7163" w:rsidRDefault="00586F14" w:rsidP="00293176">
      <w:pPr>
        <w:pStyle w:val="NoSpacing"/>
      </w:pPr>
    </w:p>
    <w:p w14:paraId="2348F27A" w14:textId="3EF4F544" w:rsidR="006D76AB" w:rsidRPr="009A7163" w:rsidRDefault="006D76AB" w:rsidP="008C041F">
      <w:pPr>
        <w:pStyle w:val="Heading2"/>
      </w:pPr>
      <w:bookmarkStart w:id="74" w:name="_Toc526819298"/>
      <w:r w:rsidRPr="009A7163">
        <w:t>4.1  Introduction</w:t>
      </w:r>
      <w:bookmarkEnd w:id="74"/>
    </w:p>
    <w:p w14:paraId="408AEC2A" w14:textId="0EF6A10C" w:rsidR="006D76AB" w:rsidRPr="009A7163" w:rsidRDefault="006D76AB">
      <w:pPr>
        <w:pStyle w:val="NormalWeb"/>
        <w:spacing w:before="0" w:beforeAutospacing="0" w:after="0" w:afterAutospacing="0" w:line="360" w:lineRule="auto"/>
        <w:ind w:firstLine="720"/>
        <w:jc w:val="both"/>
      </w:pPr>
      <w:r w:rsidRPr="009A7163">
        <w:t xml:space="preserve">I have chosen to start this chapter with the quote from the founder of the Body Shop International (BSI), Anita Roddrick, as it gives a window into the history of Nicaragua and also how Nicaragua’s history inspired Roddrick. The spirit of the people that Roddrick mentions still remains and </w:t>
      </w:r>
      <w:r w:rsidR="0004045F" w:rsidRPr="009A7163">
        <w:t>the</w:t>
      </w:r>
      <w:r w:rsidRPr="009A7163">
        <w:t xml:space="preserve"> same cooperative leaders from the </w:t>
      </w:r>
      <w:r w:rsidR="0004045F" w:rsidRPr="009A7163">
        <w:rPr>
          <w:lang w:val="es-NI"/>
        </w:rPr>
        <w:t>Cooperativa Juan Francisco Paz Silva (</w:t>
      </w:r>
      <w:r w:rsidRPr="009A7163">
        <w:t>CJFPS</w:t>
      </w:r>
      <w:r w:rsidR="0004045F" w:rsidRPr="009A7163">
        <w:t>)</w:t>
      </w:r>
      <w:r w:rsidRPr="009A7163">
        <w:t xml:space="preserve"> </w:t>
      </w:r>
      <w:r w:rsidR="0004045F" w:rsidRPr="009A7163">
        <w:t>that</w:t>
      </w:r>
      <w:r w:rsidRPr="009A7163">
        <w:t xml:space="preserve"> Roddrick met were</w:t>
      </w:r>
      <w:r w:rsidR="0004045F" w:rsidRPr="009A7163">
        <w:t xml:space="preserve"> those who were</w:t>
      </w:r>
      <w:r w:rsidRPr="009A7163">
        <w:t xml:space="preserve"> open to pioneering a new pricing initiative to recogn</w:t>
      </w:r>
      <w:r w:rsidR="00C95A06" w:rsidRPr="009A7163">
        <w:t>ise</w:t>
      </w:r>
      <w:r w:rsidRPr="009A7163">
        <w:t xml:space="preserve"> women’s unpaid work. Nicaragua has undergone political, social and economic turmoil since the 1930s. Periods of high social tension and violence (e.g., the Somoza Dictatorship, Contra War and the United States </w:t>
      </w:r>
      <w:r w:rsidR="0004045F" w:rsidRPr="009A7163">
        <w:t>e</w:t>
      </w:r>
      <w:r w:rsidRPr="009A7163">
        <w:t xml:space="preserve">conomic </w:t>
      </w:r>
      <w:r w:rsidR="0004045F" w:rsidRPr="009A7163">
        <w:t>e</w:t>
      </w:r>
      <w:r w:rsidRPr="009A7163">
        <w:t xml:space="preserve">mbargo) were followed by relative peace and democratic transition. Social conflicts and contradictions, however, have continued to emerge (Carrion, 2017, </w:t>
      </w:r>
      <w:r w:rsidR="0004045F" w:rsidRPr="009A7163">
        <w:t xml:space="preserve">p. </w:t>
      </w:r>
      <w:r w:rsidRPr="009A7163">
        <w:t>vii). These dynamics provide an interesting backdrop for women’s empowerment initiatives and the pricing initiative, the subject of this research.</w:t>
      </w:r>
    </w:p>
    <w:p w14:paraId="2C92E9CA" w14:textId="268D1351" w:rsidR="006D76AB" w:rsidRPr="009A7163" w:rsidRDefault="006D76AB">
      <w:pPr>
        <w:pStyle w:val="NormalWeb"/>
        <w:spacing w:before="0" w:beforeAutospacing="0" w:after="0" w:afterAutospacing="0" w:line="360" w:lineRule="auto"/>
        <w:ind w:firstLine="720"/>
        <w:jc w:val="both"/>
      </w:pPr>
      <w:r w:rsidRPr="009A7163">
        <w:t>It has been argued that the historical political context of Nicaragua provides an enabling environment for change (Dilley, 2011; Gonzalez Manchon and Macleod, 2010). Today, there is still ‘a vibrant, highly diverse group of organizations (NGOs and others), networks and movements focusing on a broad range of political advocacy issues including: women’s rights, gender, civil and political rights, youth issues, sexual diversity, local development, health, education and the environment’ (</w:t>
      </w:r>
      <w:r w:rsidR="00586F14" w:rsidRPr="009A7163">
        <w:t>Dixon et al.</w:t>
      </w:r>
      <w:r w:rsidRPr="009A7163">
        <w:t xml:space="preserve">, 2014, p. 12). Whilst Nicaragua still provides fertile ground for innovation and movements for change, the political context has become increasingly oppressive by the </w:t>
      </w:r>
      <w:r w:rsidRPr="009A7163">
        <w:lastRenderedPageBreak/>
        <w:t>same government that led the country’s revolution (Neumann, 2013, p. 801).</w:t>
      </w:r>
      <w:r w:rsidRPr="009A7163">
        <w:rPr>
          <w:rStyle w:val="FootnoteReference"/>
        </w:rPr>
        <w:footnoteReference w:id="61"/>
      </w:r>
      <w:r w:rsidRPr="009A7163">
        <w:t xml:space="preserve"> Although the pricing initiative has not been directly affected, many of the experts interviewed in this thesis mentioned the political context as a structure of constraint </w:t>
      </w:r>
      <w:r w:rsidR="0004045F" w:rsidRPr="009A7163">
        <w:t>that</w:t>
      </w:r>
      <w:r w:rsidRPr="009A7163">
        <w:t xml:space="preserve"> ultimately limits empowerment. Nicaragua’s revolutionary history and current political context makes it a compelling site within which to study the subject of this research. </w:t>
      </w:r>
    </w:p>
    <w:p w14:paraId="1B1FBEC1" w14:textId="1C84C77C" w:rsidR="006D76AB" w:rsidRPr="009A7163" w:rsidRDefault="006D76AB">
      <w:pPr>
        <w:pStyle w:val="NormalWeb"/>
        <w:spacing w:before="0" w:beforeAutospacing="0" w:after="240" w:afterAutospacing="0" w:line="360" w:lineRule="auto"/>
        <w:ind w:firstLine="720"/>
        <w:jc w:val="both"/>
      </w:pPr>
      <w:r w:rsidRPr="009A7163">
        <w:t>This chapter will provide context for the analysis chapters that follow and will draw on previous scholarship, grey literature from development and in some cases data collected via document review, focus groups and interviews conducted for the present study. It begins by providing a brief overview of the current situation of gender and development in Nicaragua and then it outlines a few key shifts related to gender in Nicaragua’s history that are pertinent to this study, as well as a portrayal of Nicaraguan masculine and feminine identities based on cultural norms and historical effects. After this, I discuss gender and Fair Trade (FT) in Nicaragua and women’s role within this social movement. Then I describe the case studies of sesame and coffee, including information on the respective crop, the geography of the area and, finally, on each respective cooperative, the history of its initiative and how the initiative functions.</w:t>
      </w:r>
    </w:p>
    <w:p w14:paraId="2BE5B9D2" w14:textId="051D84F1" w:rsidR="006D76AB" w:rsidRPr="009A7163" w:rsidRDefault="006D76AB">
      <w:pPr>
        <w:pStyle w:val="Heading2"/>
      </w:pPr>
      <w:bookmarkStart w:id="75" w:name="_Toc526819299"/>
      <w:r w:rsidRPr="009A7163">
        <w:t>4.2  Gender and Development in Nicaragua: A Brief Overview of the Current Situation</w:t>
      </w:r>
      <w:bookmarkEnd w:id="75"/>
    </w:p>
    <w:p w14:paraId="7CF5D60D" w14:textId="2D90E62B" w:rsidR="0004045F" w:rsidRPr="009A7163" w:rsidRDefault="006D76AB" w:rsidP="00293176">
      <w:pPr>
        <w:spacing w:line="360" w:lineRule="auto"/>
        <w:ind w:firstLine="720"/>
        <w:jc w:val="both"/>
      </w:pPr>
      <w:r w:rsidRPr="009A7163">
        <w:t>Despite recent social advances</w:t>
      </w:r>
      <w:r w:rsidR="001B7623" w:rsidRPr="009A7163">
        <w:t xml:space="preserve"> </w:t>
      </w:r>
      <w:r w:rsidR="0004045F" w:rsidRPr="009A7163">
        <w:t>as a result of the expansion of the</w:t>
      </w:r>
      <w:r w:rsidR="001B7623" w:rsidRPr="009A7163">
        <w:t xml:space="preserve"> Nicaragua</w:t>
      </w:r>
      <w:r w:rsidR="0004045F" w:rsidRPr="009A7163">
        <w:t>n economy that have</w:t>
      </w:r>
      <w:r w:rsidR="001B7623" w:rsidRPr="009A7163">
        <w:t xml:space="preserve"> contribut</w:t>
      </w:r>
      <w:r w:rsidR="0004045F" w:rsidRPr="009A7163">
        <w:t>ed</w:t>
      </w:r>
      <w:r w:rsidR="001B7623" w:rsidRPr="009A7163">
        <w:t xml:space="preserve"> to </w:t>
      </w:r>
      <w:r w:rsidR="0004045F" w:rsidRPr="009A7163">
        <w:t>lowering</w:t>
      </w:r>
      <w:r w:rsidR="001B7623" w:rsidRPr="009A7163">
        <w:t xml:space="preserve"> general poverty from 43.5% to 29.6% (World Bank, 2016)</w:t>
      </w:r>
      <w:r w:rsidRPr="009A7163">
        <w:t>, there is still a high proportion of Nicaraguans living in poverty</w:t>
      </w:r>
      <w:r w:rsidR="0004045F" w:rsidRPr="009A7163">
        <w:t xml:space="preserve">. </w:t>
      </w:r>
      <w:r w:rsidRPr="009A7163">
        <w:t>Nicaragua is considered to be the second poorest nation in Latin America after Haiti.</w:t>
      </w:r>
      <w:r w:rsidR="00B20C3D" w:rsidRPr="009A7163">
        <w:t xml:space="preserve"> </w:t>
      </w:r>
      <w:r w:rsidRPr="009A7163">
        <w:rPr>
          <w:bCs/>
          <w:iCs/>
        </w:rPr>
        <w:t>Nicaragua has historically been character</w:t>
      </w:r>
      <w:r w:rsidR="00C95A06" w:rsidRPr="009A7163">
        <w:rPr>
          <w:bCs/>
          <w:iCs/>
        </w:rPr>
        <w:t>ise</w:t>
      </w:r>
      <w:r w:rsidRPr="009A7163">
        <w:rPr>
          <w:bCs/>
          <w:iCs/>
        </w:rPr>
        <w:t>d by strong gender disparities and the gap between men and women remains high, especially in rural settings where traditional roles predominate and gender gaps remain in women’s control over assets, decision</w:t>
      </w:r>
      <w:r w:rsidR="00913D16" w:rsidRPr="009A7163">
        <w:rPr>
          <w:bCs/>
          <w:iCs/>
        </w:rPr>
        <w:t xml:space="preserve"> </w:t>
      </w:r>
      <w:r w:rsidRPr="009A7163">
        <w:rPr>
          <w:bCs/>
          <w:iCs/>
        </w:rPr>
        <w:t xml:space="preserve">making, access to justice and to sexual and reproductive health (USAID, 2012). </w:t>
      </w:r>
      <w:r w:rsidRPr="009A7163">
        <w:rPr>
          <w:bCs/>
        </w:rPr>
        <w:t xml:space="preserve">Women are also primary caretakers of children and household tasks, inhibiting time available </w:t>
      </w:r>
      <w:r w:rsidRPr="009A7163">
        <w:rPr>
          <w:bCs/>
        </w:rPr>
        <w:lastRenderedPageBreak/>
        <w:t>for civic participation and economic activities</w:t>
      </w:r>
      <w:r w:rsidRPr="009A7163">
        <w:t xml:space="preserve">. Rural women are most affected by these inequalities. </w:t>
      </w:r>
      <w:r w:rsidR="0004045F" w:rsidRPr="009A7163">
        <w:t xml:space="preserve">In particular, as REMURIC (2015) explains, </w:t>
      </w:r>
    </w:p>
    <w:p w14:paraId="30344D55" w14:textId="1A5CEEE3" w:rsidR="0004045F" w:rsidRPr="009A7163" w:rsidRDefault="0004045F" w:rsidP="007A3A29">
      <w:pPr>
        <w:spacing w:after="180"/>
        <w:ind w:left="720"/>
        <w:jc w:val="both"/>
      </w:pPr>
      <w:r w:rsidRPr="009A7163">
        <w:t>…</w:t>
      </w:r>
      <w:r w:rsidR="006D76AB" w:rsidRPr="009A7163">
        <w:t>the role of rural women as agricultural producers is not visible, despite their very important role to local economies and food security and sovereignty. In the last agricultural census in Nicaragua, only 61,000 women agricultural producers were accounted for compared to a total population of 1,100,000 rural women. National accounts and employment statistics do not include calculations of women’s economic contribution and nor do they consider these women as an active population/employed. In all of the Latin American region/throughout the Americas, of the 58 million rural women, only 17 million are recognized as part of the economically active population</w:t>
      </w:r>
      <w:r w:rsidRPr="009A7163">
        <w:t>.</w:t>
      </w:r>
      <w:r w:rsidR="006D76AB" w:rsidRPr="009A7163">
        <w:t xml:space="preserve"> (p. 9, my translation)</w:t>
      </w:r>
    </w:p>
    <w:p w14:paraId="2550B9EA" w14:textId="5E31F733" w:rsidR="006D76AB" w:rsidRPr="009A7163" w:rsidRDefault="006D76AB" w:rsidP="00293176">
      <w:pPr>
        <w:spacing w:line="360" w:lineRule="auto"/>
        <w:ind w:firstLine="720"/>
        <w:jc w:val="both"/>
      </w:pPr>
      <w:r w:rsidRPr="009A7163">
        <w:t>In short, 70% of rural women in Latin America do not exist in the national statistics (</w:t>
      </w:r>
      <w:r w:rsidR="00586F14" w:rsidRPr="009A7163">
        <w:t>REMURIC, 2015</w:t>
      </w:r>
      <w:r w:rsidRPr="009A7163">
        <w:t xml:space="preserve">, p. 22). One of the principal </w:t>
      </w:r>
      <w:r w:rsidR="00B20C3D" w:rsidRPr="009A7163">
        <w:t>‘</w:t>
      </w:r>
      <w:r w:rsidRPr="009A7163">
        <w:t>cultural obstacles is that rural women are not recognised as agricultural producers because all the tasks they undertake in the family unit is perceived as an extension of their domestic work, which is equally invisible and undervalued. In general, the family is taken as reference for the productive unit and the man is the head of the family</w:t>
      </w:r>
      <w:r w:rsidR="00B20C3D" w:rsidRPr="009A7163">
        <w:t>’</w:t>
      </w:r>
      <w:r w:rsidR="00586F14" w:rsidRPr="009A7163">
        <w:t xml:space="preserve"> </w:t>
      </w:r>
      <w:r w:rsidRPr="009A7163">
        <w:t>(REMURIC, 2015, p. 11).</w:t>
      </w:r>
      <w:r w:rsidR="00B20C3D" w:rsidRPr="009A7163">
        <w:t xml:space="preserve"> The same report argue</w:t>
      </w:r>
      <w:r w:rsidR="00586F14" w:rsidRPr="009A7163">
        <w:t>d</w:t>
      </w:r>
      <w:r w:rsidR="00B20C3D" w:rsidRPr="009A7163">
        <w:t>:</w:t>
      </w:r>
      <w:r w:rsidRPr="009A7163">
        <w:t xml:space="preserve"> </w:t>
      </w:r>
      <w:r w:rsidR="00B20C3D" w:rsidRPr="009A7163">
        <w:t>‘</w:t>
      </w:r>
      <w:r w:rsidRPr="009A7163">
        <w:t>Women are seen as secondary workers whose function is to complement the household income, or as producers for the household’s self-consumption or their work is invisibili</w:t>
      </w:r>
      <w:r w:rsidR="00586F14" w:rsidRPr="009A7163">
        <w:t>s</w:t>
      </w:r>
      <w:r w:rsidRPr="009A7163">
        <w:t>ed as family workers</w:t>
      </w:r>
      <w:r w:rsidR="00B20C3D" w:rsidRPr="009A7163">
        <w:t>’</w:t>
      </w:r>
      <w:r w:rsidRPr="009A7163">
        <w:t xml:space="preserve"> (</w:t>
      </w:r>
      <w:r w:rsidR="00586F14" w:rsidRPr="009A7163">
        <w:t>REMURIC</w:t>
      </w:r>
      <w:r w:rsidRPr="009A7163">
        <w:t xml:space="preserve">, 2015, pp. 21-22). </w:t>
      </w:r>
      <w:r w:rsidR="00B20C3D" w:rsidRPr="009A7163">
        <w:t xml:space="preserve">FIDEG </w:t>
      </w:r>
      <w:r w:rsidR="00586F14" w:rsidRPr="009A7163">
        <w:t xml:space="preserve">(2003) </w:t>
      </w:r>
      <w:r w:rsidR="00020823" w:rsidRPr="009A7163">
        <w:t>argue</w:t>
      </w:r>
      <w:r w:rsidR="0004045F" w:rsidRPr="009A7163">
        <w:t>s</w:t>
      </w:r>
      <w:r w:rsidR="00B20C3D" w:rsidRPr="009A7163">
        <w:t xml:space="preserve"> that </w:t>
      </w:r>
      <w:r w:rsidRPr="009A7163">
        <w:rPr>
          <w:bCs/>
          <w:iCs/>
          <w:lang w:val="en"/>
        </w:rPr>
        <w:t>the contribution of women to the agricultural sector is very significant, since it represents a quarter of agricultural production and a third of livestock production</w:t>
      </w:r>
      <w:r w:rsidR="0004045F" w:rsidRPr="009A7163">
        <w:rPr>
          <w:bCs/>
          <w:iCs/>
          <w:lang w:val="en"/>
        </w:rPr>
        <w:t>,</w:t>
      </w:r>
      <w:r w:rsidRPr="009A7163">
        <w:t xml:space="preserve"> </w:t>
      </w:r>
      <w:r w:rsidRPr="009A7163">
        <w:rPr>
          <w:bCs/>
          <w:iCs/>
          <w:lang w:val="en"/>
        </w:rPr>
        <w:t xml:space="preserve">according to an estimate of the contribution of women to national accounts. </w:t>
      </w:r>
      <w:r w:rsidR="001B7623" w:rsidRPr="009A7163">
        <w:rPr>
          <w:bCs/>
          <w:iCs/>
          <w:lang w:val="en"/>
        </w:rPr>
        <w:t xml:space="preserve">REMURIC </w:t>
      </w:r>
      <w:r w:rsidR="00586F14" w:rsidRPr="009A7163">
        <w:rPr>
          <w:bCs/>
          <w:iCs/>
          <w:lang w:val="en"/>
        </w:rPr>
        <w:t xml:space="preserve">(2015) </w:t>
      </w:r>
      <w:r w:rsidR="001B7623" w:rsidRPr="009A7163">
        <w:rPr>
          <w:bCs/>
          <w:iCs/>
          <w:lang w:val="en"/>
        </w:rPr>
        <w:t>state</w:t>
      </w:r>
      <w:r w:rsidR="0004045F" w:rsidRPr="009A7163">
        <w:rPr>
          <w:bCs/>
          <w:iCs/>
          <w:lang w:val="en"/>
        </w:rPr>
        <w:t>s,</w:t>
      </w:r>
      <w:r w:rsidR="001B7623" w:rsidRPr="009A7163">
        <w:rPr>
          <w:bCs/>
          <w:iCs/>
          <w:lang w:val="en"/>
        </w:rPr>
        <w:t xml:space="preserve"> ‘</w:t>
      </w:r>
      <w:r w:rsidRPr="009A7163">
        <w:rPr>
          <w:bCs/>
          <w:iCs/>
          <w:lang w:val="en"/>
        </w:rPr>
        <w:t>If specific products are taken into account, a fifth part of the work on basic grains and more of a third of the coffee and sesame seeds produced in Nicaragua depend on the work of women</w:t>
      </w:r>
      <w:r w:rsidR="0004045F" w:rsidRPr="009A7163">
        <w:rPr>
          <w:bCs/>
          <w:iCs/>
          <w:lang w:val="en"/>
        </w:rPr>
        <w:t>’</w:t>
      </w:r>
      <w:r w:rsidRPr="009A7163">
        <w:rPr>
          <w:bCs/>
          <w:iCs/>
          <w:lang w:val="en"/>
        </w:rPr>
        <w:t xml:space="preserve"> (p. 40).</w:t>
      </w:r>
    </w:p>
    <w:p w14:paraId="24F9064C" w14:textId="5762F98F" w:rsidR="006D76AB" w:rsidRPr="009A7163" w:rsidRDefault="006D76AB" w:rsidP="007A3C12">
      <w:pPr>
        <w:spacing w:line="360" w:lineRule="auto"/>
        <w:ind w:firstLine="720"/>
        <w:jc w:val="both"/>
        <w:rPr>
          <w:bCs/>
          <w:iCs/>
        </w:rPr>
      </w:pPr>
      <w:r w:rsidRPr="009A7163">
        <w:rPr>
          <w:bCs/>
          <w:iCs/>
        </w:rPr>
        <w:t>In Nicaragua, unpaid care work</w:t>
      </w:r>
      <w:r w:rsidR="00164B50" w:rsidRPr="009A7163">
        <w:rPr>
          <w:bCs/>
          <w:iCs/>
        </w:rPr>
        <w:t xml:space="preserve"> (UCW)</w:t>
      </w:r>
      <w:r w:rsidRPr="009A7163">
        <w:rPr>
          <w:bCs/>
          <w:iCs/>
        </w:rPr>
        <w:t xml:space="preserve"> is considered part of women’s obligation to ensure the survival of the family. Women employ certain survival strategies like increasing income and intensification of labour and lengthening of the work day, as well as ‘self-exploitation in creating activities </w:t>
      </w:r>
      <w:r w:rsidR="00C86808" w:rsidRPr="009A7163">
        <w:rPr>
          <w:bCs/>
          <w:iCs/>
        </w:rPr>
        <w:t>“</w:t>
      </w:r>
      <w:r w:rsidRPr="009A7163">
        <w:rPr>
          <w:bCs/>
          <w:iCs/>
        </w:rPr>
        <w:t>on one’s own</w:t>
      </w:r>
      <w:r w:rsidR="00C86808" w:rsidRPr="009A7163">
        <w:rPr>
          <w:bCs/>
          <w:iCs/>
        </w:rPr>
        <w:t>”</w:t>
      </w:r>
      <w:r w:rsidR="000860D2" w:rsidRPr="009A7163">
        <w:rPr>
          <w:bCs/>
          <w:iCs/>
        </w:rPr>
        <w:t xml:space="preserve"> also</w:t>
      </w:r>
      <w:r w:rsidRPr="009A7163">
        <w:rPr>
          <w:bCs/>
          <w:iCs/>
        </w:rPr>
        <w:t xml:space="preserve"> intensifies</w:t>
      </w:r>
      <w:r w:rsidR="00EA78B6" w:rsidRPr="009A7163">
        <w:rPr>
          <w:bCs/>
          <w:iCs/>
        </w:rPr>
        <w:t>’</w:t>
      </w:r>
      <w:r w:rsidRPr="009A7163">
        <w:rPr>
          <w:bCs/>
          <w:iCs/>
        </w:rPr>
        <w:t xml:space="preserve"> (Poncela</w:t>
      </w:r>
      <w:r w:rsidR="000860D2" w:rsidRPr="009A7163">
        <w:rPr>
          <w:bCs/>
          <w:iCs/>
        </w:rPr>
        <w:t xml:space="preserve"> and Steiger</w:t>
      </w:r>
      <w:r w:rsidRPr="009A7163">
        <w:rPr>
          <w:bCs/>
          <w:iCs/>
        </w:rPr>
        <w:t>, 1996, p. 58).</w:t>
      </w:r>
      <w:r w:rsidR="0004045F" w:rsidRPr="009A7163">
        <w:rPr>
          <w:rStyle w:val="FootnoteReference"/>
          <w:bCs/>
          <w:iCs/>
        </w:rPr>
        <w:footnoteReference w:id="62"/>
      </w:r>
      <w:r w:rsidRPr="009A7163">
        <w:rPr>
          <w:bCs/>
          <w:iCs/>
        </w:rPr>
        <w:t xml:space="preserve"> Poncela </w:t>
      </w:r>
      <w:r w:rsidR="000860D2" w:rsidRPr="009A7163">
        <w:rPr>
          <w:bCs/>
          <w:iCs/>
        </w:rPr>
        <w:t xml:space="preserve">and Steiger </w:t>
      </w:r>
      <w:r w:rsidRPr="009A7163">
        <w:rPr>
          <w:bCs/>
          <w:iCs/>
        </w:rPr>
        <w:t>(1996) explain</w:t>
      </w:r>
      <w:r w:rsidR="0004045F" w:rsidRPr="009A7163">
        <w:rPr>
          <w:bCs/>
          <w:iCs/>
        </w:rPr>
        <w:t xml:space="preserve"> that,</w:t>
      </w:r>
      <w:r w:rsidRPr="009A7163">
        <w:rPr>
          <w:bCs/>
          <w:iCs/>
        </w:rPr>
        <w:t xml:space="preserve"> </w:t>
      </w:r>
      <w:r w:rsidR="00586F14" w:rsidRPr="009A7163">
        <w:rPr>
          <w:bCs/>
          <w:iCs/>
        </w:rPr>
        <w:lastRenderedPageBreak/>
        <w:t>‘</w:t>
      </w:r>
      <w:r w:rsidRPr="009A7163">
        <w:rPr>
          <w:bCs/>
          <w:iCs/>
        </w:rPr>
        <w:t>In the dominant Nicaraguan culture, women are responsible for administering the family economy. They must arrest the drop</w:t>
      </w:r>
      <w:r w:rsidR="006012F7" w:rsidRPr="009A7163">
        <w:rPr>
          <w:bCs/>
          <w:iCs/>
        </w:rPr>
        <w:t xml:space="preserve"> </w:t>
      </w:r>
      <w:r w:rsidRPr="009A7163">
        <w:rPr>
          <w:bCs/>
          <w:iCs/>
        </w:rPr>
        <w:t xml:space="preserve">in family income </w:t>
      </w:r>
      <w:r w:rsidR="008D2D4E" w:rsidRPr="009A7163">
        <w:rPr>
          <w:bCs/>
          <w:iCs/>
        </w:rPr>
        <w:t xml:space="preserve">and </w:t>
      </w:r>
      <w:r w:rsidRPr="009A7163">
        <w:rPr>
          <w:bCs/>
          <w:iCs/>
        </w:rPr>
        <w:t>maximize</w:t>
      </w:r>
      <w:r w:rsidR="006012F7" w:rsidRPr="009A7163">
        <w:rPr>
          <w:bCs/>
          <w:iCs/>
        </w:rPr>
        <w:t xml:space="preserve"> </w:t>
      </w:r>
      <w:r w:rsidRPr="009A7163">
        <w:rPr>
          <w:bCs/>
          <w:iCs/>
        </w:rPr>
        <w:t>meagre resources. They develop mechanisms to provide the basic necessities that ensure the survival of family members’ (ibid, p. 55)</w:t>
      </w:r>
      <w:r w:rsidR="00164B50" w:rsidRPr="009A7163">
        <w:rPr>
          <w:bCs/>
          <w:iCs/>
        </w:rPr>
        <w:t xml:space="preserve">. As such, </w:t>
      </w:r>
      <w:r w:rsidRPr="009A7163">
        <w:rPr>
          <w:bCs/>
          <w:iCs/>
        </w:rPr>
        <w:t>‘the woman-mother, breadwinner, and ideological pillar-meets the family's needs for intimacy and security, and all women understand this’ (</w:t>
      </w:r>
      <w:r w:rsidR="00164B50" w:rsidRPr="009A7163">
        <w:rPr>
          <w:bCs/>
          <w:iCs/>
        </w:rPr>
        <w:t>i</w:t>
      </w:r>
      <w:r w:rsidRPr="009A7163">
        <w:rPr>
          <w:bCs/>
          <w:iCs/>
        </w:rPr>
        <w:t xml:space="preserve">bid, p. 57). </w:t>
      </w:r>
      <w:r w:rsidR="007A3C12" w:rsidRPr="009A7163">
        <w:rPr>
          <w:bCs/>
          <w:iCs/>
        </w:rPr>
        <w:t xml:space="preserve">Poncela and others (Molyneux, 1986; Moser, 1989) argue that women in Nicaragua have to focus </w:t>
      </w:r>
      <w:r w:rsidRPr="009A7163">
        <w:rPr>
          <w:bCs/>
          <w:iCs/>
        </w:rPr>
        <w:t>their energies on how to survive from day to day</w:t>
      </w:r>
      <w:r w:rsidR="007A3C12" w:rsidRPr="009A7163">
        <w:rPr>
          <w:bCs/>
          <w:iCs/>
        </w:rPr>
        <w:t xml:space="preserve"> and so they have less time or spirit for social participation such that ‘t</w:t>
      </w:r>
      <w:r w:rsidRPr="009A7163">
        <w:rPr>
          <w:bCs/>
          <w:iCs/>
        </w:rPr>
        <w:t>he tension between strategic gender interests and the immediate and concrete interests of women in dail</w:t>
      </w:r>
      <w:r w:rsidR="007A3C12" w:rsidRPr="009A7163">
        <w:rPr>
          <w:bCs/>
          <w:iCs/>
        </w:rPr>
        <w:t>y life mean that they can only focus on surviving</w:t>
      </w:r>
      <w:r w:rsidRPr="009A7163">
        <w:rPr>
          <w:bCs/>
          <w:iCs/>
        </w:rPr>
        <w:t>. Poverty, open and disguised unemployment, the family responsibilities expected of women, the overload of domestic chores and social violence all translate into p</w:t>
      </w:r>
      <w:r w:rsidR="000860D2" w:rsidRPr="009A7163">
        <w:rPr>
          <w:bCs/>
          <w:iCs/>
        </w:rPr>
        <w:t>sychosocial disruptions</w:t>
      </w:r>
      <w:r w:rsidR="000451F9" w:rsidRPr="009A7163">
        <w:rPr>
          <w:bCs/>
          <w:iCs/>
        </w:rPr>
        <w:t>’</w:t>
      </w:r>
      <w:r w:rsidR="000860D2" w:rsidRPr="009A7163">
        <w:rPr>
          <w:bCs/>
          <w:iCs/>
        </w:rPr>
        <w:t xml:space="preserve"> (Poncela</w:t>
      </w:r>
      <w:r w:rsidRPr="009A7163">
        <w:rPr>
          <w:bCs/>
          <w:iCs/>
        </w:rPr>
        <w:t xml:space="preserve">, 1996, p. 49). </w:t>
      </w:r>
    </w:p>
    <w:p w14:paraId="0073659C" w14:textId="047DF9EC" w:rsidR="006D76AB" w:rsidRPr="009A7163" w:rsidRDefault="006D76AB" w:rsidP="00293176">
      <w:pPr>
        <w:spacing w:line="360" w:lineRule="auto"/>
        <w:ind w:firstLine="720"/>
        <w:jc w:val="both"/>
        <w:rPr>
          <w:bCs/>
        </w:rPr>
      </w:pPr>
      <w:r w:rsidRPr="009A7163">
        <w:t xml:space="preserve">Nicaragua has witnessed important progress in terms of reducing gender disparities, but progress has been uneven and many outcomes are still different between men and women (World Bank, 2017, p. 86). </w:t>
      </w:r>
      <w:r w:rsidRPr="009A7163">
        <w:rPr>
          <w:bCs/>
          <w:iCs/>
        </w:rPr>
        <w:t>Nicaragua is ranked 125 out of 188 in the 2016 Human Development Index (HDI). It is also ranked 103 out of 159 countries in the 2015 Gender Inequality Index (GII),</w:t>
      </w:r>
      <w:r w:rsidRPr="009A7163">
        <w:rPr>
          <w:rStyle w:val="FootnoteReference"/>
          <w:bCs/>
          <w:iCs/>
        </w:rPr>
        <w:footnoteReference w:id="63"/>
      </w:r>
      <w:r w:rsidRPr="009A7163">
        <w:rPr>
          <w:bCs/>
          <w:iCs/>
        </w:rPr>
        <w:t xml:space="preserve"> which reflects gender-based inequalities in three dimensions – reproductive health, empowerment and economic activity in the Human Development Report (UN HDR</w:t>
      </w:r>
      <w:r w:rsidR="006012F7" w:rsidRPr="009A7163">
        <w:rPr>
          <w:bCs/>
          <w:iCs/>
        </w:rPr>
        <w:t xml:space="preserve">, </w:t>
      </w:r>
      <w:r w:rsidRPr="009A7163">
        <w:rPr>
          <w:bCs/>
          <w:iCs/>
        </w:rPr>
        <w:t>2016, p. 5). Whilst there have been some advances in the last few decades credited to a strong women’s movement (made up of civil society organizations, non-governmental organizations and individuals) that has laid a solid foundation for the advancement of women’s rights and gender equality (USAID, 2012, p. 15), there have also been major setbacks to women’s rights in the last 10 years, including the reversal of the right to have therapeutic abortion.  However, other official statistics provide a different picture of Nicaragua. For example, in the 2016 UNDP HDR, for the Gender Development Index (GDI),</w:t>
      </w:r>
      <w:r w:rsidRPr="009A7163">
        <w:rPr>
          <w:rStyle w:val="FootnoteReference"/>
          <w:bCs/>
          <w:iCs/>
        </w:rPr>
        <w:footnoteReference w:id="64"/>
      </w:r>
      <w:r w:rsidRPr="009A7163">
        <w:rPr>
          <w:bCs/>
          <w:iCs/>
        </w:rPr>
        <w:t xml:space="preserve"> Nicaragua is placed in group 2, the classification for countries with medium-high equality in HDI </w:t>
      </w:r>
      <w:r w:rsidRPr="009A7163">
        <w:rPr>
          <w:bCs/>
          <w:iCs/>
        </w:rPr>
        <w:lastRenderedPageBreak/>
        <w:t>achievements between women and men. Furthermore,</w:t>
      </w:r>
      <w:r w:rsidRPr="009A7163">
        <w:rPr>
          <w:bCs/>
        </w:rPr>
        <w:t xml:space="preserve"> </w:t>
      </w:r>
      <w:r w:rsidRPr="009A7163">
        <w:rPr>
          <w:i/>
        </w:rPr>
        <w:t xml:space="preserve">The </w:t>
      </w:r>
      <w:r w:rsidRPr="009A7163">
        <w:rPr>
          <w:bCs/>
          <w:i/>
          <w:iCs/>
        </w:rPr>
        <w:t>Global Gender Gap Report 2014</w:t>
      </w:r>
      <w:r w:rsidRPr="009A7163">
        <w:t xml:space="preserve">, </w:t>
      </w:r>
      <w:r w:rsidR="008D2D4E" w:rsidRPr="009A7163">
        <w:t>published</w:t>
      </w:r>
      <w:r w:rsidRPr="009A7163">
        <w:t xml:space="preserve"> by the World Economic Forum (WEF,</w:t>
      </w:r>
      <w:r w:rsidR="00586F14" w:rsidRPr="009A7163">
        <w:t xml:space="preserve"> </w:t>
      </w:r>
      <w:r w:rsidRPr="009A7163">
        <w:t>2014</w:t>
      </w:r>
      <w:r w:rsidR="00586F14" w:rsidRPr="009A7163">
        <w:t>b</w:t>
      </w:r>
      <w:r w:rsidRPr="009A7163">
        <w:t>)</w:t>
      </w:r>
      <w:r w:rsidR="008D2D4E" w:rsidRPr="009A7163">
        <w:t>,</w:t>
      </w:r>
      <w:r w:rsidRPr="009A7163">
        <w:t xml:space="preserve"> </w:t>
      </w:r>
      <w:r w:rsidR="00586F14" w:rsidRPr="009A7163">
        <w:t>p</w:t>
      </w:r>
      <w:r w:rsidRPr="009A7163">
        <w:t xml:space="preserve">laces Nicaragua </w:t>
      </w:r>
      <w:r w:rsidR="008D2D4E" w:rsidRPr="009A7163">
        <w:t xml:space="preserve">sixth </w:t>
      </w:r>
      <w:r w:rsidRPr="009A7163">
        <w:t>on the list of countries with the narrowest gap between male and female levels of economic, political, health and educational participation and opportunity.</w:t>
      </w:r>
      <w:r w:rsidRPr="009A7163">
        <w:rPr>
          <w:rStyle w:val="FootnoteReference"/>
        </w:rPr>
        <w:footnoteReference w:id="65"/>
      </w:r>
      <w:r w:rsidRPr="009A7163">
        <w:t xml:space="preserve"> The study covers 142 countries in total, including all Latin American countries, with the exception of Haiti. However, whilst it fairs well in the political sphere (number of women in parliament) and also near total parity on health and survival, it is just one of six countries to ban abortion, therefore making it one of the worst countries in the world when it comes to women’s control over their bodies. </w:t>
      </w:r>
      <w:r w:rsidRPr="009A7163">
        <w:rPr>
          <w:bCs/>
        </w:rPr>
        <w:t>Furthermore, significant gender gaps remain in Nicaragua in women’s control over assets, decision</w:t>
      </w:r>
      <w:r w:rsidRPr="009A7163">
        <w:rPr>
          <w:rFonts w:ascii="Calibri" w:eastAsia="Calibri" w:hAnsi="Calibri" w:cs="Calibri"/>
          <w:bCs/>
        </w:rPr>
        <w:t>‐</w:t>
      </w:r>
      <w:r w:rsidRPr="009A7163">
        <w:rPr>
          <w:bCs/>
        </w:rPr>
        <w:t>making and access to justice, and these gender gaps are prominent in rural areas such as in Northern Nicaragua where some of this research takes place. Family responsibility (usually exclusive), overload of domestic chores and family and social violence are direct causes of a variety of psychological reactions and alterations in emotional state among women (Poncela, 1996, p. 60) and takes a toll on women’s health.</w:t>
      </w:r>
    </w:p>
    <w:p w14:paraId="660DB689" w14:textId="6FE99737" w:rsidR="006D76AB" w:rsidRPr="009A7163" w:rsidRDefault="006D76AB" w:rsidP="00293176">
      <w:pPr>
        <w:spacing w:after="240" w:line="360" w:lineRule="auto"/>
        <w:ind w:firstLine="720"/>
        <w:jc w:val="both"/>
      </w:pPr>
      <w:r w:rsidRPr="009A7163">
        <w:rPr>
          <w:bCs/>
        </w:rPr>
        <w:t>The culture of machismo, described in more detail below, and the high prevalence of gender</w:t>
      </w:r>
      <w:r w:rsidRPr="009A7163">
        <w:rPr>
          <w:rFonts w:ascii="Calibri" w:eastAsia="Calibri" w:hAnsi="Calibri" w:cs="Calibri"/>
          <w:bCs/>
        </w:rPr>
        <w:t>‐</w:t>
      </w:r>
      <w:r w:rsidRPr="009A7163">
        <w:rPr>
          <w:bCs/>
        </w:rPr>
        <w:t xml:space="preserve">based violence that prevails throughout Latin America is cited as an urgent issue (World Bank, 2017, p. 87). </w:t>
      </w:r>
      <w:r w:rsidRPr="009A7163">
        <w:t>Cultural norms can also shape violent behaviour, which is in large part influenced by machismo</w:t>
      </w:r>
      <w:r w:rsidRPr="009A7163">
        <w:rPr>
          <w:i/>
        </w:rPr>
        <w:t xml:space="preserve"> </w:t>
      </w:r>
      <w:r w:rsidRPr="009A7163">
        <w:t>and embedded at all levels of society. The criminalization</w:t>
      </w:r>
      <w:r w:rsidRPr="009A7163">
        <w:rPr>
          <w:bCs/>
          <w:i/>
        </w:rPr>
        <w:t xml:space="preserve"> </w:t>
      </w:r>
      <w:r w:rsidRPr="009A7163">
        <w:t>of therapeutic abortion in 2006 is the best example of the institutionalization of machismo at the</w:t>
      </w:r>
      <w:r w:rsidRPr="009A7163">
        <w:rPr>
          <w:bCs/>
          <w:i/>
        </w:rPr>
        <w:t xml:space="preserve"> </w:t>
      </w:r>
      <w:r w:rsidRPr="009A7163">
        <w:t xml:space="preserve">state level (Kampwirth, 2006; Kane, 2008). In Latin America, it appears to be particularly nourished by a culture that celebrates violent masculinity (World Bank, 2016, p. 42). </w:t>
      </w:r>
      <w:r w:rsidRPr="009A7163">
        <w:rPr>
          <w:bCs/>
        </w:rPr>
        <w:t>Machismo has led to increasing deaths, and an alarming rate of femicides,</w:t>
      </w:r>
      <w:r w:rsidRPr="009A7163">
        <w:rPr>
          <w:rStyle w:val="FootnoteReference"/>
          <w:bCs/>
        </w:rPr>
        <w:footnoteReference w:id="66"/>
      </w:r>
      <w:r w:rsidRPr="009A7163">
        <w:rPr>
          <w:bCs/>
        </w:rPr>
        <w:t xml:space="preserve"> and it also presents obstacles for advancing economic growth, reducing poverty, increasing democratic participation and achieving gender equality in the country (USAID, 2012, p. vii). </w:t>
      </w:r>
      <w:r w:rsidRPr="009A7163">
        <w:t>Gendered violence and the increase in feminicides</w:t>
      </w:r>
      <w:r w:rsidRPr="009A7163">
        <w:rPr>
          <w:rStyle w:val="FootnoteReference"/>
        </w:rPr>
        <w:footnoteReference w:id="67"/>
      </w:r>
      <w:r w:rsidRPr="009A7163">
        <w:t xml:space="preserve"> have been a major concern in Nicaragua. In 1997, the Inter-</w:t>
      </w:r>
      <w:r w:rsidRPr="009A7163">
        <w:lastRenderedPageBreak/>
        <w:t>American Development Bank studied the socioeconomic impact of domestic violence in Nicaragua and found that it reduces the income of female victims by USD$34 million (World Bank, 2013). Furthermore,</w:t>
      </w:r>
      <w:r w:rsidRPr="009A7163">
        <w:rPr>
          <w:rFonts w:ascii="Arial" w:hAnsi="Arial" w:cs="Arial"/>
          <w:sz w:val="20"/>
          <w:szCs w:val="20"/>
        </w:rPr>
        <w:t xml:space="preserve"> </w:t>
      </w:r>
      <w:r w:rsidRPr="009A7163">
        <w:t>Nicaraguan women who suffer severe physical violence earn only 57% of that earned by women who have not suffered this type of aggression</w:t>
      </w:r>
      <w:r w:rsidR="00091AE2" w:rsidRPr="009A7163">
        <w:t>,</w:t>
      </w:r>
      <w:r w:rsidRPr="009A7163">
        <w:t xml:space="preserve"> and victims are twice as likely to use health services (Herrera, 2001, p. 2). </w:t>
      </w:r>
      <w:r w:rsidRPr="009A7163">
        <w:rPr>
          <w:bCs/>
        </w:rPr>
        <w:t>The culture of machismo also fuels the fire for gender-based violence and other kinds of violence, particularly in areas with low school attendance and in food insecure areas, such as the North Central Region where this research took place (USAID, 2012)</w:t>
      </w:r>
      <w:r w:rsidRPr="009A7163">
        <w:rPr>
          <w:bCs/>
          <w:i/>
        </w:rPr>
        <w:t xml:space="preserve">. </w:t>
      </w:r>
      <w:r w:rsidRPr="009A7163">
        <w:t>So, although Nicaragua has been ranked as one of the most gender equal counties in the world by the WEF</w:t>
      </w:r>
      <w:r w:rsidR="007A3C12" w:rsidRPr="009A7163">
        <w:rPr>
          <w:rStyle w:val="FootnoteReference"/>
        </w:rPr>
        <w:footnoteReference w:id="68"/>
      </w:r>
      <w:r w:rsidRPr="009A7163">
        <w:t xml:space="preserve"> in 2014, the reality is very different. </w:t>
      </w:r>
    </w:p>
    <w:p w14:paraId="37208DB2" w14:textId="7321AAC8" w:rsidR="006D76AB" w:rsidRPr="009A7163" w:rsidRDefault="006D76AB" w:rsidP="008C041F">
      <w:pPr>
        <w:pStyle w:val="Heading2"/>
      </w:pPr>
      <w:bookmarkStart w:id="76" w:name="_Toc526819300"/>
      <w:r w:rsidRPr="009A7163">
        <w:t>4.3  ‘Life is hard’ (‘La vida es dura’): The Masculine and Feminine Sense of Self in Nicaragua</w:t>
      </w:r>
      <w:bookmarkEnd w:id="76"/>
    </w:p>
    <w:p w14:paraId="76E8C87E" w14:textId="33A2DD4F" w:rsidR="006D76AB" w:rsidRPr="009A7163" w:rsidRDefault="006D76AB" w:rsidP="00293176">
      <w:pPr>
        <w:spacing w:after="240" w:line="360" w:lineRule="auto"/>
        <w:ind w:firstLine="720"/>
        <w:jc w:val="both"/>
      </w:pPr>
      <w:r w:rsidRPr="009A7163">
        <w:t xml:space="preserve">The title of this section and phrase is the title of a book by Lancaster (1992), </w:t>
      </w:r>
      <w:r w:rsidRPr="009A7163">
        <w:rPr>
          <w:i/>
        </w:rPr>
        <w:t>Life is Hard: Machismo, Danger, and the Intimacy of Power in Nicaragua</w:t>
      </w:r>
      <w:r w:rsidRPr="009A7163">
        <w:t>. This maxim, Lancaster (1992) explain</w:t>
      </w:r>
      <w:r w:rsidR="00091AE2" w:rsidRPr="009A7163">
        <w:t>s</w:t>
      </w:r>
      <w:r w:rsidRPr="009A7163">
        <w:t>, carries ‘implicit social knowledge’ and is heard a great deal in Nicaragua (p. xv).</w:t>
      </w:r>
      <w:r w:rsidRPr="009A7163">
        <w:rPr>
          <w:rStyle w:val="FootnoteReference"/>
        </w:rPr>
        <w:footnoteReference w:id="69"/>
      </w:r>
      <w:r w:rsidRPr="009A7163">
        <w:t xml:space="preserve"> He argue</w:t>
      </w:r>
      <w:r w:rsidR="005B3BD8" w:rsidRPr="009A7163">
        <w:t>s</w:t>
      </w:r>
      <w:r w:rsidRPr="009A7163">
        <w:t xml:space="preserve"> that</w:t>
      </w:r>
      <w:r w:rsidR="005B3BD8" w:rsidRPr="009A7163">
        <w:t>,</w:t>
      </w:r>
      <w:r w:rsidRPr="009A7163">
        <w:t xml:space="preserve"> ‘As hard as life can be, poverty, injustice, and powerlessness make it doubly hard’ (p. xix). This is of particular importance to gender relations and inequality in Nicaragua. Lancaster (1992) reflect</w:t>
      </w:r>
      <w:r w:rsidR="005B3BD8" w:rsidRPr="009A7163">
        <w:t>s</w:t>
      </w:r>
      <w:r w:rsidRPr="009A7163">
        <w:t xml:space="preserve"> through his ethnographic study about how machismo sets the conditions for life for men and women. </w:t>
      </w:r>
    </w:p>
    <w:p w14:paraId="5B607A04" w14:textId="6100A820" w:rsidR="006D76AB" w:rsidRPr="009A7163" w:rsidRDefault="00586F14" w:rsidP="00293176">
      <w:pPr>
        <w:pStyle w:val="Heading3"/>
      </w:pPr>
      <w:bookmarkStart w:id="77" w:name="_Toc526819301"/>
      <w:r w:rsidRPr="009A7163">
        <w:t xml:space="preserve">4.3.1 </w:t>
      </w:r>
      <w:r w:rsidR="00996FA3" w:rsidRPr="009A7163">
        <w:t xml:space="preserve"> </w:t>
      </w:r>
      <w:r w:rsidRPr="009A7163">
        <w:t>The Masculine Sense of Self</w:t>
      </w:r>
      <w:bookmarkEnd w:id="77"/>
    </w:p>
    <w:p w14:paraId="1F35C931" w14:textId="5DD51819" w:rsidR="006D76AB" w:rsidRPr="009A7163" w:rsidRDefault="006D76AB" w:rsidP="00293176">
      <w:pPr>
        <w:spacing w:line="360" w:lineRule="auto"/>
        <w:ind w:firstLine="720"/>
        <w:jc w:val="both"/>
      </w:pPr>
      <w:r w:rsidRPr="009A7163">
        <w:rPr>
          <w:iCs/>
        </w:rPr>
        <w:t>Machismo</w:t>
      </w:r>
      <w:r w:rsidRPr="009A7163">
        <w:rPr>
          <w:i/>
          <w:iCs/>
        </w:rPr>
        <w:t xml:space="preserve"> </w:t>
      </w:r>
      <w:r w:rsidRPr="009A7163">
        <w:t>is the Latin American term for hegemonic masculinity – the dominant social position of men and the subordinate social position of women</w:t>
      </w:r>
      <w:r w:rsidRPr="009A7163">
        <w:rPr>
          <w:bCs/>
        </w:rPr>
        <w:t>.</w:t>
      </w:r>
      <w:r w:rsidRPr="009A7163">
        <w:t xml:space="preserve"> In Latin America, machismo figures in the assertion of power and control over women and also men. </w:t>
      </w:r>
      <w:r w:rsidRPr="009A7163">
        <w:rPr>
          <w:bCs/>
        </w:rPr>
        <w:t>The culture of machismo is enforced from birth for boys and girls by their parents, formal education, institutions and society at large. Its roots can be traced back to the 17</w:t>
      </w:r>
      <w:r w:rsidRPr="009A7163">
        <w:rPr>
          <w:bCs/>
          <w:vertAlign w:val="superscript"/>
        </w:rPr>
        <w:t>th</w:t>
      </w:r>
      <w:r w:rsidRPr="009A7163">
        <w:rPr>
          <w:bCs/>
        </w:rPr>
        <w:t xml:space="preserve"> Century with the Spanish Conquest (see Montenegro, 2001).</w:t>
      </w:r>
      <w:r w:rsidRPr="009A7163">
        <w:t xml:space="preserve"> </w:t>
      </w:r>
      <w:r w:rsidRPr="009A7163">
        <w:rPr>
          <w:bCs/>
          <w:iCs/>
        </w:rPr>
        <w:t xml:space="preserve">Machismo can be </w:t>
      </w:r>
      <w:r w:rsidRPr="009A7163">
        <w:rPr>
          <w:bCs/>
          <w:iCs/>
        </w:rPr>
        <w:lastRenderedPageBreak/>
        <w:t>defined as turning the commonplace macho (man) into a ‘system of manliness’ characterised by womanising, gambling, drinking and acts of independence and risk in all arenas (</w:t>
      </w:r>
      <w:r w:rsidR="000451F9" w:rsidRPr="009A7163">
        <w:rPr>
          <w:bCs/>
          <w:iCs/>
        </w:rPr>
        <w:t xml:space="preserve">Lancaster, </w:t>
      </w:r>
      <w:r w:rsidRPr="009A7163">
        <w:rPr>
          <w:bCs/>
          <w:iCs/>
        </w:rPr>
        <w:t>1992, p.</w:t>
      </w:r>
      <w:r w:rsidR="005B3BD8" w:rsidRPr="009A7163">
        <w:rPr>
          <w:bCs/>
          <w:iCs/>
        </w:rPr>
        <w:t xml:space="preserve"> </w:t>
      </w:r>
      <w:r w:rsidRPr="009A7163">
        <w:rPr>
          <w:bCs/>
          <w:iCs/>
        </w:rPr>
        <w:t>92). It is to these norms that men are socially expected to adhere. Failure to comply with these norms entails a threat of devalued manliness (Hagene, 2010, p. 31). Lancaster (1992) further state</w:t>
      </w:r>
      <w:r w:rsidR="005B3BD8" w:rsidRPr="009A7163">
        <w:rPr>
          <w:bCs/>
          <w:iCs/>
        </w:rPr>
        <w:t>s</w:t>
      </w:r>
      <w:r w:rsidRPr="009A7163">
        <w:rPr>
          <w:bCs/>
          <w:iCs/>
        </w:rPr>
        <w:t xml:space="preserve">: </w:t>
      </w:r>
    </w:p>
    <w:p w14:paraId="6D741931" w14:textId="1BE2D556" w:rsidR="006D76AB" w:rsidRPr="009A7163" w:rsidRDefault="006D76AB" w:rsidP="00293176">
      <w:pPr>
        <w:spacing w:after="180"/>
        <w:ind w:left="720"/>
        <w:jc w:val="both"/>
        <w:rPr>
          <w:b/>
        </w:rPr>
      </w:pPr>
      <w:r w:rsidRPr="009A7163">
        <w:rPr>
          <w:bCs/>
          <w:iCs/>
        </w:rPr>
        <w:t>Machismo is not a set of erroneous ideas that somehow got lodged in people’s heads. Rather, it is an organization of societal relations that generates ideas. Machismo, therefore, is more than an “effect” produced by other material relations. It has its materiality, its own power to produce effects. The resilience of machismo as a system has nothing to do with the tendency of ideological systems to “lag’ behind changes in the system of economic production, for machismo is more than a “reflection” of economic practice. It is its own economy.</w:t>
      </w:r>
      <w:r w:rsidR="008D2D4E" w:rsidRPr="009A7163">
        <w:rPr>
          <w:bCs/>
          <w:iCs/>
        </w:rPr>
        <w:t xml:space="preserve"> (p. 236)</w:t>
      </w:r>
    </w:p>
    <w:p w14:paraId="40ADF8AF" w14:textId="41AB079F" w:rsidR="006D76AB" w:rsidRPr="009A7163" w:rsidRDefault="006D76AB" w:rsidP="00293176">
      <w:pPr>
        <w:spacing w:line="360" w:lineRule="auto"/>
        <w:jc w:val="both"/>
      </w:pPr>
      <w:r w:rsidRPr="009A7163">
        <w:t>Montenegro (2001) argue</w:t>
      </w:r>
      <w:r w:rsidR="005B3BD8" w:rsidRPr="009A7163">
        <w:t>s</w:t>
      </w:r>
      <w:r w:rsidRPr="009A7163">
        <w:t xml:space="preserve"> that the family is effective</w:t>
      </w:r>
      <w:r w:rsidR="005B3BD8" w:rsidRPr="009A7163">
        <w:t>ly</w:t>
      </w:r>
      <w:r w:rsidRPr="009A7163">
        <w:t xml:space="preserve"> </w:t>
      </w:r>
      <w:r w:rsidR="005B3BD8" w:rsidRPr="009A7163">
        <w:t xml:space="preserve">providing </w:t>
      </w:r>
      <w:r w:rsidRPr="009A7163">
        <w:t>training in inequality</w:t>
      </w:r>
      <w:r w:rsidR="005B3BD8" w:rsidRPr="009A7163">
        <w:t>, arguing</w:t>
      </w:r>
      <w:r w:rsidRPr="009A7163">
        <w:t xml:space="preserve">: </w:t>
      </w:r>
    </w:p>
    <w:p w14:paraId="6D2A2CFC" w14:textId="329A0EA8" w:rsidR="006D76AB" w:rsidRPr="009A7163" w:rsidRDefault="006D76AB" w:rsidP="00293176">
      <w:pPr>
        <w:spacing w:after="180"/>
        <w:ind w:left="720"/>
        <w:jc w:val="both"/>
      </w:pPr>
      <w:r w:rsidRPr="009A7163">
        <w:t>In the family, boys are compelled to identify with an active-aggressive masculinity and negate everything defined as "feminine," especially feelings. By the age of 5-6, the basis of masculinity has already been established in boys for life. This disdain towards the feminine makes them feel an ambivalence towards women that is later expressed as resentment and aggression. Girls, on the other hand, are compelled to be passive. The family is an energetic and efficient mechanism for creating and transmitting gender inequalities. Since each socioeconomic system creates a particular kind of family, and family structure in turn plays an important role in forming social ideology, the ideology of the Nicaraguan family has a hegemonic place within society as a whole.</w:t>
      </w:r>
    </w:p>
    <w:p w14:paraId="060CB078" w14:textId="1D4F3AFF" w:rsidR="006D76AB" w:rsidRPr="009A7163" w:rsidRDefault="006D76AB" w:rsidP="00293176">
      <w:pPr>
        <w:spacing w:line="360" w:lineRule="auto"/>
        <w:ind w:firstLine="720"/>
        <w:jc w:val="both"/>
      </w:pPr>
      <w:r w:rsidRPr="009A7163">
        <w:t>Montenegro (2001) further explain</w:t>
      </w:r>
      <w:r w:rsidR="00110B3C" w:rsidRPr="009A7163">
        <w:t>s</w:t>
      </w:r>
      <w:r w:rsidRPr="009A7163">
        <w:t>: ‘Both heterosexual and bisexual behaviour in Nicaragua’s sexual system takes place within an active-passive framework, where masculinity is synonymous with an active-dominant personality and femininity with a passive-submissive one’. Nicaraguan men are educated to suppress their emotions. Affection and tenderness are an essential part of femininity and are therefore banned for men (Bolt, 2003), and so ‘by social mandate, all signs of sensitivity, weakness, vulnerability or emotional expressiveness tend to be quickly suppressed or ridiculed</w:t>
      </w:r>
      <w:r w:rsidR="000451F9" w:rsidRPr="009A7163">
        <w:t>’</w:t>
      </w:r>
      <w:r w:rsidRPr="009A7163">
        <w:t xml:space="preserve"> (Montenegro, 2000, p. 79). Montenegro (2001) further state</w:t>
      </w:r>
      <w:r w:rsidR="00110B3C" w:rsidRPr="009A7163">
        <w:t>s</w:t>
      </w:r>
      <w:r w:rsidRPr="009A7163">
        <w:t xml:space="preserve">: </w:t>
      </w:r>
    </w:p>
    <w:p w14:paraId="2FDA94E1" w14:textId="7A2CAD81" w:rsidR="006D76AB" w:rsidRPr="009A7163" w:rsidRDefault="006D76AB" w:rsidP="00293176">
      <w:pPr>
        <w:spacing w:after="180"/>
        <w:ind w:left="720"/>
        <w:jc w:val="both"/>
      </w:pPr>
      <w:r w:rsidRPr="009A7163">
        <w:t>For men, ‘being "masculine" implies repressing all desires and characteristics that society negatively defines as passive or resonant of passive experiences, like the desire to be protected. This repression structures what is called </w:t>
      </w:r>
      <w:r w:rsidRPr="009A7163">
        <w:rPr>
          <w:i/>
          <w:iCs/>
        </w:rPr>
        <w:t>excessive aggressiveness</w:t>
      </w:r>
      <w:r w:rsidRPr="009A7163">
        <w:t>, expressed through the </w:t>
      </w:r>
      <w:r w:rsidRPr="009A7163">
        <w:rPr>
          <w:i/>
          <w:iCs/>
        </w:rPr>
        <w:t>triad of masculine violence</w:t>
      </w:r>
      <w:r w:rsidRPr="009A7163">
        <w:t>: violence against women, violence against other men and violence against oneself. The continual conscious or unconscious blocking and negation of passivity and emotions and all feelings men associate with them</w:t>
      </w:r>
      <w:r w:rsidR="00F24B04" w:rsidRPr="009A7163">
        <w:t xml:space="preserve"> – </w:t>
      </w:r>
      <w:r w:rsidRPr="009A7163">
        <w:t>fear, pain, sadness, shame</w:t>
      </w:r>
      <w:r w:rsidR="00F24B04" w:rsidRPr="009A7163">
        <w:t xml:space="preserve"> </w:t>
      </w:r>
      <w:r w:rsidR="00F24B04" w:rsidRPr="009A7163">
        <w:lastRenderedPageBreak/>
        <w:t xml:space="preserve">– </w:t>
      </w:r>
      <w:r w:rsidRPr="009A7163">
        <w:t>negate a part of themselves and thus become an act of perpetual violence.</w:t>
      </w:r>
      <w:r w:rsidR="00C86808" w:rsidRPr="009A7163">
        <w:t xml:space="preserve"> (author’s emphasis)</w:t>
      </w:r>
    </w:p>
    <w:p w14:paraId="6F8E58CC" w14:textId="75148802" w:rsidR="006D76AB" w:rsidRPr="009A7163" w:rsidRDefault="006D76AB" w:rsidP="00293176">
      <w:pPr>
        <w:spacing w:line="360" w:lineRule="auto"/>
        <w:jc w:val="both"/>
      </w:pPr>
      <w:r w:rsidRPr="009A7163">
        <w:t>The issue of gender</w:t>
      </w:r>
      <w:r w:rsidR="00110B3C" w:rsidRPr="009A7163">
        <w:t>-</w:t>
      </w:r>
      <w:r w:rsidRPr="009A7163">
        <w:t xml:space="preserve">based violence remains extremely common and this is linked to machismo and male identity.  </w:t>
      </w:r>
      <w:r w:rsidR="00110B3C" w:rsidRPr="009A7163">
        <w:t>A</w:t>
      </w:r>
      <w:r w:rsidRPr="009A7163">
        <w:t xml:space="preserve"> recent report by the World Bank (2016)</w:t>
      </w:r>
      <w:r w:rsidR="00110B3C" w:rsidRPr="009A7163">
        <w:t xml:space="preserve"> states</w:t>
      </w:r>
      <w:r w:rsidRPr="009A7163">
        <w:t xml:space="preserve"> that, </w:t>
      </w:r>
    </w:p>
    <w:p w14:paraId="42F17AE0" w14:textId="677DFADA" w:rsidR="006D76AB" w:rsidRPr="009A7163" w:rsidRDefault="006D76AB" w:rsidP="00293176">
      <w:pPr>
        <w:spacing w:after="180"/>
        <w:ind w:left="720"/>
        <w:jc w:val="both"/>
      </w:pPr>
      <w:r w:rsidRPr="009A7163">
        <w:t>…a man’s position of superiority over a female partner can lead him to gain control over many aspects of her life. Since women are viewed as subservient to men, a husband often has power to decide whether his wife can work, study, socialize, participate in the community, or even leave the house. She typically has little opportunity to earn an income or get an education, and has a support system of only a few people. In these circumstances, a woman may become dependent on her husband financially and emotionally. This leaves her particularly vulnerable to domestic violence both because it is justified through the belief that men are free to express that superiority and because women rely on their husbands to live and cannot leave an abusive relationship. (p. 43)</w:t>
      </w:r>
    </w:p>
    <w:p w14:paraId="4503CB73" w14:textId="79E8A4FD" w:rsidR="006D76AB" w:rsidRPr="009A7163" w:rsidRDefault="006D76AB" w:rsidP="00293176">
      <w:pPr>
        <w:spacing w:after="240" w:line="360" w:lineRule="auto"/>
        <w:jc w:val="both"/>
      </w:pPr>
      <w:r w:rsidRPr="009A7163">
        <w:t>Machismo continues to be ever-present in Nicaragua and particularly in rural areas where cultural norms and identities on gender roles are pervasive and gender norms in</w:t>
      </w:r>
      <w:r w:rsidR="00F24B04" w:rsidRPr="009A7163">
        <w:t>t</w:t>
      </w:r>
      <w:r w:rsidRPr="009A7163">
        <w:t>ernali</w:t>
      </w:r>
      <w:r w:rsidR="00F24B04" w:rsidRPr="009A7163">
        <w:t>s</w:t>
      </w:r>
      <w:r w:rsidRPr="009A7163">
        <w:t>ed (</w:t>
      </w:r>
      <w:r w:rsidR="00F24B04" w:rsidRPr="009A7163">
        <w:t>s</w:t>
      </w:r>
      <w:r w:rsidRPr="009A7163">
        <w:t>ee for example</w:t>
      </w:r>
      <w:r w:rsidR="00F24B04" w:rsidRPr="009A7163">
        <w:t>,</w:t>
      </w:r>
      <w:r w:rsidRPr="009A7163">
        <w:t xml:space="preserve"> Gonda, 2017).</w:t>
      </w:r>
    </w:p>
    <w:p w14:paraId="3DA0E015" w14:textId="77777777" w:rsidR="006D76AB" w:rsidRPr="009A7163" w:rsidRDefault="006D76AB" w:rsidP="008C041F">
      <w:pPr>
        <w:pStyle w:val="Heading3"/>
      </w:pPr>
      <w:bookmarkStart w:id="78" w:name="_Toc526819302"/>
      <w:r w:rsidRPr="009A7163">
        <w:t>4.3.2  The Feminine Sense of Self</w:t>
      </w:r>
      <w:bookmarkEnd w:id="78"/>
    </w:p>
    <w:p w14:paraId="5FC14F48" w14:textId="4B167FE4" w:rsidR="006D76AB" w:rsidRPr="009A7163" w:rsidRDefault="006D76AB" w:rsidP="00293176">
      <w:pPr>
        <w:spacing w:line="360" w:lineRule="auto"/>
        <w:ind w:firstLine="720"/>
        <w:jc w:val="both"/>
      </w:pPr>
      <w:r w:rsidRPr="009A7163">
        <w:t>Machismo was given particular currency in Nicaragua by women’s consciousness</w:t>
      </w:r>
      <w:r w:rsidR="00110B3C" w:rsidRPr="009A7163">
        <w:t>-</w:t>
      </w:r>
      <w:r w:rsidRPr="009A7163">
        <w:t xml:space="preserve">raising groups and by the Sandinista government during the Revolution in discussions on gender relations and equality. This dialogue led to initiatives promoted by Nicaraguan organizations to challenge men’s patriarchal attitudes (Welsh, 2011, p. 208). At this time two feminist </w:t>
      </w:r>
      <w:r w:rsidR="00434705" w:rsidRPr="009A7163">
        <w:t>nongovernment organizations (NGOs)</w:t>
      </w:r>
      <w:r w:rsidRPr="009A7163">
        <w:t>, CANTERA</w:t>
      </w:r>
      <w:r w:rsidRPr="009A7163">
        <w:rPr>
          <w:rStyle w:val="FootnoteReference"/>
        </w:rPr>
        <w:footnoteReference w:id="70"/>
      </w:r>
      <w:r w:rsidRPr="009A7163">
        <w:t xml:space="preserve"> and Puntos de Encuentro</w:t>
      </w:r>
      <w:r w:rsidR="00110B3C" w:rsidRPr="009A7163">
        <w:t>,</w:t>
      </w:r>
      <w:r w:rsidRPr="009A7163">
        <w:rPr>
          <w:rStyle w:val="FootnoteReference"/>
        </w:rPr>
        <w:footnoteReference w:id="71"/>
      </w:r>
      <w:r w:rsidRPr="009A7163">
        <w:t xml:space="preserve"> began to develop innovative programmes around ‘masculinities’ aimed at challenging and changing men’s patriarchal attitudes, values and behaviour. Their primary motivation for doing so was in response to the need expressed by women engaged in processes of personal and collective empowerment at a grassroots level to ‘do something with the men’, recogni</w:t>
      </w:r>
      <w:r w:rsidR="00110B3C" w:rsidRPr="009A7163">
        <w:t>s</w:t>
      </w:r>
      <w:r w:rsidRPr="009A7163">
        <w:t>ing that if men did not also change, their own processes of transformation and personal growth would be severely limited (Walsh, 2011, p. 208). Lancaster (1993) state</w:t>
      </w:r>
      <w:r w:rsidR="00110B3C" w:rsidRPr="009A7163">
        <w:t>s</w:t>
      </w:r>
      <w:r w:rsidRPr="009A7163">
        <w:t>, however and interestingly, that no corresponding term was deployed in Nicaragua to describe tradition notions of femininity</w:t>
      </w:r>
      <w:r w:rsidR="00110B3C" w:rsidRPr="009A7163">
        <w:t xml:space="preserve"> (p. 92)</w:t>
      </w:r>
      <w:r w:rsidRPr="009A7163">
        <w:t>. Lancaster (1993) argue</w:t>
      </w:r>
      <w:r w:rsidR="00110B3C" w:rsidRPr="009A7163">
        <w:t>s</w:t>
      </w:r>
      <w:r w:rsidRPr="009A7163">
        <w:t xml:space="preserve"> that the ideal women is not based on what is termed ‘marianismo’ in social science literature (see Stevens, </w:t>
      </w:r>
      <w:r w:rsidRPr="009A7163">
        <w:lastRenderedPageBreak/>
        <w:t>1973), which draws on the ‘Virgin Mary’ and ‘marianismo’ as the appropriate womanhood. Instead, he argue</w:t>
      </w:r>
      <w:r w:rsidR="00110B3C" w:rsidRPr="009A7163">
        <w:t>s</w:t>
      </w:r>
      <w:r w:rsidRPr="009A7163">
        <w:t xml:space="preserve"> that:</w:t>
      </w:r>
    </w:p>
    <w:p w14:paraId="160B6C34" w14:textId="77777777" w:rsidR="006D76AB" w:rsidRPr="009A7163" w:rsidRDefault="006D76AB" w:rsidP="00293176">
      <w:pPr>
        <w:spacing w:after="180"/>
        <w:ind w:left="720"/>
        <w:jc w:val="both"/>
      </w:pPr>
      <w:r w:rsidRPr="009A7163">
        <w:t>The traditional ideal of femininity is not simple “passivity” – working-class Nicaraguan women were never expected to be shrinking violets – but rather an ideal of motherhood. Traditional feminine practice, then is conceived as a different mode of doing than male practice: feminine action emphasises planning over risk, self-abnegation over self-promotion, domesticity over worldliness, action in and through networks rather than interpersonal competition. The leitmotifs of the feminine ideal might be summarized as caring, nurturing, and self-sacrifice, which is to say, a form on acting on behalf of others. (Lancaster, 1993, p. 93)</w:t>
      </w:r>
    </w:p>
    <w:p w14:paraId="4F42C1B5" w14:textId="296F7CC4" w:rsidR="006D76AB" w:rsidRPr="009A7163" w:rsidRDefault="006D76AB" w:rsidP="00293176">
      <w:pPr>
        <w:spacing w:after="240" w:line="360" w:lineRule="auto"/>
        <w:jc w:val="both"/>
      </w:pPr>
      <w:r w:rsidRPr="009A7163">
        <w:t xml:space="preserve">Femininity is highly valued through motherhood, </w:t>
      </w:r>
      <w:r w:rsidR="00110B3C" w:rsidRPr="009A7163">
        <w:t>the</w:t>
      </w:r>
      <w:r w:rsidRPr="009A7163">
        <w:t xml:space="preserve"> main function </w:t>
      </w:r>
      <w:r w:rsidR="00110B3C" w:rsidRPr="009A7163">
        <w:t xml:space="preserve">of which </w:t>
      </w:r>
      <w:r w:rsidRPr="009A7163">
        <w:t xml:space="preserve">for Nicaraguan men is the emotional, physical and sexual satisfaction of their need to demonstrate their virility, while for Nicaraguan women it is what gives them their </w:t>
      </w:r>
      <w:r w:rsidRPr="009A7163">
        <w:rPr>
          <w:i/>
        </w:rPr>
        <w:t>raison d’être</w:t>
      </w:r>
      <w:r w:rsidRPr="009A7163">
        <w:t xml:space="preserve"> (Hagene, 2008, cited in Flores, 2016, p. 47). Marriage or couple relationships start at an early age, particularly for women. However, Cupples (2004) argue</w:t>
      </w:r>
      <w:r w:rsidR="00110B3C" w:rsidRPr="009A7163">
        <w:t>s</w:t>
      </w:r>
      <w:r w:rsidRPr="009A7163">
        <w:t xml:space="preserve"> that the identity of motherhood is still predominant in Nicaragua through ‘notions which suggest that mothers should not work outside the home and that “good” mothers should stay home to care for their children can be identified in popular and official discourse and can to a degree be considered to be hegemonic’ (p. 312). However, ‘an examination of women's working lives reveals that most Nicaraguan women diverge significantly from dominant discourses in terms of their attitudes and everyday practices and work is a site in which motherhood can be significantly renegotiated’ (ibid</w:t>
      </w:r>
      <w:r w:rsidR="00C86808" w:rsidRPr="009A7163">
        <w:t>, p. 312</w:t>
      </w:r>
      <w:r w:rsidRPr="009A7163">
        <w:t>). The persistence, divergences and renegotiations of gender identities will be touched upon briefly in the next sections.</w:t>
      </w:r>
    </w:p>
    <w:p w14:paraId="4F0E2D25" w14:textId="3512220D" w:rsidR="006D76AB" w:rsidRPr="009A7163" w:rsidRDefault="006D76AB" w:rsidP="008C041F">
      <w:pPr>
        <w:pStyle w:val="Heading2"/>
      </w:pPr>
      <w:bookmarkStart w:id="79" w:name="_Toc526819303"/>
      <w:r w:rsidRPr="009A7163">
        <w:t>4.4  Family, Gender and Revolution</w:t>
      </w:r>
      <w:bookmarkEnd w:id="79"/>
    </w:p>
    <w:p w14:paraId="6DE6CFF6" w14:textId="7E794E0F" w:rsidR="006D76AB" w:rsidRPr="009A7163" w:rsidRDefault="006D76AB" w:rsidP="00293176">
      <w:pPr>
        <w:spacing w:line="360" w:lineRule="auto"/>
        <w:ind w:firstLine="720"/>
        <w:jc w:val="both"/>
      </w:pPr>
      <w:r w:rsidRPr="009A7163">
        <w:t>As discussed in the last section, Nicaragua society has a long history of machismo and the traditional family structure is patriarchal. As such, women and children suffer the brunt of economic inequalities. However, despite the constraints of machismo, there has been a long history of women’s political struggle up to the Revolution (1979-1990). The Sandinista Revolution of 1979, which overthrew the 44 year Somoza family dictatorship, led to a massive expansion in women’s rights (Chinchilla, 1990). Women of all ages embraced the revolutionary cause in its different stages. Young women participated at all military levels in the guerrilla movement fighting the National Guard (Randall, 1981). By the close of the guerrilla period, women constituted some 30% of the FLSN combatants (Molyneux, 1985, p. 227)</w:t>
      </w:r>
      <w:r w:rsidR="00FD2174" w:rsidRPr="009A7163">
        <w:t>,</w:t>
      </w:r>
      <w:r w:rsidRPr="009A7163">
        <w:t xml:space="preserve"> and </w:t>
      </w:r>
      <w:r w:rsidRPr="009A7163">
        <w:lastRenderedPageBreak/>
        <w:t>‘although these women were still a decided minority in the political leadership of the Revolution, women constituted a quarter of party membership in the FSLN, were prominent members of the Frente Sandinista, and held nearly third of government posts</w:t>
      </w:r>
      <w:r w:rsidR="00FD2174" w:rsidRPr="009A7163">
        <w:t>’</w:t>
      </w:r>
      <w:r w:rsidRPr="009A7163">
        <w:t xml:space="preserve"> (Dirección Nacional, FSLN, 1989, p. 25 cited in Lancaster, 1992, p. 17). Women also became actively involved in the Revolution through participation in social campaigns organ</w:t>
      </w:r>
      <w:r w:rsidR="00C95A06" w:rsidRPr="009A7163">
        <w:t>ise</w:t>
      </w:r>
      <w:r w:rsidRPr="009A7163">
        <w:t xml:space="preserve">d by the Revolutionary government. According to some estimates, women made up the majority of the participants in the early literacy (60%) and health care (75%) campaigns (Collinson, 1990, p. 97 and p. 124). </w:t>
      </w:r>
    </w:p>
    <w:p w14:paraId="4AC5034F" w14:textId="44719ECD" w:rsidR="006D76AB" w:rsidRPr="009A7163" w:rsidRDefault="006D76AB" w:rsidP="00293176">
      <w:pPr>
        <w:spacing w:line="360" w:lineRule="auto"/>
        <w:ind w:firstLine="720"/>
        <w:jc w:val="both"/>
      </w:pPr>
      <w:r w:rsidRPr="009A7163">
        <w:t>In the 1977, the Association of Women Confronting the National Problem (Asociación de Mujeres ante la Problemática Nacional, or AMPRONAC) organ</w:t>
      </w:r>
      <w:r w:rsidR="00C95A06" w:rsidRPr="009A7163">
        <w:t>ise</w:t>
      </w:r>
      <w:r w:rsidRPr="009A7163">
        <w:t>d as a specifically feminist voice in the revolutionary struggles (AMNLAE, 1983). Renamed the Association of Nicaraguan Women ‘Luisa Amanda Espinoza’ (Asociación de Mujeres Nicaragüenses ‘Luisa Amanda Espinoza’, or AMNLAE) after the Sandinista triumph in 1979, the organi</w:t>
      </w:r>
      <w:r w:rsidR="00CE509F" w:rsidRPr="009A7163">
        <w:t>s</w:t>
      </w:r>
      <w:r w:rsidRPr="009A7163">
        <w:t>ation steered its feminist and Sandinista course under the slogan: ‘No revolution without women’s emancipation; no emancipation without revolution’ (Lancaster, 1992, p. 16). Urban and rural women at the grassroots level also took part in AMNLAE, which had a membership of 25,000 members and worked to increase the political consciousness of women’s role in society and fight for women’s rights. This mass organization was an ally of the governing FSLN, a male-dominated political party and driver of the Revolution. AMNLAE founded women’s centres (‘</w:t>
      </w:r>
      <w:r w:rsidRPr="009A7163">
        <w:rPr>
          <w:i/>
          <w:iCs/>
        </w:rPr>
        <w:t>Casas de la Mujer</w:t>
      </w:r>
      <w:r w:rsidRPr="009A7163">
        <w:t xml:space="preserve">’) throughout the country to focus on sexual and reproductive health, legal advice and psychological counselling to deal with problems with men, particularly domestic violence. They worked more on women’s problems in the social sphere than in the economic sphere. </w:t>
      </w:r>
    </w:p>
    <w:p w14:paraId="031CB9C1" w14:textId="676151EF" w:rsidR="006D76AB" w:rsidRPr="009A7163" w:rsidRDefault="006D76AB" w:rsidP="00293176">
      <w:pPr>
        <w:spacing w:line="360" w:lineRule="auto"/>
        <w:ind w:firstLine="720"/>
        <w:jc w:val="both"/>
      </w:pPr>
      <w:r w:rsidRPr="009A7163">
        <w:t xml:space="preserve">Other initiatives were also directed towards women. The Women’s Secretariat of the </w:t>
      </w:r>
      <w:r w:rsidR="00CE509F" w:rsidRPr="009A7163">
        <w:t xml:space="preserve">Rural Workers Association (Asociación de Trabajadores del Campo, or ATC) </w:t>
      </w:r>
      <w:r w:rsidRPr="009A7163">
        <w:t>offered training for women in non-traditional jobs like auto mechanics and masonry and new laws relaxed Somoza-era definitions of family and absolute paternal power (</w:t>
      </w:r>
      <w:r w:rsidRPr="009A7163">
        <w:rPr>
          <w:i/>
        </w:rPr>
        <w:t>patria potestad</w:t>
      </w:r>
      <w:r w:rsidRPr="009A7163">
        <w:t xml:space="preserve">) (Hasse, </w:t>
      </w:r>
      <w:r w:rsidR="00CE509F" w:rsidRPr="009A7163">
        <w:t xml:space="preserve">2011, </w:t>
      </w:r>
      <w:r w:rsidRPr="009A7163">
        <w:t xml:space="preserve">p. 224). Women also worked in the production of non-traditional export products such as ginger, garlic, peanuts, castor seed, mangoes, melons, peanuts and sesame seed as a result of actions taken by the Revolutionary Sandinista government to stimulate this productive sector, and by 1983 these products accounted for 10% of total value of exports (Walker et al., 2017, p. 122). </w:t>
      </w:r>
    </w:p>
    <w:p w14:paraId="000EE29B" w14:textId="1C231598" w:rsidR="006D76AB" w:rsidRPr="009A7163" w:rsidRDefault="006D76AB" w:rsidP="00293176">
      <w:pPr>
        <w:spacing w:line="360" w:lineRule="auto"/>
        <w:ind w:firstLine="720"/>
        <w:jc w:val="both"/>
      </w:pPr>
      <w:r w:rsidRPr="009A7163">
        <w:lastRenderedPageBreak/>
        <w:t>The Sandinista Revolution unleashed a massive movement in the field of personal politics (Kampwir</w:t>
      </w:r>
      <w:r w:rsidR="00815510" w:rsidRPr="009A7163">
        <w:t>th,</w:t>
      </w:r>
      <w:r w:rsidRPr="009A7163">
        <w:t xml:space="preserve"> 1998), endeavouring to replace classic patriarchal legislation with one built on less asymmetric relationships between the genders. Laws on more egalitarian authority in the family, child support and divorce were passed (Hagene, 2010, p. 29). AMNLAE achieved a number of legal and social successes early in the Revolution (Lancaster, 1992, p. 16). Some of these new rights included equal salaries, pre- and post-natal benefits, equal custody rights, alimony and the decriminalization of abortion (Molyneux, 1985). New laws were passed to promote greater gender equality, such as a provisional media law that prohibited commercial exploitation of women’s bodies or degrading depictions of women in the media and another law</w:t>
      </w:r>
      <w:r w:rsidR="00A44B1F" w:rsidRPr="009A7163">
        <w:t>,</w:t>
      </w:r>
      <w:r w:rsidRPr="009A7163">
        <w:t xml:space="preserve"> ‘</w:t>
      </w:r>
      <w:r w:rsidR="00A44B1F" w:rsidRPr="009A7163">
        <w:t>T</w:t>
      </w:r>
      <w:r w:rsidRPr="009A7163">
        <w:t>he Fundamental Statute of Rights and Guarantees’</w:t>
      </w:r>
      <w:r w:rsidR="00A44B1F" w:rsidRPr="009A7163">
        <w:t>,</w:t>
      </w:r>
      <w:r w:rsidRPr="009A7163">
        <w:t xml:space="preserve"> </w:t>
      </w:r>
      <w:r w:rsidR="00A44B1F" w:rsidRPr="009A7163">
        <w:t xml:space="preserve">which was </w:t>
      </w:r>
      <w:r w:rsidRPr="009A7163">
        <w:t xml:space="preserve">later included in the 1987 </w:t>
      </w:r>
      <w:r w:rsidR="00A44B1F" w:rsidRPr="009A7163">
        <w:t>C</w:t>
      </w:r>
      <w:r w:rsidRPr="009A7163">
        <w:t>onstitution</w:t>
      </w:r>
      <w:r w:rsidR="00A44B1F" w:rsidRPr="009A7163">
        <w:t>,</w:t>
      </w:r>
      <w:r w:rsidRPr="009A7163">
        <w:t xml:space="preserve"> that declared legal equality for women, outlawed sex</w:t>
      </w:r>
      <w:r w:rsidR="00815510" w:rsidRPr="009A7163">
        <w:t>ual</w:t>
      </w:r>
      <w:r w:rsidRPr="009A7163">
        <w:t xml:space="preserve"> discrimination and created procedures for proving paternity. A law was also established in 1980 to promote breastfeeding and ban media adverts on powered milk (Lancaster, 1992, p. 17). New family legislation took as its goal the revitalisation and reformulation of the family as an institution not of machismo and patriarchy but of equality, responsibility and reciprocity (</w:t>
      </w:r>
      <w:r w:rsidR="002064B0" w:rsidRPr="009A7163">
        <w:t xml:space="preserve">Lancaster, </w:t>
      </w:r>
      <w:r w:rsidRPr="009A7163">
        <w:t>1992, p.</w:t>
      </w:r>
      <w:r w:rsidR="002064B0" w:rsidRPr="009A7163">
        <w:t xml:space="preserve"> </w:t>
      </w:r>
      <w:r w:rsidRPr="009A7163">
        <w:t>17) Nicaragua’s 1904 Family Code had enshrined patriarchal and classist principles as law</w:t>
      </w:r>
      <w:r w:rsidR="002064B0" w:rsidRPr="009A7163">
        <w:t>,</w:t>
      </w:r>
      <w:r w:rsidRPr="009A7163">
        <w:t xml:space="preserve"> whereby the father or husband was the family’s absolute authority. However, in 1981 the new law revised definitions of the family and the relations between mothers, fathers and children</w:t>
      </w:r>
      <w:r w:rsidR="002064B0" w:rsidRPr="009A7163">
        <w:t>;</w:t>
      </w:r>
      <w:r w:rsidRPr="009A7163">
        <w:t xml:space="preserve"> the father was no longer defined as ‘head of the household’ and both parents had equal rights over their children (Lancaster,</w:t>
      </w:r>
      <w:r w:rsidR="00F24B04" w:rsidRPr="009A7163">
        <w:t xml:space="preserve"> </w:t>
      </w:r>
      <w:r w:rsidR="000860D2" w:rsidRPr="009A7163">
        <w:t>1992</w:t>
      </w:r>
      <w:r w:rsidRPr="009A7163">
        <w:t>, p.</w:t>
      </w:r>
      <w:r w:rsidR="00F24B04" w:rsidRPr="009A7163">
        <w:t xml:space="preserve"> </w:t>
      </w:r>
      <w:r w:rsidRPr="009A7163">
        <w:t>18).</w:t>
      </w:r>
    </w:p>
    <w:p w14:paraId="5617FE58" w14:textId="12165055" w:rsidR="006D76AB" w:rsidRPr="009A7163" w:rsidRDefault="006D76AB" w:rsidP="00293176">
      <w:pPr>
        <w:spacing w:line="360" w:lineRule="auto"/>
        <w:ind w:firstLine="720"/>
        <w:jc w:val="both"/>
      </w:pPr>
      <w:r w:rsidRPr="009A7163">
        <w:t>Despite this period being one in which women’s rights were recogn</w:t>
      </w:r>
      <w:r w:rsidR="00C95A06" w:rsidRPr="009A7163">
        <w:t>ise</w:t>
      </w:r>
      <w:r w:rsidRPr="009A7163">
        <w:t xml:space="preserve">d, even the high level of women’s participation was not consistent enough to transform inequitable gender relations. Moreover, it was a process of contradictory outcomes for women in the approach to gender equality. Some women questioned the relationship between AMNLAE and the revolutionary leaders (men) in government and the governing party because they subordinated women’s interests to what they considered greater priorities (Criquillon, 1995). </w:t>
      </w:r>
      <w:r w:rsidR="00F24B04" w:rsidRPr="009A7163">
        <w:t>L</w:t>
      </w:r>
      <w:r w:rsidRPr="009A7163">
        <w:t xml:space="preserve">andless rural women received less attention in the land reform than landless men. Deere and León </w:t>
      </w:r>
      <w:r w:rsidR="002064B0" w:rsidRPr="009A7163">
        <w:t xml:space="preserve">(1998) </w:t>
      </w:r>
      <w:r w:rsidRPr="009A7163">
        <w:t>state that</w:t>
      </w:r>
      <w:r w:rsidR="002064B0" w:rsidRPr="009A7163">
        <w:t>,</w:t>
      </w:r>
      <w:r w:rsidRPr="009A7163">
        <w:t xml:space="preserve"> ‘During the period of 1981-1990, women benefitting from the agrarian reform accounted for a mere 8% at individual level and 11% in collective land’ (</w:t>
      </w:r>
      <w:r w:rsidR="002064B0" w:rsidRPr="009A7163">
        <w:t>as</w:t>
      </w:r>
      <w:r w:rsidRPr="009A7163">
        <w:t xml:space="preserve"> cited in Flores et al</w:t>
      </w:r>
      <w:r w:rsidR="00F24B04" w:rsidRPr="009A7163">
        <w:t>.</w:t>
      </w:r>
      <w:r w:rsidRPr="009A7163">
        <w:t>, 2014, p.</w:t>
      </w:r>
      <w:r w:rsidR="00F24B04" w:rsidRPr="009A7163">
        <w:t xml:space="preserve"> </w:t>
      </w:r>
      <w:r w:rsidRPr="009A7163">
        <w:t xml:space="preserve">13). The reason they benefitted so much less than men in what should have been equal titling is </w:t>
      </w:r>
      <w:r w:rsidRPr="009A7163">
        <w:lastRenderedPageBreak/>
        <w:t>that men tended to use the same titling system to get other male family members (often a son or brother) on the title instead of their wife (Lastarria, 2011).</w:t>
      </w:r>
      <w:r w:rsidRPr="009A7163">
        <w:rPr>
          <w:rStyle w:val="FootnoteReference"/>
        </w:rPr>
        <w:footnoteReference w:id="72"/>
      </w:r>
    </w:p>
    <w:p w14:paraId="718562FB" w14:textId="62E01E43" w:rsidR="006D76AB" w:rsidRPr="009A7163" w:rsidRDefault="006D76AB" w:rsidP="00293176">
      <w:pPr>
        <w:spacing w:line="360" w:lineRule="auto"/>
        <w:ind w:firstLine="720"/>
        <w:jc w:val="both"/>
      </w:pPr>
      <w:r w:rsidRPr="009A7163">
        <w:t xml:space="preserve">On the other hand, the Sandinista government enacted laws to ban ‘sexism in advertising, commercial sex, ended the category of illegitimacy, and established father’s responsibility for the well-being of their children’ (Babb, 2003, p. 305). Nonetheless, while it challenged conservative ideas and beliefs based on gender stereotypes and opened up opportunities to make structural changes in society, social differences based on gender norms and even social class were not overturned (Molyneux, 1985). The US government’s external aggression converged with the internal peasant rebellion against the revolution’s political and economic changes to make this historical period of </w:t>
      </w:r>
      <w:r w:rsidR="002064B0" w:rsidRPr="009A7163">
        <w:t>‘</w:t>
      </w:r>
      <w:r w:rsidRPr="009A7163">
        <w:t>enormous hope</w:t>
      </w:r>
      <w:r w:rsidR="002064B0" w:rsidRPr="009A7163">
        <w:t>’</w:t>
      </w:r>
      <w:r w:rsidRPr="009A7163">
        <w:t xml:space="preserve"> also one of enormous </w:t>
      </w:r>
      <w:r w:rsidR="002064B0" w:rsidRPr="009A7163">
        <w:t>‘</w:t>
      </w:r>
      <w:r w:rsidRPr="009A7163">
        <w:t>disappointments</w:t>
      </w:r>
      <w:r w:rsidR="002064B0" w:rsidRPr="009A7163">
        <w:t>’</w:t>
      </w:r>
      <w:r w:rsidRPr="009A7163">
        <w:t xml:space="preserve"> in the desired structural change (Babb, 1996, p</w:t>
      </w:r>
      <w:r w:rsidR="00F24B04" w:rsidRPr="009A7163">
        <w:t>.</w:t>
      </w:r>
      <w:r w:rsidRPr="009A7163">
        <w:t xml:space="preserve"> 30). In 1987, after participating in a Feminist Congress in Mexico, a group of Nicaraguan women founded the political Party of the Erotic Left to promote gender equality in the context of the discussion for a new Constitution. It was the same group that in 1990 would create the autonomous women’s movement. </w:t>
      </w:r>
    </w:p>
    <w:p w14:paraId="25333178" w14:textId="69F6D15B" w:rsidR="006D76AB" w:rsidRPr="009A7163" w:rsidRDefault="006D76AB" w:rsidP="00293176">
      <w:pPr>
        <w:spacing w:line="360" w:lineRule="auto"/>
        <w:ind w:firstLine="720"/>
        <w:jc w:val="both"/>
      </w:pPr>
      <w:r w:rsidRPr="009A7163">
        <w:t>Molyneux (1985) reflect</w:t>
      </w:r>
      <w:r w:rsidR="004113C1" w:rsidRPr="009A7163">
        <w:t>s</w:t>
      </w:r>
      <w:r w:rsidRPr="009A7163">
        <w:t xml:space="preserve"> that ‘if the Revolution did not demand the dissolution of the women’s identities, it did require the subordination of their specific interests to the broader goals of overthrowing Somoza and establishing a new social order’ (p. 229). Molyneux (1985) cite</w:t>
      </w:r>
      <w:r w:rsidR="002064B0" w:rsidRPr="009A7163">
        <w:t>s</w:t>
      </w:r>
      <w:r w:rsidRPr="009A7163">
        <w:t xml:space="preserve"> three reasons for this overall failing of women’s emancipation during the Revolution. One of these was the criticism of the patriarchal governance system and the perception of Sandinista leadership as treating women as mothers and supporters rather than leaders, which ultimately reinforced gender roles and essential</w:t>
      </w:r>
      <w:r w:rsidR="00C95A06" w:rsidRPr="009A7163">
        <w:t>ise</w:t>
      </w:r>
      <w:r w:rsidRPr="009A7163">
        <w:t>d women (Bayardo de Volo, 2001; Haase, 2011; Kampwirth, 1998; Mulinari, 1996). This was complicated by strong opposition from the Catholic Church on a number of issues such as contraception and abortion, which led to the F</w:t>
      </w:r>
      <w:r w:rsidR="004113C1" w:rsidRPr="009A7163">
        <w:t>SL</w:t>
      </w:r>
      <w:r w:rsidRPr="009A7163">
        <w:t xml:space="preserve">N toning down their argument in order not to lose their base of supporters (Babb, 1997; Molyneux, 1985). This </w:t>
      </w:r>
      <w:r w:rsidR="00F24B04" w:rsidRPr="009A7163">
        <w:t xml:space="preserve">was </w:t>
      </w:r>
      <w:r w:rsidRPr="009A7163">
        <w:t>especially true regarding issues of inequality in the home (Weber, 2002). One important example of this was that grassroots committees drafted laws requiring men to do chores at home, but the government never ratified these draft laws, asserting that the time was not right (Kampwirth, 1998; Molyneux, 1985). Disney (2004) argue</w:t>
      </w:r>
      <w:r w:rsidR="002064B0" w:rsidRPr="009A7163">
        <w:t>s</w:t>
      </w:r>
      <w:r w:rsidRPr="009A7163">
        <w:t xml:space="preserve"> that this left the ‘sexual division of labour “half-challenged”, thus </w:t>
      </w:r>
      <w:r w:rsidRPr="009A7163">
        <w:lastRenderedPageBreak/>
        <w:t>perpetuating gendered participation in production and reproduction in a way that made things worse’ (p. 8). Haase (2011) further state</w:t>
      </w:r>
      <w:r w:rsidR="002064B0" w:rsidRPr="009A7163">
        <w:t>s</w:t>
      </w:r>
      <w:r w:rsidRPr="009A7163">
        <w:t xml:space="preserve"> that </w:t>
      </w:r>
      <w:r w:rsidR="006B348C" w:rsidRPr="009A7163">
        <w:t>‘</w:t>
      </w:r>
      <w:r w:rsidRPr="009A7163">
        <w:t>the FSLN encouraged women to work outside of the home</w:t>
      </w:r>
      <w:r w:rsidR="004113C1" w:rsidRPr="009A7163">
        <w:t>,</w:t>
      </w:r>
      <w:r w:rsidRPr="009A7163">
        <w:t xml:space="preserve"> but nothing was done to relieve their domestic workload whilst the government glorified traditional gender values</w:t>
      </w:r>
      <w:r w:rsidR="00363A0F" w:rsidRPr="009A7163">
        <w:t xml:space="preserve"> </w:t>
      </w:r>
      <w:r w:rsidRPr="009A7163">
        <w:t>and promoted essentialism and static gender opposites</w:t>
      </w:r>
      <w:r w:rsidR="006B348C" w:rsidRPr="009A7163">
        <w:t>’</w:t>
      </w:r>
      <w:r w:rsidRPr="009A7163">
        <w:t xml:space="preserve"> (Hasse, 2011</w:t>
      </w:r>
      <w:r w:rsidR="00363A0F" w:rsidRPr="009A7163">
        <w:t>, p.</w:t>
      </w:r>
      <w:r w:rsidR="0035268B" w:rsidRPr="009A7163">
        <w:t xml:space="preserve"> </w:t>
      </w:r>
      <w:r w:rsidR="00363A0F" w:rsidRPr="009A7163">
        <w:t>225</w:t>
      </w:r>
      <w:r w:rsidRPr="009A7163">
        <w:t xml:space="preserve">), portraying </w:t>
      </w:r>
      <w:r w:rsidR="00363A0F" w:rsidRPr="009A7163">
        <w:t>‘</w:t>
      </w:r>
      <w:r w:rsidRPr="009A7163">
        <w:t>women as inherently more empathetic and nurturing – and thus more domestic</w:t>
      </w:r>
      <w:r w:rsidR="00363A0F" w:rsidRPr="009A7163">
        <w:t>’</w:t>
      </w:r>
      <w:r w:rsidRPr="009A7163">
        <w:t xml:space="preserve"> (Bayard de Volo, 2011, p.</w:t>
      </w:r>
      <w:r w:rsidR="0035268B" w:rsidRPr="009A7163">
        <w:t xml:space="preserve"> </w:t>
      </w:r>
      <w:r w:rsidRPr="009A7163">
        <w:t>14). So despite women’s increased political participation and the new laws at their disposal, one of their principal aims was never established</w:t>
      </w:r>
      <w:r w:rsidR="002064B0" w:rsidRPr="009A7163">
        <w:t>, and this was</w:t>
      </w:r>
      <w:r w:rsidRPr="009A7163">
        <w:t xml:space="preserve"> a more stable life (Lancaster, 1992, p. 19).</w:t>
      </w:r>
    </w:p>
    <w:p w14:paraId="37FD8CDB" w14:textId="04335071" w:rsidR="006D76AB" w:rsidRPr="009A7163" w:rsidRDefault="006D76AB" w:rsidP="00293176">
      <w:pPr>
        <w:spacing w:line="360" w:lineRule="auto"/>
        <w:ind w:firstLine="720"/>
        <w:jc w:val="both"/>
      </w:pPr>
      <w:r w:rsidRPr="009A7163">
        <w:t>The 1980s were character</w:t>
      </w:r>
      <w:r w:rsidR="00C95A06" w:rsidRPr="009A7163">
        <w:t>ise</w:t>
      </w:r>
      <w:r w:rsidRPr="009A7163">
        <w:t xml:space="preserve">d by a </w:t>
      </w:r>
      <w:r w:rsidR="002064B0" w:rsidRPr="009A7163">
        <w:t>‘</w:t>
      </w:r>
      <w:r w:rsidRPr="009A7163">
        <w:t>feminization</w:t>
      </w:r>
      <w:r w:rsidR="002064B0" w:rsidRPr="009A7163">
        <w:t>’</w:t>
      </w:r>
      <w:r w:rsidRPr="009A7163">
        <w:t xml:space="preserve"> of the Nicaraguan workforce (Walker et al., 2017). This phenomenon had its roots in the 1970s, yet changed dramatically over the next decade. Luciak (1995) argue</w:t>
      </w:r>
      <w:r w:rsidR="002064B0" w:rsidRPr="009A7163">
        <w:t>s</w:t>
      </w:r>
      <w:r w:rsidRPr="009A7163">
        <w:t xml:space="preserve"> that initially it reflected the difficult living conditions that forced women to join the workforce in order to support their families. </w:t>
      </w:r>
      <w:r w:rsidR="00506BA1" w:rsidRPr="009A7163">
        <w:t>As Luciak (1995) reports, ‘</w:t>
      </w:r>
      <w:r w:rsidRPr="009A7163">
        <w:t>Between 1950 and 1980, the number of economically active grew from 50,000</w:t>
      </w:r>
      <w:r w:rsidR="00506BA1" w:rsidRPr="009A7163">
        <w:t xml:space="preserve"> to </w:t>
      </w:r>
      <w:r w:rsidRPr="009A7163">
        <w:t>178,000</w:t>
      </w:r>
      <w:r w:rsidR="00506BA1" w:rsidRPr="009A7163">
        <w:t>.</w:t>
      </w:r>
      <w:r w:rsidRPr="009A7163">
        <w:t xml:space="preserve"> Female participation in the Nicaraguan labour force increased from 29</w:t>
      </w:r>
      <w:r w:rsidR="00506BA1" w:rsidRPr="009A7163">
        <w:t xml:space="preserve"> percent</w:t>
      </w:r>
      <w:r w:rsidRPr="009A7163">
        <w:t xml:space="preserve"> in 1977 to 42</w:t>
      </w:r>
      <w:r w:rsidR="00506BA1" w:rsidRPr="009A7163">
        <w:t xml:space="preserve"> percent</w:t>
      </w:r>
      <w:r w:rsidRPr="009A7163">
        <w:t xml:space="preserve"> in 1983</w:t>
      </w:r>
      <w:r w:rsidR="00506BA1" w:rsidRPr="009A7163">
        <w:t>’</w:t>
      </w:r>
      <w:r w:rsidR="00080EC8" w:rsidRPr="009A7163">
        <w:t xml:space="preserve"> (</w:t>
      </w:r>
      <w:r w:rsidR="00213948" w:rsidRPr="009A7163">
        <w:t>p</w:t>
      </w:r>
      <w:r w:rsidR="00080EC8" w:rsidRPr="009A7163">
        <w:t>.</w:t>
      </w:r>
      <w:r w:rsidR="00213948" w:rsidRPr="009A7163">
        <w:t xml:space="preserve"> </w:t>
      </w:r>
      <w:r w:rsidR="00080EC8" w:rsidRPr="009A7163">
        <w:t>16</w:t>
      </w:r>
      <w:r w:rsidR="00506BA1" w:rsidRPr="009A7163">
        <w:t>6</w:t>
      </w:r>
      <w:r w:rsidR="00080EC8" w:rsidRPr="009A7163">
        <w:t>).</w:t>
      </w:r>
      <w:r w:rsidRPr="009A7163">
        <w:t xml:space="preserve"> This trend was more pronounced when women labourers were sought after as men were deployed for military or counter revolutionary efforts. However, it was a decade that marked Nicaraguan history and the life of many women. Many structural changes were introduced over the decade (e.g., land reform</w:t>
      </w:r>
      <w:r w:rsidR="004113C1" w:rsidRPr="009A7163">
        <w:t xml:space="preserve"> and the</w:t>
      </w:r>
      <w:r w:rsidRPr="009A7163">
        <w:t xml:space="preserve"> nationalization of cattle ranches, coffee, cotton and other plantations) and many of these changes were supported by young women, most of which were students, who were very active in the public sphere (Flores, 2013). Cupples (200</w:t>
      </w:r>
      <w:r w:rsidR="00704788" w:rsidRPr="009A7163">
        <w:t>5</w:t>
      </w:r>
      <w:r w:rsidRPr="009A7163">
        <w:t>) argue</w:t>
      </w:r>
      <w:r w:rsidR="002064B0" w:rsidRPr="009A7163">
        <w:t>s</w:t>
      </w:r>
      <w:r w:rsidRPr="009A7163">
        <w:t xml:space="preserve"> that: </w:t>
      </w:r>
    </w:p>
    <w:p w14:paraId="1511733F" w14:textId="6ECC587B" w:rsidR="006D76AB" w:rsidRPr="009A7163" w:rsidRDefault="006D76AB" w:rsidP="00293176">
      <w:pPr>
        <w:spacing w:after="180"/>
        <w:ind w:left="720"/>
        <w:jc w:val="both"/>
      </w:pPr>
      <w:r w:rsidRPr="009A7163">
        <w:t xml:space="preserve">Although the abolition of sexual discrimination was a stated goal of the revolutionary programme (FSLN, 1969) and the revolution promoted the political participation of women, the Revolution failed in its attempt to bring about greater gender equality. The struggle against gender subordination was seen as less of a priority than other forms of repression in the context of the Contra War, and the inclusion of an explicitly feminist agenda was seen by Sandinista leaders as a potentially divisive action rather than one which would strengthen the revolutionary process (see Chinchilla, 1992; Molyneux, 1986; Randall, 1992). </w:t>
      </w:r>
      <w:r w:rsidR="002064B0" w:rsidRPr="009A7163">
        <w:t>(p. 308)</w:t>
      </w:r>
    </w:p>
    <w:p w14:paraId="597EE884" w14:textId="3FA19FF2" w:rsidR="006D76AB" w:rsidRPr="009A7163" w:rsidRDefault="006D76AB" w:rsidP="00293176">
      <w:pPr>
        <w:spacing w:after="240" w:line="360" w:lineRule="auto"/>
        <w:jc w:val="both"/>
      </w:pPr>
      <w:r w:rsidRPr="009A7163">
        <w:t xml:space="preserve">So although many in AMNLAE opted to support the revolutionary process by taking part in it, few were aware that their participation did not imply a transformation of the unequal gender relations (Molyneux, 1985). Some women questioned the male power relationship reproduced by the revolutionary leaders, and some also questioned gender </w:t>
      </w:r>
      <w:r w:rsidRPr="009A7163">
        <w:lastRenderedPageBreak/>
        <w:t>inequality</w:t>
      </w:r>
      <w:r w:rsidR="002064B0" w:rsidRPr="009A7163">
        <w:t>,</w:t>
      </w:r>
      <w:r w:rsidRPr="009A7163">
        <w:t xml:space="preserve"> but they were unable to make a major breakthrough with this perspective or even to claim it openly. The Sandinista Revolution could not provide women a key revolutionary legacy related to gender justice, instead leaving gender inequality as part of the continuity in women’s struggle (Flores, 2013). This took place in the next phase in the context of the neoliberal government and the Sandinistas’ political opposition. </w:t>
      </w:r>
    </w:p>
    <w:p w14:paraId="5B2E4A0C" w14:textId="1D8E57F3" w:rsidR="006D76AB" w:rsidRPr="009A7163" w:rsidRDefault="006D76AB" w:rsidP="008C041F">
      <w:pPr>
        <w:pStyle w:val="Heading2"/>
      </w:pPr>
      <w:bookmarkStart w:id="80" w:name="_Toc526819304"/>
      <w:r w:rsidRPr="009A7163">
        <w:t>4.5  The Gendered Burden of Development in Nicaragua and New Masculinities in Post-Revolutionary Nicaragua</w:t>
      </w:r>
      <w:bookmarkEnd w:id="80"/>
    </w:p>
    <w:p w14:paraId="16E85B9B" w14:textId="3681D6CA" w:rsidR="00F24B04" w:rsidRPr="009A7163" w:rsidRDefault="00105783" w:rsidP="00293176">
      <w:pPr>
        <w:spacing w:line="360" w:lineRule="auto"/>
        <w:ind w:firstLine="720"/>
        <w:jc w:val="both"/>
      </w:pPr>
      <w:r w:rsidRPr="009A7163">
        <w:t>Whilst the revolution had not served women’s needs, the following peri</w:t>
      </w:r>
      <w:r w:rsidR="008B19CA" w:rsidRPr="009A7163">
        <w:t>od did much less. Women’s roles changed but they remained responsible for the household and took on more responsibilities.</w:t>
      </w:r>
      <w:r w:rsidRPr="009A7163">
        <w:t xml:space="preserve"> </w:t>
      </w:r>
      <w:r w:rsidR="006D76AB" w:rsidRPr="009A7163">
        <w:t>Cupples</w:t>
      </w:r>
      <w:r w:rsidR="00F24B04" w:rsidRPr="009A7163">
        <w:t xml:space="preserve"> (2004)</w:t>
      </w:r>
      <w:r w:rsidR="006D76AB" w:rsidRPr="009A7163">
        <w:t xml:space="preserve"> state</w:t>
      </w:r>
      <w:r w:rsidR="004113C1" w:rsidRPr="009A7163">
        <w:t>s</w:t>
      </w:r>
      <w:r w:rsidR="006D76AB" w:rsidRPr="009A7163">
        <w:t xml:space="preserve"> that, </w:t>
      </w:r>
    </w:p>
    <w:p w14:paraId="3EE42D1B" w14:textId="396B186A" w:rsidR="00F24B04" w:rsidRPr="009A7163" w:rsidRDefault="006D76AB" w:rsidP="00293176">
      <w:pPr>
        <w:spacing w:after="180"/>
        <w:ind w:left="720"/>
        <w:jc w:val="both"/>
      </w:pPr>
      <w:r w:rsidRPr="009A7163">
        <w:t>In Nicaragua the rapid shift from a revolutionary state to a neoliberal one, which came about in 1990 when the Sandinistas lost the general elections and a US-backed centre-right coalition headed by Violeta Chamorro came to power, was dramatic, particularly in terms of its consequences for the labour market and its implications for gender</w:t>
      </w:r>
      <w:r w:rsidR="00F24B04" w:rsidRPr="009A7163">
        <w:t>.</w:t>
      </w:r>
      <w:r w:rsidRPr="009A7163">
        <w:t xml:space="preserve"> (</w:t>
      </w:r>
      <w:r w:rsidR="00F24B04" w:rsidRPr="009A7163">
        <w:t xml:space="preserve">p. </w:t>
      </w:r>
      <w:r w:rsidRPr="009A7163">
        <w:t>305)</w:t>
      </w:r>
    </w:p>
    <w:p w14:paraId="19DB94CA" w14:textId="2F267DF4" w:rsidR="006D76AB" w:rsidRPr="009A7163" w:rsidRDefault="006D76AB" w:rsidP="00293176">
      <w:pPr>
        <w:spacing w:line="360" w:lineRule="auto"/>
        <w:jc w:val="both"/>
      </w:pPr>
      <w:r w:rsidRPr="009A7163">
        <w:t>In Nicaragua, structural adjustment took placed after a period of revolutionary transformation</w:t>
      </w:r>
      <w:r w:rsidR="002064B0" w:rsidRPr="009A7163">
        <w:t>,</w:t>
      </w:r>
      <w:r w:rsidRPr="009A7163">
        <w:t xml:space="preserve"> which had significant labour-market implications for women (see Murguialday, 1990). Furthemore, Cupples (2004) argue</w:t>
      </w:r>
      <w:r w:rsidR="002064B0" w:rsidRPr="009A7163">
        <w:t>s</w:t>
      </w:r>
      <w:r w:rsidRPr="009A7163">
        <w:t xml:space="preserve"> that:</w:t>
      </w:r>
    </w:p>
    <w:p w14:paraId="17E7C87A" w14:textId="4C1EC238" w:rsidR="006D76AB" w:rsidRPr="009A7163" w:rsidRDefault="006D76AB" w:rsidP="00293176">
      <w:pPr>
        <w:spacing w:after="180"/>
        <w:ind w:left="720"/>
        <w:jc w:val="both"/>
      </w:pPr>
      <w:r w:rsidRPr="009A7163">
        <w:t>In addition, these economic changes are taking place in a political climate which is attempting to recover more traditional identities for women (Cupples, 1999; Kampwirth, 1998) and in which the culture of machismo is proving to be particularly resilient (Lancaster, 1992; Montoya Teller, 1998). State transitions to neoliberalism involve a reworking of social relations including those of gender (Cravey, 1998)…In the Nicaraguan case the promotion of fixed or traditional gender identities for women by the state clashes with discourses of globalisation, modernisation, and democratisation and these clashes create spaces in which normative understandings surrounding femininity and motherhood can be renegotiated. Neoliberalism is therefore contradictory in terms of its outcomes for gender relations and identities.</w:t>
      </w:r>
      <w:r w:rsidR="002064B0" w:rsidRPr="009A7163">
        <w:t xml:space="preserve"> (p. 306)</w:t>
      </w:r>
      <w:r w:rsidRPr="009A7163">
        <w:t xml:space="preserve"> </w:t>
      </w:r>
    </w:p>
    <w:p w14:paraId="3202A18D" w14:textId="0DDB34B7" w:rsidR="006D76AB" w:rsidRPr="009A7163" w:rsidRDefault="006D76AB" w:rsidP="00293176">
      <w:pPr>
        <w:spacing w:line="360" w:lineRule="auto"/>
        <w:jc w:val="both"/>
      </w:pPr>
      <w:r w:rsidRPr="009A7163">
        <w:tab/>
        <w:t>Chamorro collaborated with the World Bank to implement a new structural adjustment policy and state spending dropped 37% in a few years (Bickham Mendez, 2004</w:t>
      </w:r>
      <w:r w:rsidR="004113C1" w:rsidRPr="009A7163">
        <w:t xml:space="preserve">, </w:t>
      </w:r>
      <w:r w:rsidRPr="009A7163">
        <w:t>cited in Hasse, 2011, p.</w:t>
      </w:r>
      <w:r w:rsidR="002064B0" w:rsidRPr="009A7163">
        <w:t xml:space="preserve"> </w:t>
      </w:r>
      <w:r w:rsidRPr="009A7163">
        <w:t>226). The government also introduced stabilization and adjustment measures as agreed upon with the IMF in order to reduce inflation and modern</w:t>
      </w:r>
      <w:r w:rsidR="00C95A06" w:rsidRPr="009A7163">
        <w:t>ise</w:t>
      </w:r>
      <w:r w:rsidRPr="009A7163">
        <w:t xml:space="preserve"> the economy. A number of neoliberal economic policies were implemented. These cuts in spending included education and health care. Weber (2002) argue</w:t>
      </w:r>
      <w:r w:rsidR="002064B0" w:rsidRPr="009A7163">
        <w:t>s</w:t>
      </w:r>
      <w:r w:rsidRPr="009A7163">
        <w:t xml:space="preserve"> that these adjustments compromised food security and shifted the burden of social services from the state to women. Neumann (2013) argu</w:t>
      </w:r>
      <w:r w:rsidR="002064B0" w:rsidRPr="009A7163">
        <w:t>es</w:t>
      </w:r>
      <w:r w:rsidRPr="009A7163">
        <w:t>:</w:t>
      </w:r>
    </w:p>
    <w:p w14:paraId="66F0F9EF" w14:textId="1134A83F" w:rsidR="006D76AB" w:rsidRPr="009A7163" w:rsidRDefault="006D76AB" w:rsidP="00293176">
      <w:pPr>
        <w:spacing w:after="180"/>
        <w:ind w:left="720"/>
        <w:jc w:val="both"/>
      </w:pPr>
      <w:r w:rsidRPr="009A7163">
        <w:lastRenderedPageBreak/>
        <w:t>Faced with severe debt crises, many Latin American countries adopted</w:t>
      </w:r>
      <w:r w:rsidR="00F24B04" w:rsidRPr="009A7163">
        <w:t xml:space="preserve"> </w:t>
      </w:r>
      <w:r w:rsidRPr="009A7163">
        <w:t>the neoliberal economic policies prescribed by the World Bank and</w:t>
      </w:r>
      <w:r w:rsidR="00F24B04" w:rsidRPr="009A7163">
        <w:t xml:space="preserve"> </w:t>
      </w:r>
      <w:r w:rsidRPr="009A7163">
        <w:t>International Monetary Fund during the 1990s (Weyland 1998). Broadly</w:t>
      </w:r>
      <w:r w:rsidR="00F24B04" w:rsidRPr="009A7163">
        <w:t xml:space="preserve"> </w:t>
      </w:r>
      <w:r w:rsidRPr="009A7163">
        <w:t>speaking, these policies included severe cutbacks in state employment and</w:t>
      </w:r>
      <w:r w:rsidR="00F24B04" w:rsidRPr="009A7163">
        <w:t xml:space="preserve"> </w:t>
      </w:r>
      <w:r w:rsidRPr="009A7163">
        <w:t>government subsidies, the devaluation of local currency, higher interest</w:t>
      </w:r>
      <w:r w:rsidR="00F24B04" w:rsidRPr="009A7163">
        <w:t xml:space="preserve"> </w:t>
      </w:r>
      <w:r w:rsidRPr="009A7163">
        <w:t>rates, the privatization of state industries, and the elimination of import</w:t>
      </w:r>
      <w:r w:rsidR="00F24B04" w:rsidRPr="009A7163">
        <w:t xml:space="preserve"> </w:t>
      </w:r>
      <w:r w:rsidRPr="009A7163">
        <w:t>tariffs (Babb 2001). The primary “shock absorbers” for these policies</w:t>
      </w:r>
      <w:r w:rsidR="00F24B04" w:rsidRPr="009A7163">
        <w:t xml:space="preserve"> </w:t>
      </w:r>
      <w:r w:rsidRPr="009A7163">
        <w:t xml:space="preserve">were women (Babb 2001, 108). </w:t>
      </w:r>
      <w:r w:rsidR="00BB2D8C" w:rsidRPr="009A7163">
        <w:t>(p. 801)</w:t>
      </w:r>
    </w:p>
    <w:p w14:paraId="3ADB831B" w14:textId="3F4B41E0" w:rsidR="006D76AB" w:rsidRPr="009A7163" w:rsidRDefault="006D76AB" w:rsidP="00293176">
      <w:pPr>
        <w:spacing w:line="360" w:lineRule="auto"/>
        <w:ind w:firstLine="720"/>
        <w:jc w:val="both"/>
      </w:pPr>
      <w:r w:rsidRPr="009A7163">
        <w:t>Chamorro’s government policies also had detrimental effect on women. For example, cooperatives that had been formed during the Revolution were dismantled, which meant women were going back to being housewives or finding employment related to traditional gender roles, such as clerical work in a hospital (Haase, 2011). As jobs in the public sector were also cut as well as subsidies, people turned to informal sectors (Dello Buono, 1996)</w:t>
      </w:r>
      <w:r w:rsidR="00420E39" w:rsidRPr="009A7163">
        <w:t>,</w:t>
      </w:r>
      <w:r w:rsidRPr="009A7163">
        <w:t xml:space="preserve"> and </w:t>
      </w:r>
      <w:r w:rsidR="00420E39" w:rsidRPr="009A7163">
        <w:t xml:space="preserve">women </w:t>
      </w:r>
      <w:r w:rsidRPr="009A7163">
        <w:t>in particular bore the brunt of these changes. Haase (2011) state</w:t>
      </w:r>
      <w:r w:rsidR="00420E39" w:rsidRPr="009A7163">
        <w:t>s</w:t>
      </w:r>
      <w:r w:rsidRPr="009A7163">
        <w:t xml:space="preserve"> that</w:t>
      </w:r>
      <w:r w:rsidR="00420E39" w:rsidRPr="009A7163">
        <w:t>,</w:t>
      </w:r>
      <w:r w:rsidRPr="009A7163">
        <w:t xml:space="preserve"> ‘</w:t>
      </w:r>
      <w:r w:rsidR="00420E39" w:rsidRPr="009A7163">
        <w:t>[B]</w:t>
      </w:r>
      <w:r w:rsidRPr="009A7163">
        <w:t>y 1994, 64% of urban working women were in the informal economy’ (p.</w:t>
      </w:r>
      <w:r w:rsidR="00F24B04" w:rsidRPr="009A7163">
        <w:t xml:space="preserve"> </w:t>
      </w:r>
      <w:r w:rsidRPr="009A7163">
        <w:t>226). Mann (2005) argue</w:t>
      </w:r>
      <w:r w:rsidR="00420E39" w:rsidRPr="009A7163">
        <w:t>s</w:t>
      </w:r>
      <w:r w:rsidRPr="009A7163">
        <w:t xml:space="preserve"> that the symbolic significance of </w:t>
      </w:r>
      <w:r w:rsidR="008B19CA" w:rsidRPr="009A7163">
        <w:t>a woman</w:t>
      </w:r>
      <w:r w:rsidRPr="009A7163">
        <w:t xml:space="preserve"> in power of the Nicaraguan state did not have a positive material impact on unequal gender relations or improve the quality of many women’s lives due in part to their commitment to a conservative gender ideology strongly affiliated with the Catholic Church</w:t>
      </w:r>
      <w:r w:rsidR="00420E39" w:rsidRPr="009A7163">
        <w:t xml:space="preserve"> (p. 11)</w:t>
      </w:r>
      <w:r w:rsidRPr="009A7163">
        <w:t>.</w:t>
      </w:r>
    </w:p>
    <w:p w14:paraId="12417CBA" w14:textId="5AC53BCB" w:rsidR="006D76AB" w:rsidRPr="009A7163" w:rsidRDefault="006D76AB" w:rsidP="00293176">
      <w:pPr>
        <w:spacing w:line="360" w:lineRule="auto"/>
        <w:ind w:firstLine="720"/>
        <w:jc w:val="both"/>
      </w:pPr>
      <w:r w:rsidRPr="009A7163">
        <w:t>The succeeding decline in other formal sector jobs</w:t>
      </w:r>
      <w:r w:rsidR="000860D2" w:rsidRPr="009A7163">
        <w:t xml:space="preserve"> due to government policies</w:t>
      </w:r>
      <w:r w:rsidRPr="009A7163">
        <w:t xml:space="preserve"> meant that women were increasingly pushed into informal employment</w:t>
      </w:r>
      <w:r w:rsidRPr="009A7163" w:rsidDel="00880999">
        <w:t xml:space="preserve"> </w:t>
      </w:r>
      <w:r w:rsidRPr="009A7163">
        <w:t>while simultaneously forced to assume greater responsibility for meeting household needs because of the reduction in state-provided social services (Babb, 2001). Once after</w:t>
      </w:r>
      <w:r w:rsidR="008B19CA" w:rsidRPr="009A7163">
        <w:t xml:space="preserve"> ‘a</w:t>
      </w:r>
      <w:r w:rsidRPr="009A7163">
        <w:t xml:space="preserve"> decade of social revolution the principal identity of Nicaraguan women continued to be constructed around the role of mother and person responsible for the household</w:t>
      </w:r>
      <w:r w:rsidR="008B19CA" w:rsidRPr="009A7163">
        <w:t>’ (</w:t>
      </w:r>
      <w:r w:rsidRPr="009A7163">
        <w:t>Poncela, 1999, p. 62). In response, local feminist organizations and international NGOs stepped in to try to fill some of the gaps (Ewig, 1999; Haase, 2012).</w:t>
      </w:r>
    </w:p>
    <w:p w14:paraId="755A9DD8" w14:textId="6B976A8E" w:rsidR="006D76AB" w:rsidRPr="009A7163" w:rsidRDefault="006D76AB" w:rsidP="00293176">
      <w:pPr>
        <w:spacing w:line="360" w:lineRule="auto"/>
        <w:ind w:firstLine="720"/>
        <w:jc w:val="both"/>
      </w:pPr>
      <w:r w:rsidRPr="009A7163">
        <w:t>This pursuit of neoliberal economic policies, which did bring growth to Nicaragua, also created such a regressive distribution of income that Nicaragua’s place in the United Nations Development Program’s Human Development Index</w:t>
      </w:r>
      <w:r w:rsidR="00420E39" w:rsidRPr="009A7163">
        <w:t xml:space="preserve"> </w:t>
      </w:r>
      <w:r w:rsidRPr="009A7163">
        <w:t>dropped from 60</w:t>
      </w:r>
      <w:r w:rsidRPr="009A7163">
        <w:rPr>
          <w:vertAlign w:val="superscript"/>
        </w:rPr>
        <w:t>th</w:t>
      </w:r>
      <w:r w:rsidRPr="009A7163">
        <w:t xml:space="preserve"> at the time Chamorro began her presidency to 116</w:t>
      </w:r>
      <w:r w:rsidRPr="009A7163">
        <w:rPr>
          <w:vertAlign w:val="superscript"/>
        </w:rPr>
        <w:t>th</w:t>
      </w:r>
      <w:r w:rsidRPr="009A7163">
        <w:t xml:space="preserve"> in 2000 (Walker et al, 2017).</w:t>
      </w:r>
      <w:r w:rsidR="00420E39" w:rsidRPr="009A7163">
        <w:rPr>
          <w:rStyle w:val="FootnoteReference"/>
        </w:rPr>
        <w:footnoteReference w:id="73"/>
      </w:r>
      <w:r w:rsidR="00420E39" w:rsidRPr="009A7163">
        <w:t xml:space="preserve"> </w:t>
      </w:r>
      <w:r w:rsidRPr="009A7163">
        <w:t xml:space="preserve"> By 2006, more than 70% of the population in rural areas had no access to </w:t>
      </w:r>
      <w:r w:rsidRPr="009A7163">
        <w:lastRenderedPageBreak/>
        <w:t>portable water and 7 in 10 working Nicaraguans could not afford the entire contents of the standard market basket of household consumer products (</w:t>
      </w:r>
      <w:r w:rsidRPr="009A7163">
        <w:rPr>
          <w:i/>
        </w:rPr>
        <w:t>canasta basica</w:t>
      </w:r>
      <w:r w:rsidRPr="009A7163">
        <w:t>)</w:t>
      </w:r>
      <w:r w:rsidRPr="009A7163">
        <w:rPr>
          <w:i/>
        </w:rPr>
        <w:t xml:space="preserve"> </w:t>
      </w:r>
      <w:r w:rsidRPr="009A7163">
        <w:t>(ibid, p.</w:t>
      </w:r>
      <w:r w:rsidR="00420E39" w:rsidRPr="009A7163">
        <w:t xml:space="preserve"> </w:t>
      </w:r>
      <w:r w:rsidRPr="009A7163">
        <w:t>171). Furthermore, all three neoliberal governments (the Chamorro, Alemán, and Bolaños governments) marked a step back for women’s rights. For example</w:t>
      </w:r>
      <w:r w:rsidR="00420E39" w:rsidRPr="009A7163">
        <w:t>,</w:t>
      </w:r>
      <w:r w:rsidRPr="009A7163">
        <w:t xml:space="preserve"> </w:t>
      </w:r>
      <w:r w:rsidR="00420E39" w:rsidRPr="009A7163">
        <w:t>the</w:t>
      </w:r>
      <w:r w:rsidRPr="009A7163">
        <w:t xml:space="preserve"> Chamorro government</w:t>
      </w:r>
      <w:r w:rsidR="00420E39" w:rsidRPr="009A7163">
        <w:t xml:space="preserve"> </w:t>
      </w:r>
      <w:r w:rsidRPr="009A7163">
        <w:t>took an official opposition oppos</w:t>
      </w:r>
      <w:r w:rsidR="00420E39" w:rsidRPr="009A7163">
        <w:t xml:space="preserve">ed to </w:t>
      </w:r>
      <w:r w:rsidRPr="009A7163">
        <w:t xml:space="preserve">abortion, sex education </w:t>
      </w:r>
      <w:r w:rsidR="00420E39" w:rsidRPr="009A7163">
        <w:t xml:space="preserve">was banned </w:t>
      </w:r>
      <w:r w:rsidRPr="009A7163">
        <w:t>on TV</w:t>
      </w:r>
      <w:r w:rsidR="00420E39" w:rsidRPr="009A7163">
        <w:t xml:space="preserve">, </w:t>
      </w:r>
      <w:r w:rsidRPr="009A7163">
        <w:t>family planning education</w:t>
      </w:r>
      <w:r w:rsidR="00420E39" w:rsidRPr="009A7163">
        <w:t xml:space="preserve"> was cut</w:t>
      </w:r>
      <w:r w:rsidRPr="009A7163">
        <w:t xml:space="preserve"> in schools</w:t>
      </w:r>
      <w:r w:rsidR="00420E39" w:rsidRPr="009A7163">
        <w:t xml:space="preserve"> and</w:t>
      </w:r>
      <w:r w:rsidRPr="009A7163">
        <w:t xml:space="preserve"> government officials condemn</w:t>
      </w:r>
      <w:r w:rsidR="00420E39" w:rsidRPr="009A7163">
        <w:t>ed</w:t>
      </w:r>
      <w:r w:rsidRPr="009A7163">
        <w:t xml:space="preserve"> contraception. This resulted in Nicaragua having one of the region’s highest teen pregnancy rates and lowest average age of mothers (Walker et al., 2017). One study calls refers to Violeta Chamorro as an example of the gender of nation represented </w:t>
      </w:r>
      <w:r w:rsidR="00420E39" w:rsidRPr="009A7163">
        <w:t>t</w:t>
      </w:r>
      <w:r w:rsidRPr="009A7163">
        <w:t xml:space="preserve">hrough ‘the mother’, </w:t>
      </w:r>
      <w:r w:rsidR="00420E39" w:rsidRPr="009A7163">
        <w:t>explaining</w:t>
      </w:r>
      <w:r w:rsidRPr="009A7163">
        <w:t>:</w:t>
      </w:r>
    </w:p>
    <w:p w14:paraId="3066631A" w14:textId="4B38AB19" w:rsidR="006D76AB" w:rsidRPr="009A7163" w:rsidRDefault="006D76AB" w:rsidP="00293176">
      <w:pPr>
        <w:spacing w:after="180"/>
        <w:ind w:left="720"/>
        <w:jc w:val="both"/>
        <w:rPr>
          <w:szCs w:val="22"/>
        </w:rPr>
      </w:pPr>
      <w:r w:rsidRPr="009A7163">
        <w:rPr>
          <w:szCs w:val="22"/>
        </w:rPr>
        <w:t xml:space="preserve">An example from Latin America would be that of Dona Violeta, the “Mother of all Nicaraguans” (Kampwirth 1996) who won Presidential elections in Nicaragua in 1990, defeating the revolutionary, socialist project of the Sandanista movement. The image portrayed was one of the private woman, the </w:t>
      </w:r>
      <w:r w:rsidR="007B69E5" w:rsidRPr="009A7163">
        <w:rPr>
          <w:szCs w:val="22"/>
        </w:rPr>
        <w:t>“</w:t>
      </w:r>
      <w:r w:rsidRPr="009A7163">
        <w:rPr>
          <w:szCs w:val="22"/>
        </w:rPr>
        <w:t>traditional mother</w:t>
      </w:r>
      <w:r w:rsidR="007B69E5" w:rsidRPr="009A7163">
        <w:rPr>
          <w:szCs w:val="22"/>
        </w:rPr>
        <w:t>”</w:t>
      </w:r>
      <w:r w:rsidRPr="009A7163">
        <w:rPr>
          <w:szCs w:val="22"/>
        </w:rPr>
        <w:t>, who promised to reconcile a war torn nation just as she reconciled her politically torn family14 (</w:t>
      </w:r>
      <w:r w:rsidRPr="009A7163">
        <w:rPr>
          <w:i/>
          <w:iCs/>
          <w:szCs w:val="22"/>
        </w:rPr>
        <w:t>Ibid.:</w:t>
      </w:r>
      <w:r w:rsidRPr="009A7163">
        <w:rPr>
          <w:szCs w:val="22"/>
        </w:rPr>
        <w:t xml:space="preserve">67). The </w:t>
      </w:r>
      <w:r w:rsidR="007B69E5" w:rsidRPr="009A7163">
        <w:rPr>
          <w:szCs w:val="22"/>
        </w:rPr>
        <w:t>“</w:t>
      </w:r>
      <w:r w:rsidRPr="009A7163">
        <w:rPr>
          <w:szCs w:val="22"/>
        </w:rPr>
        <w:t>anti-feminist</w:t>
      </w:r>
      <w:r w:rsidR="007B69E5" w:rsidRPr="009A7163">
        <w:rPr>
          <w:szCs w:val="22"/>
        </w:rPr>
        <w:t>”</w:t>
      </w:r>
      <w:r w:rsidRPr="009A7163">
        <w:rPr>
          <w:szCs w:val="22"/>
        </w:rPr>
        <w:t xml:space="preserve"> politics of Dona Violeta, juxtaposed the image of this </w:t>
      </w:r>
      <w:r w:rsidR="007B69E5" w:rsidRPr="009A7163">
        <w:rPr>
          <w:szCs w:val="22"/>
        </w:rPr>
        <w:t>“</w:t>
      </w:r>
      <w:r w:rsidRPr="009A7163">
        <w:rPr>
          <w:szCs w:val="22"/>
        </w:rPr>
        <w:t>traditional mother</w:t>
      </w:r>
      <w:r w:rsidR="007B69E5" w:rsidRPr="009A7163">
        <w:rPr>
          <w:szCs w:val="22"/>
        </w:rPr>
        <w:t>”</w:t>
      </w:r>
      <w:r w:rsidRPr="009A7163">
        <w:rPr>
          <w:szCs w:val="22"/>
        </w:rPr>
        <w:t xml:space="preserve">, (and the symbolisation of her similarities with the Virgin Mary) as against the most radical image of women in Sandinista symbolism – that of the woman guerrilla. Catherine Davies frames these </w:t>
      </w:r>
      <w:r w:rsidR="007B69E5" w:rsidRPr="009A7163">
        <w:rPr>
          <w:szCs w:val="22"/>
        </w:rPr>
        <w:t>“</w:t>
      </w:r>
      <w:r w:rsidRPr="009A7163">
        <w:rPr>
          <w:szCs w:val="22"/>
        </w:rPr>
        <w:t>gender-inflected representations, practices, imaginings and performances</w:t>
      </w:r>
      <w:r w:rsidR="007B69E5" w:rsidRPr="009A7163">
        <w:rPr>
          <w:szCs w:val="22"/>
        </w:rPr>
        <w:t>”</w:t>
      </w:r>
      <w:r w:rsidRPr="009A7163">
        <w:rPr>
          <w:szCs w:val="22"/>
        </w:rPr>
        <w:t xml:space="preserve">, as </w:t>
      </w:r>
      <w:r w:rsidR="007B69E5" w:rsidRPr="009A7163">
        <w:rPr>
          <w:szCs w:val="22"/>
        </w:rPr>
        <w:t>“</w:t>
      </w:r>
      <w:r w:rsidRPr="009A7163">
        <w:rPr>
          <w:szCs w:val="22"/>
        </w:rPr>
        <w:t>eroticized nationalism</w:t>
      </w:r>
      <w:r w:rsidR="007B69E5" w:rsidRPr="009A7163">
        <w:rPr>
          <w:szCs w:val="22"/>
        </w:rPr>
        <w:t>”</w:t>
      </w:r>
      <w:r w:rsidRPr="009A7163">
        <w:rPr>
          <w:szCs w:val="22"/>
        </w:rPr>
        <w:t xml:space="preserve"> (Davies 1993:333)</w:t>
      </w:r>
      <w:r w:rsidR="00420E39" w:rsidRPr="009A7163">
        <w:rPr>
          <w:szCs w:val="22"/>
        </w:rPr>
        <w:t>.</w:t>
      </w:r>
      <w:r w:rsidRPr="009A7163">
        <w:rPr>
          <w:szCs w:val="22"/>
        </w:rPr>
        <w:t xml:space="preserve"> (Khanna et al</w:t>
      </w:r>
      <w:r w:rsidR="007B69E5" w:rsidRPr="009A7163">
        <w:rPr>
          <w:szCs w:val="22"/>
        </w:rPr>
        <w:t>.</w:t>
      </w:r>
      <w:r w:rsidRPr="009A7163">
        <w:rPr>
          <w:szCs w:val="22"/>
        </w:rPr>
        <w:t>, 2013, p.</w:t>
      </w:r>
      <w:r w:rsidR="00F24B04" w:rsidRPr="009A7163">
        <w:rPr>
          <w:szCs w:val="22"/>
        </w:rPr>
        <w:t xml:space="preserve"> </w:t>
      </w:r>
      <w:r w:rsidRPr="009A7163">
        <w:rPr>
          <w:szCs w:val="22"/>
        </w:rPr>
        <w:t>23)</w:t>
      </w:r>
    </w:p>
    <w:p w14:paraId="5F587354" w14:textId="4829E924" w:rsidR="006D76AB" w:rsidRPr="009A7163" w:rsidRDefault="006D76AB" w:rsidP="00293176">
      <w:pPr>
        <w:spacing w:line="360" w:lineRule="auto"/>
        <w:ind w:firstLine="720"/>
        <w:jc w:val="both"/>
      </w:pPr>
      <w:r w:rsidRPr="009A7163">
        <w:t xml:space="preserve">Under her government the deteriorating economic situation most heavily impacted women, forcing many to migrate and leading to what some have termed the </w:t>
      </w:r>
      <w:r w:rsidR="007B69E5" w:rsidRPr="009A7163">
        <w:t>‘</w:t>
      </w:r>
      <w:r w:rsidRPr="009A7163">
        <w:t>feminization</w:t>
      </w:r>
      <w:r w:rsidR="007B69E5" w:rsidRPr="009A7163">
        <w:t>’</w:t>
      </w:r>
      <w:r w:rsidRPr="009A7163">
        <w:t xml:space="preserve"> of migration (Walker et al</w:t>
      </w:r>
      <w:r w:rsidR="007B69E5" w:rsidRPr="009A7163">
        <w:t>.</w:t>
      </w:r>
      <w:r w:rsidRPr="009A7163">
        <w:t>, 2017</w:t>
      </w:r>
      <w:r w:rsidR="00420E39" w:rsidRPr="009A7163">
        <w:t>,</w:t>
      </w:r>
      <w:r w:rsidRPr="009A7163">
        <w:t xml:space="preserve"> p.</w:t>
      </w:r>
      <w:r w:rsidR="007B69E5" w:rsidRPr="009A7163">
        <w:t xml:space="preserve"> </w:t>
      </w:r>
      <w:r w:rsidRPr="009A7163">
        <w:t>172). Furthermore, women were ‘burdened’ with development as they had to cope with a reduction in state-provided social services. Neumann (2013) state</w:t>
      </w:r>
      <w:r w:rsidR="00420E39" w:rsidRPr="009A7163">
        <w:t>s</w:t>
      </w:r>
      <w:r w:rsidRPr="009A7163">
        <w:t xml:space="preserve"> that</w:t>
      </w:r>
      <w:r w:rsidR="00420E39" w:rsidRPr="009A7163">
        <w:t>,</w:t>
      </w:r>
      <w:r w:rsidRPr="009A7163">
        <w:t xml:space="preserve"> ‘At the same time, the growing interest in “women’s empowerment” as a poverty-reduction strategy led to an influx of new NGOs offering programs aimed at women’s skill development, training, or access to small loans’ (p. 801). Nuemann (2013) argue</w:t>
      </w:r>
      <w:r w:rsidR="00420E39" w:rsidRPr="009A7163">
        <w:t>s</w:t>
      </w:r>
      <w:r w:rsidRPr="009A7163">
        <w:t xml:space="preserve">, ‘Many feminists have criticized this process of </w:t>
      </w:r>
      <w:r w:rsidR="001E19D4" w:rsidRPr="009A7163">
        <w:t>“</w:t>
      </w:r>
      <w:r w:rsidRPr="009A7163">
        <w:t>NGO-ization</w:t>
      </w:r>
      <w:r w:rsidR="001E19D4" w:rsidRPr="009A7163">
        <w:t>”</w:t>
      </w:r>
      <w:r w:rsidRPr="009A7163">
        <w:t xml:space="preserve"> (Álvarez, 1999) because of the ways it has discouraged women’s collective mobilization (Montenegro, 2002)’</w:t>
      </w:r>
      <w:r w:rsidR="007B69E5" w:rsidRPr="009A7163">
        <w:t xml:space="preserve"> </w:t>
      </w:r>
      <w:r w:rsidRPr="009A7163">
        <w:t>(p.</w:t>
      </w:r>
      <w:r w:rsidR="007B69E5" w:rsidRPr="009A7163">
        <w:t xml:space="preserve"> </w:t>
      </w:r>
      <w:r w:rsidRPr="009A7163">
        <w:t xml:space="preserve">801). In a seminal article, Bradshaw and Quiros Viquez (2008) analysed conditional transfer programmes popular with institutions such as the World Bank and suggest that women ‘beneficiaries’ bear the economic and social cost of the programmes without any benefit to themselves of their household in the short or long term (p. 823). Bradshaw (2008b) also later highlighted </w:t>
      </w:r>
      <w:r w:rsidRPr="009A7163">
        <w:lastRenderedPageBreak/>
        <w:t>how the application of neoliberal policy prescriptions may reinforce neo-conservative ideals of gender roles (p. 67).</w:t>
      </w:r>
    </w:p>
    <w:p w14:paraId="5F4D595F" w14:textId="426D2AE2" w:rsidR="006D76AB" w:rsidRPr="009A7163" w:rsidRDefault="006D76AB" w:rsidP="00293176">
      <w:pPr>
        <w:spacing w:line="360" w:lineRule="auto"/>
        <w:ind w:firstLine="720"/>
        <w:jc w:val="both"/>
      </w:pPr>
      <w:r w:rsidRPr="009A7163">
        <w:t>The regression in women’s rights continued with the next president, Daniel Ortega, who was re-elected again in 2006. Contrary to what might</w:t>
      </w:r>
      <w:r w:rsidR="00420E39" w:rsidRPr="009A7163">
        <w:t xml:space="preserve"> have been</w:t>
      </w:r>
      <w:r w:rsidRPr="009A7163">
        <w:t xml:space="preserve"> expected, Ortega’s re-election in 2006 did little to advance women’s rights or reduce the antagonism faced by feminist organizations (Neumann, 2013). Instead, Ortega abandoned many of the Sandinistas’ former revolutionary ideals whilst slowly consolidating power and making autocratic decisions at the expense of human rights. Many wome in particular were dilusioned by Ortega due to the allegations of sexual abuse made by his stepdaughter Zoilamérica Narvaez</w:t>
      </w:r>
      <w:r w:rsidR="001E19D4" w:rsidRPr="009A7163">
        <w:t xml:space="preserve">, for </w:t>
      </w:r>
      <w:r w:rsidRPr="009A7163">
        <w:t>which he refused to face charges as well as because of the alliance he made with the conservative Catholic Church before the 2006 election and his support for a new law criminalizing abortion (Kampwirth, 2011). Ortega was re-elected for the third time in 2012 after ‘defying a constitutional ban on consecutive presidential terms. This highly charged political environment has made it increasingly risky to openly criticize Ortega’s policies</w:t>
      </w:r>
      <w:r w:rsidR="007B69E5" w:rsidRPr="009A7163">
        <w:t>’</w:t>
      </w:r>
      <w:r w:rsidRPr="009A7163">
        <w:t xml:space="preserve"> (Neumann, 2013, p. 804).</w:t>
      </w:r>
    </w:p>
    <w:p w14:paraId="356A7504" w14:textId="62A8A645" w:rsidR="006D76AB" w:rsidRPr="009A7163" w:rsidRDefault="006D76AB" w:rsidP="00293176">
      <w:pPr>
        <w:spacing w:line="360" w:lineRule="auto"/>
        <w:ind w:firstLine="720"/>
        <w:jc w:val="both"/>
      </w:pPr>
      <w:r w:rsidRPr="009A7163">
        <w:t>Whilst ‘women’s rights are still very much under attack in Nicaragua’ the government has introduced a number of new poverty reduction programmes aimed at women’</w:t>
      </w:r>
      <w:r w:rsidR="007B69E5" w:rsidRPr="009A7163">
        <w:t xml:space="preserve"> </w:t>
      </w:r>
      <w:r w:rsidRPr="009A7163">
        <w:t xml:space="preserve">(Neumann, 2013, p. 804). </w:t>
      </w:r>
      <w:r w:rsidRPr="009A7163">
        <w:rPr>
          <w:i/>
        </w:rPr>
        <w:t>Hambre Cero</w:t>
      </w:r>
      <w:r w:rsidRPr="009A7163">
        <w:t xml:space="preserve"> (Zero Hunger) is one of the most </w:t>
      </w:r>
      <w:r w:rsidR="007B69E5" w:rsidRPr="009A7163">
        <w:t>well-known</w:t>
      </w:r>
      <w:r w:rsidRPr="009A7163">
        <w:t xml:space="preserve"> (see</w:t>
      </w:r>
      <w:r w:rsidRPr="009A7163">
        <w:rPr>
          <w:lang w:val="es-NI"/>
        </w:rPr>
        <w:t xml:space="preserve"> Larracoechea, 2011</w:t>
      </w:r>
      <w:r w:rsidR="007B69E5" w:rsidRPr="009A7163">
        <w:rPr>
          <w:lang w:val="es-NI"/>
        </w:rPr>
        <w:t>,</w:t>
      </w:r>
      <w:r w:rsidRPr="009A7163">
        <w:rPr>
          <w:lang w:val="es-NI"/>
        </w:rPr>
        <w:t xml:space="preserve"> </w:t>
      </w:r>
      <w:r w:rsidRPr="009A7163">
        <w:t>for a critical study of this programme). Whilst some positive changes have been noted, their prescription of individual responsibility as the antidote to poverty ultimately serves to reinforce traditional sexual division of labour</w:t>
      </w:r>
      <w:r w:rsidR="006F2095" w:rsidRPr="009A7163">
        <w:t xml:space="preserve">, </w:t>
      </w:r>
      <w:r w:rsidRPr="009A7163">
        <w:t>gender inequality and generate additional burdens for women and a feminisation of responsibility.</w:t>
      </w:r>
    </w:p>
    <w:p w14:paraId="5017FCAF" w14:textId="697DBB45" w:rsidR="006D76AB" w:rsidRPr="009A7163" w:rsidRDefault="00CB1062" w:rsidP="00293176">
      <w:pPr>
        <w:widowControl w:val="0"/>
        <w:autoSpaceDE w:val="0"/>
        <w:autoSpaceDN w:val="0"/>
        <w:adjustRightInd w:val="0"/>
        <w:spacing w:after="240" w:line="360" w:lineRule="auto"/>
        <w:ind w:firstLine="720"/>
        <w:jc w:val="both"/>
        <w:rPr>
          <w:szCs w:val="20"/>
        </w:rPr>
      </w:pPr>
      <w:r w:rsidRPr="009A7163">
        <w:t>Thus, the</w:t>
      </w:r>
      <w:r w:rsidR="006D76AB" w:rsidRPr="009A7163">
        <w:t xml:space="preserve"> post-revolutionary era was a clash between active feminism (embraced by women’s organizations and many NGOs)</w:t>
      </w:r>
      <w:r w:rsidR="001E19D4" w:rsidRPr="009A7163">
        <w:t xml:space="preserve">, </w:t>
      </w:r>
      <w:r w:rsidR="006D76AB" w:rsidRPr="009A7163">
        <w:t>anti-feminism coming from the neoliberal government in alliance with the top hierarchy of the Catholic Church (Flores, 2016, p.</w:t>
      </w:r>
      <w:r w:rsidR="007B69E5" w:rsidRPr="009A7163">
        <w:t xml:space="preserve"> </w:t>
      </w:r>
      <w:r w:rsidR="006D76AB" w:rsidRPr="009A7163">
        <w:t>41)</w:t>
      </w:r>
      <w:r w:rsidR="001E19D4" w:rsidRPr="009A7163">
        <w:t>, as well as</w:t>
      </w:r>
      <w:r w:rsidR="006F2095" w:rsidRPr="009A7163">
        <w:t xml:space="preserve"> the FSLN embracing family values</w:t>
      </w:r>
      <w:r w:rsidR="006D76AB" w:rsidRPr="009A7163">
        <w:t xml:space="preserve">. In the end, this clash brought about changes beyond what was implied by actors being for or against women’s struggle. To date, women’s movements and NGOs continue demanding decisive structural changes including better opportunities for women in the economic field, where important gender gaps remain to be close (and whilst fighting to reverse the law against therapeutic abortion, which the Sandinista party brought back into the law as an election promise in 2006 after making a strategic alliance with the church). </w:t>
      </w:r>
    </w:p>
    <w:p w14:paraId="4345A46F" w14:textId="7AD0DB5C" w:rsidR="006D76AB" w:rsidRPr="009A7163" w:rsidRDefault="006D76AB" w:rsidP="008C041F">
      <w:pPr>
        <w:pStyle w:val="Heading2"/>
      </w:pPr>
      <w:bookmarkStart w:id="81" w:name="_Toc526819305"/>
      <w:r w:rsidRPr="009A7163">
        <w:lastRenderedPageBreak/>
        <w:t>4.6  Gender and Fair Trade in Nicaragua</w:t>
      </w:r>
      <w:bookmarkEnd w:id="81"/>
      <w:r w:rsidRPr="009A7163">
        <w:t xml:space="preserve"> </w:t>
      </w:r>
    </w:p>
    <w:p w14:paraId="61C20E83" w14:textId="79FEF726" w:rsidR="006D76AB" w:rsidRPr="009A7163" w:rsidRDefault="006D76AB" w:rsidP="00293176">
      <w:pPr>
        <w:widowControl w:val="0"/>
        <w:tabs>
          <w:tab w:val="left" w:pos="720"/>
        </w:tabs>
        <w:autoSpaceDE w:val="0"/>
        <w:autoSpaceDN w:val="0"/>
        <w:adjustRightInd w:val="0"/>
        <w:spacing w:line="360" w:lineRule="auto"/>
        <w:jc w:val="both"/>
      </w:pPr>
      <w:r w:rsidRPr="009A7163">
        <w:tab/>
        <w:t>There is a flourishing cooperative-led movement in Nicaraguan in which women are highly profiled (Haslam et al., 2011, p. 63). Since the 1990s, there has been a movement among cooperatives in the northern region of Nicaragua to address gender inequality among coffee growers (Ruppell, 2013, p. 15). The impetus for greater gender equity in FT is particularly active in Nicaragua, with much of this work stemming from Cafénica,</w:t>
      </w:r>
      <w:r w:rsidRPr="009A7163">
        <w:rPr>
          <w:rStyle w:val="FootnoteReference"/>
        </w:rPr>
        <w:footnoteReference w:id="74"/>
      </w:r>
      <w:r w:rsidRPr="009A7163">
        <w:t xml:space="preserve"> the largest network of small-scale coffee producer cooperatives in the country. A women’s movement, the Movimiento Mujeres Flores de Café (</w:t>
      </w:r>
      <w:r w:rsidR="000E59D6" w:rsidRPr="009A7163">
        <w:t xml:space="preserve">Coffee Flowers Women’s Movment, or </w:t>
      </w:r>
      <w:r w:rsidRPr="009A7163">
        <w:t>MMFC), was formed within Cafénica in 2006 to advance the gender agenda among member organizations.</w:t>
      </w:r>
      <w:r w:rsidRPr="009A7163">
        <w:rPr>
          <w:rStyle w:val="FootnoteReference"/>
        </w:rPr>
        <w:footnoteReference w:id="75"/>
      </w:r>
      <w:r w:rsidRPr="009A7163">
        <w:t xml:space="preserve"> Some studies state that women’s empowerment in Nicaragua started long before these cooperatives and their connections with FT networks (Bacon, 2010; Dore, 2000; Molyneux, 1985). </w:t>
      </w:r>
    </w:p>
    <w:p w14:paraId="6CB3AFC6" w14:textId="508E61F3" w:rsidR="006D76AB" w:rsidRPr="009A7163" w:rsidRDefault="006D76AB" w:rsidP="00293176">
      <w:pPr>
        <w:widowControl w:val="0"/>
        <w:tabs>
          <w:tab w:val="left" w:pos="720"/>
        </w:tabs>
        <w:autoSpaceDE w:val="0"/>
        <w:autoSpaceDN w:val="0"/>
        <w:adjustRightInd w:val="0"/>
        <w:spacing w:after="240" w:line="360" w:lineRule="auto"/>
        <w:jc w:val="both"/>
      </w:pPr>
      <w:r w:rsidRPr="009A7163">
        <w:tab/>
        <w:t>Although Fairtrade maintains standards regarding the promotion of gender equity, the persistence of gendered disparities in the coffee cooperative system in Nicaragua demonstrates that movements for equity are nevertheless susceptible to the persistent nature of economic, social and political inequalities (Ruppel, 2013, p. 40). Whilst there is strong female leadership in Nicaragua, evidenced by, for example, the fact that the three leading FT cooperatives have female managers</w:t>
      </w:r>
      <w:r w:rsidR="00E44710" w:rsidRPr="009A7163">
        <w:t>,</w:t>
      </w:r>
      <w:r w:rsidR="006F2095" w:rsidRPr="009A7163">
        <w:rPr>
          <w:rStyle w:val="FootnoteReference"/>
        </w:rPr>
        <w:footnoteReference w:id="76"/>
      </w:r>
      <w:r w:rsidRPr="009A7163">
        <w:t xml:space="preserve"> gender relationships in cooperatives still remain very uneven – even in FT cooperatives (Bacon, 2008). Machismo in Nicaragua still prevails in many communities, restricting the participation of women in FT (Utting Chamorro, 2005). In spite of the benefits Fairtrade certification has provided for coffee producers in Nicaragua, there is concern that the economic focus of Fairtrade has prevented Fairtrade International (FLO)</w:t>
      </w:r>
      <w:r w:rsidRPr="009A7163">
        <w:rPr>
          <w:rStyle w:val="FootnoteReference"/>
        </w:rPr>
        <w:footnoteReference w:id="77"/>
      </w:r>
      <w:r w:rsidRPr="009A7163">
        <w:t xml:space="preserve"> from </w:t>
      </w:r>
      <w:r w:rsidRPr="009A7163">
        <w:lastRenderedPageBreak/>
        <w:t xml:space="preserve">enforcing its standards pertaining to gender equity among cooperative members. Other research conducted on this issue, specifically among coffee cooperatives in Nicaragua, found that women continue to have limited access to land ownership and the means of production necessary for coffee cultivation (Bacon, 2010; </w:t>
      </w:r>
      <w:r w:rsidR="00CB1062" w:rsidRPr="009A7163">
        <w:t xml:space="preserve">Hanson et al, 2012; </w:t>
      </w:r>
      <w:r w:rsidRPr="009A7163">
        <w:t>Lyon, 2008, Lyon et al</w:t>
      </w:r>
      <w:r w:rsidR="00CB1062" w:rsidRPr="009A7163">
        <w:t>.</w:t>
      </w:r>
      <w:r w:rsidRPr="009A7163">
        <w:t>, 2010) as well as many other barriers.</w:t>
      </w:r>
    </w:p>
    <w:p w14:paraId="446B2642" w14:textId="58A1C25F" w:rsidR="006D76AB" w:rsidRPr="009A7163" w:rsidRDefault="006D76AB" w:rsidP="008C041F">
      <w:pPr>
        <w:pStyle w:val="Heading2"/>
      </w:pPr>
      <w:bookmarkStart w:id="82" w:name="_Toc526819306"/>
      <w:r w:rsidRPr="009A7163">
        <w:t>4.7  Case Studies</w:t>
      </w:r>
      <w:bookmarkEnd w:id="82"/>
    </w:p>
    <w:p w14:paraId="5DA77808" w14:textId="0F781DEA" w:rsidR="006D76AB" w:rsidRPr="009A7163" w:rsidRDefault="006D76AB" w:rsidP="00293176">
      <w:pPr>
        <w:spacing w:after="240" w:line="360" w:lineRule="auto"/>
        <w:ind w:firstLine="720"/>
        <w:jc w:val="both"/>
      </w:pPr>
      <w:r w:rsidRPr="009A7163">
        <w:t>This section introduces the two case studies (sesame and coffee) and for each case study there is a brief description of the history of each crop in Nicaragua, as well as key information on the cooperative producing the crop, their buyers and how the pricing scheme works in each context. The research began by looking solely at sesame, as this is part of the BSI supply chain and was proposed from the outset. Later coffee was introduced as a comparative case study as coffee is a more widely traded good. The FT movement is much more developed in the coffee sector and it is here that gender policies are more embedded.</w:t>
      </w:r>
    </w:p>
    <w:p w14:paraId="7CB4C4BC" w14:textId="6754CB61" w:rsidR="006D76AB" w:rsidRPr="009A7163" w:rsidRDefault="006D76AB" w:rsidP="008C041F">
      <w:pPr>
        <w:pStyle w:val="Heading3"/>
        <w:spacing w:after="240"/>
        <w:rPr>
          <w:b w:val="0"/>
        </w:rPr>
      </w:pPr>
      <w:bookmarkStart w:id="83" w:name="_Toc526819307"/>
      <w:r w:rsidRPr="009A7163">
        <w:t>4.7.1  Sesame Case Study</w:t>
      </w:r>
      <w:bookmarkEnd w:id="83"/>
    </w:p>
    <w:p w14:paraId="3DEC6DD6" w14:textId="77777777" w:rsidR="006D76AB" w:rsidRPr="009A7163" w:rsidRDefault="006D76AB">
      <w:pPr>
        <w:pStyle w:val="Heading4"/>
        <w:rPr>
          <w:bCs/>
        </w:rPr>
      </w:pPr>
      <w:bookmarkStart w:id="84" w:name="_Toc526819308"/>
      <w:r w:rsidRPr="009A7163">
        <w:t xml:space="preserve">4.7.1.1 Sesame </w:t>
      </w:r>
      <w:r w:rsidRPr="009A7163">
        <w:rPr>
          <w:b w:val="0"/>
        </w:rPr>
        <w:t>C</w:t>
      </w:r>
      <w:r w:rsidRPr="009A7163">
        <w:t>rop</w:t>
      </w:r>
      <w:bookmarkEnd w:id="84"/>
      <w:r w:rsidRPr="009A7163">
        <w:rPr>
          <w:bCs/>
        </w:rPr>
        <w:t xml:space="preserve"> </w:t>
      </w:r>
    </w:p>
    <w:p w14:paraId="323E893A" w14:textId="367B98C2" w:rsidR="006D76AB" w:rsidRPr="009A7163" w:rsidRDefault="006D76AB" w:rsidP="00293176">
      <w:pPr>
        <w:spacing w:line="360" w:lineRule="auto"/>
        <w:ind w:firstLine="720"/>
        <w:jc w:val="both"/>
        <w:rPr>
          <w:bCs/>
          <w:iCs/>
        </w:rPr>
      </w:pPr>
      <w:r w:rsidRPr="009A7163">
        <w:rPr>
          <w:bCs/>
          <w:iCs/>
        </w:rPr>
        <w:t>Unlike coffee, sesame (</w:t>
      </w:r>
      <w:r w:rsidR="007B69E5" w:rsidRPr="009A7163">
        <w:rPr>
          <w:bCs/>
          <w:iCs/>
        </w:rPr>
        <w:t>s</w:t>
      </w:r>
      <w:r w:rsidRPr="009A7163">
        <w:rPr>
          <w:bCs/>
          <w:iCs/>
        </w:rPr>
        <w:t xml:space="preserve">ee Plate </w:t>
      </w:r>
      <w:r w:rsidR="007B69E5" w:rsidRPr="009A7163">
        <w:rPr>
          <w:bCs/>
          <w:iCs/>
        </w:rPr>
        <w:t>4.</w:t>
      </w:r>
      <w:r w:rsidR="00996FA3" w:rsidRPr="009A7163">
        <w:rPr>
          <w:bCs/>
          <w:iCs/>
        </w:rPr>
        <w:t>1 below)</w:t>
      </w:r>
      <w:r w:rsidRPr="009A7163">
        <w:rPr>
          <w:bCs/>
          <w:iCs/>
        </w:rPr>
        <w:t xml:space="preserve"> is a lesser known globally-traded commodity, yet it is perhaps the world’s oldest oilseed crop having been first domesticated thousands of years ago. Thorpe and Fennell </w:t>
      </w:r>
      <w:r w:rsidR="00996FA3" w:rsidRPr="009A7163">
        <w:rPr>
          <w:bCs/>
          <w:iCs/>
        </w:rPr>
        <w:t xml:space="preserve">(2012) </w:t>
      </w:r>
      <w:r w:rsidRPr="009A7163">
        <w:rPr>
          <w:bCs/>
          <w:iCs/>
        </w:rPr>
        <w:t>state that ‘although some large-scale production exists, sesame is a labour-intensive crop grown primarily by small-scale producers in tropical regions. In African and Asian countries, sesame is mostly a staple crop, while in countries like Nicaragua, it is a cash crop</w:t>
      </w:r>
      <w:r w:rsidR="00042403" w:rsidRPr="009A7163">
        <w:rPr>
          <w:bCs/>
          <w:iCs/>
        </w:rPr>
        <w:t>’ (</w:t>
      </w:r>
      <w:r w:rsidRPr="009A7163">
        <w:rPr>
          <w:bCs/>
          <w:iCs/>
        </w:rPr>
        <w:t>p.</w:t>
      </w:r>
      <w:r w:rsidR="00996FA3" w:rsidRPr="009A7163">
        <w:rPr>
          <w:bCs/>
          <w:iCs/>
        </w:rPr>
        <w:t xml:space="preserve"> </w:t>
      </w:r>
      <w:r w:rsidRPr="009A7163">
        <w:rPr>
          <w:bCs/>
          <w:iCs/>
        </w:rPr>
        <w:t xml:space="preserve">11). Although sesame is not originally from Nicaragua, it has been grown there commercially since the 1930s. The initial program for sesame was developed with help in the form of development aid from the government of Japan. The main market for conventionally produced sesame from Nicaragua is Asia, and the primary market for organically-produced sesame is the United States. In the beginning of the 1980s, the Nicaraguan government, with help from the government of Japan, set out an ambitious program to present alternatives to farmers that lived in the dryer areas in the western part of the country. Western Nicaragua is considered the dry tropical zone of Nicaragua and has perfect rain and soil conditions to grow sesame. It was not until 1990s that sesame production started to grow. In 1991, a few cooperatives in the western part of </w:t>
      </w:r>
      <w:r w:rsidRPr="009A7163">
        <w:rPr>
          <w:bCs/>
          <w:iCs/>
        </w:rPr>
        <w:lastRenderedPageBreak/>
        <w:t>the country and on the island of Ometepe started experimenting with organic agricultural practices and they began to grow organically certified sesame in 1993. In 2008, there were about 5,000 sesame producers in Nicaragua, mostly working small plots between around 4 hectares.</w:t>
      </w:r>
      <w:r w:rsidRPr="009A7163">
        <w:rPr>
          <w:rStyle w:val="FootnoteReference"/>
          <w:bCs/>
          <w:iCs/>
        </w:rPr>
        <w:footnoteReference w:id="78"/>
      </w:r>
    </w:p>
    <w:p w14:paraId="400453F7" w14:textId="3EA0187A" w:rsidR="00996FA3" w:rsidRPr="009A7163" w:rsidRDefault="006D76AB" w:rsidP="00293176">
      <w:pPr>
        <w:spacing w:after="240" w:line="360" w:lineRule="auto"/>
        <w:ind w:firstLine="720"/>
        <w:jc w:val="both"/>
      </w:pPr>
      <w:r w:rsidRPr="009A7163">
        <w:t xml:space="preserve">Currently, </w:t>
      </w:r>
      <w:r w:rsidR="00CB1062" w:rsidRPr="009A7163">
        <w:t>sesame</w:t>
      </w:r>
      <w:r w:rsidRPr="009A7163">
        <w:t xml:space="preserve"> is cultivated on the Pacific Coast, mainly in the departments of León and Chinandega (</w:t>
      </w:r>
      <w:r w:rsidR="000E59D6" w:rsidRPr="009A7163">
        <w:t>s</w:t>
      </w:r>
      <w:r w:rsidRPr="009A7163">
        <w:t xml:space="preserve">ee </w:t>
      </w:r>
      <w:r w:rsidR="00F03445" w:rsidRPr="009A7163">
        <w:t>P</w:t>
      </w:r>
      <w:r w:rsidRPr="009A7163">
        <w:t xml:space="preserve">late </w:t>
      </w:r>
      <w:r w:rsidR="000E59D6" w:rsidRPr="009A7163">
        <w:t>4.</w:t>
      </w:r>
      <w:r w:rsidR="00F03445" w:rsidRPr="009A7163">
        <w:t>1</w:t>
      </w:r>
      <w:r w:rsidRPr="009A7163">
        <w:t>). However, the highest yields are obtained more frequently in the department of Rivas and Managua, where the crop is marginally produced. The improvement in yields has been the result of technological support financed by the government. The cooperative of small-scale producers in Achuapa who form part of the case study (see next section below) have also bought and installed a sesame hulling processing plant. In this way, they have moved up the supply chain by being able to offer a finished product, thereby achieving better prices and more favourable negotiation. The domestic consumption of sesame in Nicaragua is marginal, so nearly all of the sesame production is exported. However, what is left for local consumption is sold in local markets for use in bread making and/or to make oil and sesame sub-products. In 2008, there were about 5,000 sesame producers in Nicaragua, mostly on working small plots</w:t>
      </w:r>
    </w:p>
    <w:p w14:paraId="242351C9" w14:textId="1135A09C" w:rsidR="006D76AB" w:rsidRPr="009A7163" w:rsidRDefault="00996FA3" w:rsidP="00293176">
      <w:pPr>
        <w:spacing w:after="240" w:line="360" w:lineRule="auto"/>
        <w:jc w:val="both"/>
      </w:pPr>
      <w:bookmarkStart w:id="85" w:name="_Toc526710035"/>
      <w:r w:rsidRPr="009A7163">
        <w:rPr>
          <w:rStyle w:val="PlateTOCChar"/>
        </w:rPr>
        <w:t>Plate 4.1. Sesame, León</w:t>
      </w:r>
      <w:bookmarkEnd w:id="85"/>
      <w:r w:rsidR="006D76AB" w:rsidRPr="009A7163">
        <w:t>.</w:t>
      </w:r>
      <w:r w:rsidRPr="009A7163">
        <w:t xml:space="preserve"> (</w:t>
      </w:r>
      <w:r w:rsidRPr="009A7163">
        <w:rPr>
          <w:i/>
        </w:rPr>
        <w:t>Source:</w:t>
      </w:r>
      <w:r w:rsidRPr="009A7163">
        <w:t xml:space="preserve"> De Campo)</w:t>
      </w:r>
      <w:r w:rsidR="006D76AB" w:rsidRPr="009A7163">
        <w:t xml:space="preserve"> </w:t>
      </w:r>
    </w:p>
    <w:p w14:paraId="7A054C14" w14:textId="77777777" w:rsidR="006D76AB" w:rsidRPr="009A7163" w:rsidRDefault="006D76AB" w:rsidP="00293176">
      <w:pPr>
        <w:spacing w:line="360" w:lineRule="auto"/>
        <w:ind w:firstLine="720"/>
        <w:jc w:val="both"/>
      </w:pPr>
      <w:r w:rsidRPr="009A7163">
        <w:rPr>
          <w:noProof/>
          <w:lang w:eastAsia="en-GB"/>
        </w:rPr>
        <w:drawing>
          <wp:inline distT="0" distB="0" distL="0" distR="0" wp14:anchorId="2E37D105" wp14:editId="41420295">
            <wp:extent cx="4946650" cy="2789195"/>
            <wp:effectExtent l="0" t="0" r="6350" b="0"/>
            <wp:docPr id="7" name="Picture 7" descr="../Revisions/Sesame/Del%20Campo_AJONJO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sions/Sesame/Del%20Campo_AJONJOLI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2684" cy="2792597"/>
                    </a:xfrm>
                    <a:prstGeom prst="rect">
                      <a:avLst/>
                    </a:prstGeom>
                    <a:noFill/>
                    <a:ln>
                      <a:noFill/>
                    </a:ln>
                  </pic:spPr>
                </pic:pic>
              </a:graphicData>
            </a:graphic>
          </wp:inline>
        </w:drawing>
      </w:r>
    </w:p>
    <w:p w14:paraId="2B688259" w14:textId="3A577B0D" w:rsidR="006D76AB" w:rsidRPr="009A7163" w:rsidRDefault="006D76AB" w:rsidP="00293176">
      <w:pPr>
        <w:pStyle w:val="Heading4"/>
        <w:spacing w:before="360"/>
      </w:pPr>
      <w:bookmarkStart w:id="86" w:name="_Toc526819309"/>
      <w:r w:rsidRPr="009A7163">
        <w:lastRenderedPageBreak/>
        <w:t>4.7.1.2 Cooperativa Juan Francisco Paz de Silva</w:t>
      </w:r>
      <w:bookmarkEnd w:id="86"/>
    </w:p>
    <w:p w14:paraId="635D490D" w14:textId="3D3D8F63" w:rsidR="006D76AB" w:rsidRPr="009A7163" w:rsidRDefault="006D76AB" w:rsidP="00293176">
      <w:pPr>
        <w:spacing w:line="360" w:lineRule="auto"/>
        <w:ind w:firstLine="720"/>
        <w:jc w:val="both"/>
      </w:pPr>
      <w:r w:rsidRPr="009A7163">
        <w:rPr>
          <w:bCs/>
          <w:iCs/>
        </w:rPr>
        <w:t xml:space="preserve">The principal cooperative this case study focuses on is the </w:t>
      </w:r>
      <w:r w:rsidRPr="009A7163">
        <w:rPr>
          <w:iCs/>
        </w:rPr>
        <w:t>Cooperativa Juan Francisco Paz de Silva (CJFPS) located in the municipality of Achuapa, Department of León (</w:t>
      </w:r>
      <w:r w:rsidR="00F03445" w:rsidRPr="009A7163">
        <w:rPr>
          <w:iCs/>
        </w:rPr>
        <w:t>see Plate 4.2</w:t>
      </w:r>
      <w:r w:rsidRPr="009A7163">
        <w:rPr>
          <w:iCs/>
        </w:rPr>
        <w:t xml:space="preserve">). </w:t>
      </w:r>
      <w:r w:rsidRPr="009A7163">
        <w:t>CJFPS is the major business in Achuapa. It is a member of the Del Campo cooperative,</w:t>
      </w:r>
      <w:r w:rsidR="001B3600" w:rsidRPr="009A7163">
        <w:t xml:space="preserve"> a second-level cooperative,</w:t>
      </w:r>
      <w:r w:rsidRPr="009A7163">
        <w:rPr>
          <w:rStyle w:val="FootnoteReference"/>
        </w:rPr>
        <w:footnoteReference w:id="79"/>
      </w:r>
      <w:r w:rsidRPr="009A7163">
        <w:t xml:space="preserve"> which in turn is a member of CAFENICA. CJFPS is a first-level cooperative that was founded in 1991,</w:t>
      </w:r>
      <w:r w:rsidR="001B3600" w:rsidRPr="009A7163">
        <w:rPr>
          <w:rStyle w:val="FootnoteReference"/>
        </w:rPr>
        <w:footnoteReference w:id="80"/>
      </w:r>
      <w:r w:rsidRPr="009A7163">
        <w:t xml:space="preserve"> and membership has now grown to 280 farmers (210 male and 70 female). The cooperative was </w:t>
      </w:r>
      <w:r w:rsidRPr="009A7163">
        <w:rPr>
          <w:bCs/>
          <w:iCs/>
        </w:rPr>
        <w:t xml:space="preserve">founded over 25 years ago by a group of men who had fought in the Revolution in the remote Achuapa region, an area affected by climate change as well as by environmental degradation resulting from intensive cotton production in the past. Many CJFPS members live in rural communities that can only be reached by horseback or on foot. Members of the cooperative produce maize, beans and sorghum as local food crops and sell sesame as a cash crop, which provides a regular income. In addition, the cooperative receives a Fairtrade premium (certified by FLO and </w:t>
      </w:r>
      <w:r w:rsidR="001B3600" w:rsidRPr="009A7163">
        <w:rPr>
          <w:bCs/>
          <w:iCs/>
        </w:rPr>
        <w:t xml:space="preserve">Body Shop International Community Trade, or </w:t>
      </w:r>
      <w:r w:rsidRPr="009A7163">
        <w:rPr>
          <w:bCs/>
          <w:iCs/>
        </w:rPr>
        <w:t xml:space="preserve">BSI </w:t>
      </w:r>
      <w:r w:rsidR="00AA324E" w:rsidRPr="009A7163">
        <w:rPr>
          <w:bCs/>
          <w:iCs/>
        </w:rPr>
        <w:t>CT</w:t>
      </w:r>
      <w:r w:rsidRPr="009A7163">
        <w:rPr>
          <w:rStyle w:val="FootnoteReference"/>
          <w:bCs/>
          <w:iCs/>
        </w:rPr>
        <w:footnoteReference w:id="81"/>
      </w:r>
      <w:r w:rsidRPr="009A7163">
        <w:rPr>
          <w:bCs/>
          <w:iCs/>
        </w:rPr>
        <w:t>), which is invested in the community.</w:t>
      </w:r>
      <w:r w:rsidRPr="009A7163">
        <w:rPr>
          <w:b/>
          <w:bCs/>
          <w:iCs/>
        </w:rPr>
        <w:t xml:space="preserve"> </w:t>
      </w:r>
      <w:r w:rsidRPr="009A7163">
        <w:t xml:space="preserve">CJFPS exports, on average, 70 tons of FT and </w:t>
      </w:r>
      <w:r w:rsidR="001B3600" w:rsidRPr="009A7163">
        <w:t xml:space="preserve">BSI </w:t>
      </w:r>
      <w:r w:rsidRPr="009A7163">
        <w:t xml:space="preserve">CT sesame seed and oil per year. CJFPS </w:t>
      </w:r>
      <w:r w:rsidR="001B3600" w:rsidRPr="009A7163">
        <w:t>and</w:t>
      </w:r>
      <w:r w:rsidRPr="009A7163">
        <w:t xml:space="preserve"> Del Campo together they export 70% the national production of sesame to markets in Europe, Japan, USA and Central America.</w:t>
      </w:r>
    </w:p>
    <w:p w14:paraId="0CC864D2" w14:textId="041D252C" w:rsidR="006D76AB" w:rsidRPr="009A7163" w:rsidRDefault="006D76AB" w:rsidP="00293176">
      <w:pPr>
        <w:spacing w:line="360" w:lineRule="auto"/>
        <w:ind w:firstLine="720"/>
        <w:jc w:val="both"/>
        <w:rPr>
          <w:iCs/>
        </w:rPr>
      </w:pPr>
      <w:r w:rsidRPr="009A7163">
        <w:t xml:space="preserve">CJFPS has an on-going trade relationship with BSI and L’Oreal. The cooperative is BSI’s sole supplier of </w:t>
      </w:r>
      <w:r w:rsidR="00AA324E" w:rsidRPr="009A7163">
        <w:t>CT</w:t>
      </w:r>
      <w:r w:rsidRPr="009A7163">
        <w:t xml:space="preserve"> sesame oil. They sell to BSI via Ético. The cooperative offers a diverse range of services to its members (e.g., health clinic, training and credit) that are in part financed by a premium from FT sales.</w:t>
      </w:r>
      <w:r w:rsidRPr="009A7163">
        <w:rPr>
          <w:iCs/>
        </w:rPr>
        <w:t xml:space="preserve"> Among its many initiatives are a shop that sells basic goods, an acupuncture clinic, a microfinance bank, </w:t>
      </w:r>
      <w:r w:rsidRPr="009A7163">
        <w:rPr>
          <w:iCs/>
        </w:rPr>
        <w:lastRenderedPageBreak/>
        <w:t xml:space="preserve">a model farm, water projects to bring clean running water to outlying villages and a state-certified technical school. These have been financed in part by the premium paid by FT and </w:t>
      </w:r>
      <w:r w:rsidR="00AA324E" w:rsidRPr="009A7163">
        <w:rPr>
          <w:iCs/>
        </w:rPr>
        <w:t>CT</w:t>
      </w:r>
      <w:r w:rsidRPr="009A7163">
        <w:rPr>
          <w:iCs/>
        </w:rPr>
        <w:t xml:space="preserve">. </w:t>
      </w:r>
      <w:r w:rsidRPr="009A7163">
        <w:rPr>
          <w:bCs/>
          <w:iCs/>
        </w:rPr>
        <w:t>CJFPS</w:t>
      </w:r>
      <w:r w:rsidRPr="009A7163">
        <w:rPr>
          <w:iCs/>
        </w:rPr>
        <w:t xml:space="preserve"> has been the pioneer partner cooperative for the initiative of what they have named the fund for the “Recognition of the Unpaid Work of Women” since 2008. </w:t>
      </w:r>
    </w:p>
    <w:p w14:paraId="31BCEE48" w14:textId="75764D83" w:rsidR="00996FA3" w:rsidRPr="009A7163" w:rsidRDefault="00996FA3" w:rsidP="00AE6A5B">
      <w:pPr>
        <w:spacing w:before="360" w:line="360" w:lineRule="auto"/>
        <w:jc w:val="both"/>
        <w:rPr>
          <w:iCs/>
        </w:rPr>
      </w:pPr>
      <w:bookmarkStart w:id="87" w:name="_Toc526710036"/>
      <w:r w:rsidRPr="009A7163">
        <w:rPr>
          <w:rStyle w:val="PlateTOCChar"/>
        </w:rPr>
        <w:t>Plate 4.2. Geographical Location of CJFPS in Achuapa, Part of the Del Campo Union of Cooperatives</w:t>
      </w:r>
      <w:bookmarkEnd w:id="87"/>
      <w:r w:rsidRPr="009A7163">
        <w:rPr>
          <w:iCs/>
        </w:rPr>
        <w:t xml:space="preserve"> (</w:t>
      </w:r>
      <w:r w:rsidRPr="009A7163">
        <w:rPr>
          <w:i/>
          <w:iCs/>
        </w:rPr>
        <w:t>Source</w:t>
      </w:r>
      <w:r w:rsidRPr="009A7163">
        <w:rPr>
          <w:iCs/>
        </w:rPr>
        <w:t>: Del Campo)</w:t>
      </w:r>
    </w:p>
    <w:p w14:paraId="7ED091BE" w14:textId="77777777" w:rsidR="006D76AB" w:rsidRPr="009A7163" w:rsidRDefault="006D76AB" w:rsidP="00293176">
      <w:pPr>
        <w:spacing w:line="360" w:lineRule="auto"/>
        <w:jc w:val="both"/>
        <w:rPr>
          <w:iCs/>
        </w:rPr>
      </w:pPr>
      <w:r w:rsidRPr="009A7163">
        <w:rPr>
          <w:noProof/>
          <w:lang w:eastAsia="en-GB"/>
        </w:rPr>
        <w:drawing>
          <wp:inline distT="0" distB="0" distL="0" distR="0" wp14:anchorId="3BE6B38E" wp14:editId="15C24482">
            <wp:extent cx="522558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9459" cy="3758007"/>
                    </a:xfrm>
                    <a:prstGeom prst="rect">
                      <a:avLst/>
                    </a:prstGeom>
                  </pic:spPr>
                </pic:pic>
              </a:graphicData>
            </a:graphic>
          </wp:inline>
        </w:drawing>
      </w:r>
    </w:p>
    <w:p w14:paraId="5F1BD7AC" w14:textId="77777777" w:rsidR="006D76AB" w:rsidRPr="009A7163" w:rsidRDefault="006D76AB" w:rsidP="00293176">
      <w:pPr>
        <w:pStyle w:val="Heading4"/>
        <w:spacing w:before="360"/>
      </w:pPr>
      <w:bookmarkStart w:id="88" w:name="_Toc526819310"/>
      <w:r w:rsidRPr="009A7163">
        <w:t>4.7.1.3 The Buyers: Ético and Body Shop International</w:t>
      </w:r>
      <w:bookmarkEnd w:id="88"/>
      <w:r w:rsidRPr="009A7163">
        <w:t xml:space="preserve"> </w:t>
      </w:r>
    </w:p>
    <w:p w14:paraId="70251456" w14:textId="0A79C5D0" w:rsidR="00B172B8" w:rsidRPr="009A7163" w:rsidRDefault="006D76AB" w:rsidP="00293176">
      <w:pPr>
        <w:spacing w:line="360" w:lineRule="auto"/>
        <w:jc w:val="both"/>
      </w:pPr>
      <w:r w:rsidRPr="009A7163">
        <w:rPr>
          <w:bCs/>
          <w:iCs/>
        </w:rPr>
        <w:tab/>
      </w:r>
      <w:r w:rsidRPr="009A7163">
        <w:t xml:space="preserve"> </w:t>
      </w:r>
      <w:r w:rsidR="001B3600" w:rsidRPr="009A7163">
        <w:t xml:space="preserve">As stated above, </w:t>
      </w:r>
      <w:r w:rsidRPr="009A7163">
        <w:t xml:space="preserve">CJFPS sells their product to BSI through Ético. Both companies have played an important part in the development of the pricing structure. As explained in Chapter </w:t>
      </w:r>
      <w:r w:rsidR="001B3600" w:rsidRPr="009A7163">
        <w:t>One</w:t>
      </w:r>
      <w:r w:rsidRPr="009A7163">
        <w:t>, Ético was founded in 2004 as an ethical trading company in the United Kingdom to ‘provide sesame and coffee producing cooperatives in Nicaragua the opportunity to move up the value chain, namely to export their products to international markets’ (Ético website)</w:t>
      </w:r>
      <w:r w:rsidR="003503CE" w:rsidRPr="009A7163">
        <w:rPr>
          <w:rStyle w:val="FootnoteReference"/>
        </w:rPr>
        <w:footnoteReference w:id="82"/>
      </w:r>
      <w:r w:rsidRPr="009A7163">
        <w:t>. The sesame cooperatives refine and deliver their sesame oil via Ético to the main buyer L’Oreal</w:t>
      </w:r>
      <w:r w:rsidR="00BA6789" w:rsidRPr="009A7163">
        <w:t xml:space="preserve"> and </w:t>
      </w:r>
      <w:r w:rsidRPr="009A7163">
        <w:t xml:space="preserve">BSI. Furthermore, Ético increasingly sells more of the sesame production (conventional and/or organic) to </w:t>
      </w:r>
      <w:r w:rsidRPr="009A7163">
        <w:lastRenderedPageBreak/>
        <w:t>buyers in the UK and Japan. It further assists cooperatives in improving their processing facilities and supports initiatives to increase productivity by helping cooperatives access credit from ethical lenders like Rababank. Ético introduced the idea of costing in the unpaid work of women into FT contracts and later negotiated this payment as well as organ</w:t>
      </w:r>
      <w:r w:rsidR="00C95A06" w:rsidRPr="009A7163">
        <w:t>ise</w:t>
      </w:r>
      <w:r w:rsidRPr="009A7163">
        <w:t>d the first shipment of coffee and sesame under this new contract terms. It has since been a prominent promoter of the initiative and has introduced the idea to a number of its coffee buyers (three in total)</w:t>
      </w:r>
      <w:r w:rsidRPr="009A7163">
        <w:rPr>
          <w:i/>
        </w:rPr>
        <w:t xml:space="preserve"> </w:t>
      </w:r>
      <w:r w:rsidRPr="009A7163">
        <w:t xml:space="preserve">and </w:t>
      </w:r>
      <w:r w:rsidR="007553E1" w:rsidRPr="009A7163">
        <w:t>to three other</w:t>
      </w:r>
      <w:r w:rsidRPr="009A7163">
        <w:t xml:space="preserve"> cooperatives</w:t>
      </w:r>
      <w:r w:rsidR="007553E1" w:rsidRPr="009A7163">
        <w:t xml:space="preserve">, </w:t>
      </w:r>
      <w:r w:rsidRPr="009A7163">
        <w:t>which have since introduced this pricing mechanism into their pricing structure.</w:t>
      </w:r>
    </w:p>
    <w:p w14:paraId="59CB360D" w14:textId="6C53E553" w:rsidR="006D76AB" w:rsidRPr="009A7163" w:rsidRDefault="006D76AB" w:rsidP="007A3A29">
      <w:pPr>
        <w:spacing w:line="360" w:lineRule="auto"/>
        <w:jc w:val="both"/>
        <w:rPr>
          <w:b/>
        </w:rPr>
      </w:pPr>
    </w:p>
    <w:p w14:paraId="63E58768" w14:textId="77777777" w:rsidR="006D76AB" w:rsidRPr="009A7163" w:rsidRDefault="006D76AB" w:rsidP="008C041F">
      <w:pPr>
        <w:pStyle w:val="Heading4"/>
      </w:pPr>
      <w:bookmarkStart w:id="89" w:name="_Toc526819311"/>
      <w:r w:rsidRPr="009A7163">
        <w:t>4.7.1.4 The Pricing Model for CFJPS</w:t>
      </w:r>
      <w:bookmarkEnd w:id="89"/>
      <w:r w:rsidRPr="009A7163">
        <w:t xml:space="preserve"> </w:t>
      </w:r>
    </w:p>
    <w:p w14:paraId="77889631" w14:textId="0A9A22D7" w:rsidR="006D76AB" w:rsidRPr="009A7163" w:rsidRDefault="006D76AB" w:rsidP="00293176">
      <w:pPr>
        <w:widowControl w:val="0"/>
        <w:autoSpaceDE w:val="0"/>
        <w:autoSpaceDN w:val="0"/>
        <w:adjustRightInd w:val="0"/>
        <w:spacing w:line="360" w:lineRule="auto"/>
        <w:ind w:firstLine="720"/>
        <w:jc w:val="both"/>
      </w:pPr>
      <w:r w:rsidRPr="009A7163">
        <w:t xml:space="preserve">The move to incorporate unpaid work in the costs of production has its origins in the work of Ético, which has been working with Nicaraguan cooperatives since 2004 to develop and facilitate FT contracts. In 2005, it was agreed that Ético needed a policy on gender to guide future developments. When drafted, it made a commitment to ‘empower’ women and draw on the dynamism of women to strengthen the cooperative movement (Ético, 2005). The policy also recognised the importance of the unpaid work that women do. The idea of including unpaid work in the costs of FT production came initially from researchers working with Ético, as described in Chapter </w:t>
      </w:r>
      <w:r w:rsidR="001B3600" w:rsidRPr="009A7163">
        <w:t>One,</w:t>
      </w:r>
      <w:r w:rsidRPr="009A7163">
        <w:t xml:space="preserve"> and at the same time</w:t>
      </w:r>
      <w:r w:rsidR="001B3600" w:rsidRPr="009A7163">
        <w:t xml:space="preserve"> </w:t>
      </w:r>
      <w:r w:rsidRPr="009A7163">
        <w:t xml:space="preserve">CJFPS was also adopting a gender policy. </w:t>
      </w:r>
    </w:p>
    <w:p w14:paraId="4DF6C7D7" w14:textId="56375132" w:rsidR="006D76AB" w:rsidRPr="009A7163" w:rsidRDefault="006D76AB" w:rsidP="00293176">
      <w:pPr>
        <w:widowControl w:val="0"/>
        <w:autoSpaceDE w:val="0"/>
        <w:autoSpaceDN w:val="0"/>
        <w:adjustRightInd w:val="0"/>
        <w:spacing w:line="360" w:lineRule="auto"/>
        <w:ind w:firstLine="720"/>
        <w:jc w:val="both"/>
      </w:pPr>
      <w:r w:rsidRPr="009A7163">
        <w:t xml:space="preserve">All BSI contracts are based on an initial assessment of the production costs by the producers, which is unusual for contracts of this kind. In 2006, CJFPS and Ético saw the opportunity to negotiate a new price that included both ‘family inputs’ and ‘unpaid work’, although it is not clear if everyone understood or agreed on the terminology and what it actually meant. After rough calculations, a figure of 960 cordobas a year, approximately $50 per </w:t>
      </w:r>
      <w:r w:rsidRPr="009A7163">
        <w:rPr>
          <w:i/>
        </w:rPr>
        <w:t>manzana</w:t>
      </w:r>
      <w:r w:rsidRPr="009A7163">
        <w:t xml:space="preserve"> was agreed according to the exchange rate at that time. This additional </w:t>
      </w:r>
      <w:r w:rsidR="0000353F" w:rsidRPr="009A7163">
        <w:t xml:space="preserve">unpaid labour premium incorporated as a </w:t>
      </w:r>
      <w:r w:rsidRPr="009A7163">
        <w:t xml:space="preserve">cost </w:t>
      </w:r>
      <w:r w:rsidR="0000353F" w:rsidRPr="009A7163">
        <w:t xml:space="preserve">and part of farm gate prices </w:t>
      </w:r>
      <w:r w:rsidRPr="009A7163">
        <w:t xml:space="preserve">was accepted by BSI, although they wanted more detail as to what was actually being paid for. A detailed justification was then prepared by the cooperative. In this way, a charge was made for the costs of production to account for the previously unpaid work of women and added to the price paid for sesame. The price was amended to include this </w:t>
      </w:r>
      <w:r w:rsidR="0000353F" w:rsidRPr="009A7163">
        <w:t xml:space="preserve">additional unpaid labour </w:t>
      </w:r>
      <w:r w:rsidRPr="009A7163">
        <w:t>premium in 2008 and has been paid ever since.</w:t>
      </w:r>
    </w:p>
    <w:p w14:paraId="0F5D6EA2" w14:textId="5601A5A0" w:rsidR="006D76AB" w:rsidRPr="009A7163" w:rsidRDefault="006D76AB" w:rsidP="00293176">
      <w:pPr>
        <w:widowControl w:val="0"/>
        <w:autoSpaceDE w:val="0"/>
        <w:autoSpaceDN w:val="0"/>
        <w:adjustRightInd w:val="0"/>
        <w:spacing w:line="360" w:lineRule="auto"/>
        <w:ind w:firstLine="720"/>
        <w:jc w:val="both"/>
        <w:rPr>
          <w:bCs/>
          <w:iCs/>
        </w:rPr>
      </w:pPr>
      <w:r w:rsidRPr="009A7163">
        <w:t xml:space="preserve">The extra money paid by BSI for women’s work has not been paid </w:t>
      </w:r>
      <w:r w:rsidR="008E283E" w:rsidRPr="009A7163">
        <w:t>d</w:t>
      </w:r>
      <w:r w:rsidRPr="009A7163">
        <w:t xml:space="preserve">irectly to individual farms or to the women </w:t>
      </w:r>
      <w:r w:rsidR="008E283E" w:rsidRPr="009A7163">
        <w:t xml:space="preserve">who live on </w:t>
      </w:r>
      <w:r w:rsidRPr="009A7163">
        <w:t xml:space="preserve">them. Instead, the cooperative leaders </w:t>
      </w:r>
      <w:r w:rsidRPr="009A7163">
        <w:lastRenderedPageBreak/>
        <w:t xml:space="preserve">decided to set up a general savings and loan scheme for women in the cooperative as a way of both benefiting women and strengthening the cooperative itself. This fund, known as the </w:t>
      </w:r>
      <w:r w:rsidRPr="009A7163">
        <w:rPr>
          <w:bCs/>
          <w:iCs/>
        </w:rPr>
        <w:t>Anita-Maria Zunilda Fund</w:t>
      </w:r>
      <w:r w:rsidRPr="009A7163">
        <w:t>, is open to any wom</w:t>
      </w:r>
      <w:r w:rsidR="008E283E" w:rsidRPr="009A7163">
        <w:t>a</w:t>
      </w:r>
      <w:r w:rsidRPr="009A7163">
        <w:t xml:space="preserve">n in the communities where the cooperative works. Through the savings and loan scheme, women who save up to $100 have these sums doubled by a loan from the cooperative in recognition of unpaid work. They are encouraged to form groups and use the money for collective and individual projects, and they are also encouraged to eventually pay back the loan. Since they have to provide the first $100 and have to pay back the second $100, in essence, they have to work for the money that has been paid for their previously unpaid work. </w:t>
      </w:r>
      <w:r w:rsidRPr="009A7163">
        <w:rPr>
          <w:bCs/>
          <w:iCs/>
        </w:rPr>
        <w:t xml:space="preserve">The fund enables them to set up small businesses to increase their income (Butler, 2014). </w:t>
      </w:r>
      <w:r w:rsidRPr="009A7163">
        <w:t xml:space="preserve">Over </w:t>
      </w:r>
      <w:r w:rsidRPr="009A7163">
        <w:rPr>
          <w:bCs/>
          <w:iCs/>
        </w:rPr>
        <w:t>100 women have accessed the money from the initiative channelled into the Anita-Maria Zunilda Fund.</w:t>
      </w:r>
      <w:r w:rsidRPr="009A7163">
        <w:rPr>
          <w:rStyle w:val="FootnoteReference"/>
          <w:bCs/>
          <w:iCs/>
        </w:rPr>
        <w:footnoteReference w:id="83"/>
      </w:r>
      <w:r w:rsidRPr="009A7163">
        <w:rPr>
          <w:bCs/>
          <w:iCs/>
        </w:rPr>
        <w:t xml:space="preserve"> The women who participate in the fund are from rural and urban areas and are located at great varying distances from the town of Achuapa with some living up to two hours away by bus and foot. See Plate </w:t>
      </w:r>
      <w:r w:rsidR="008E283E" w:rsidRPr="009A7163">
        <w:rPr>
          <w:bCs/>
          <w:iCs/>
        </w:rPr>
        <w:t>4.3</w:t>
      </w:r>
      <w:r w:rsidRPr="009A7163">
        <w:rPr>
          <w:bCs/>
          <w:iCs/>
        </w:rPr>
        <w:t xml:space="preserve"> and </w:t>
      </w:r>
      <w:r w:rsidR="008E283E" w:rsidRPr="009A7163">
        <w:rPr>
          <w:bCs/>
          <w:iCs/>
        </w:rPr>
        <w:t>4.4</w:t>
      </w:r>
      <w:r w:rsidRPr="009A7163">
        <w:rPr>
          <w:bCs/>
          <w:iCs/>
        </w:rPr>
        <w:t xml:space="preserve"> </w:t>
      </w:r>
      <w:r w:rsidR="008E283E" w:rsidRPr="009A7163">
        <w:rPr>
          <w:bCs/>
          <w:iCs/>
        </w:rPr>
        <w:t xml:space="preserve">below </w:t>
      </w:r>
      <w:r w:rsidRPr="009A7163">
        <w:rPr>
          <w:bCs/>
          <w:iCs/>
        </w:rPr>
        <w:t>for the location of the women participants of the initiative.</w:t>
      </w:r>
    </w:p>
    <w:p w14:paraId="54E0021A" w14:textId="77777777" w:rsidR="00F03445" w:rsidRPr="009A7163" w:rsidRDefault="00F03445" w:rsidP="00293176">
      <w:pPr>
        <w:widowControl w:val="0"/>
        <w:autoSpaceDE w:val="0"/>
        <w:autoSpaceDN w:val="0"/>
        <w:adjustRightInd w:val="0"/>
        <w:spacing w:line="360" w:lineRule="auto"/>
        <w:jc w:val="both"/>
        <w:rPr>
          <w:bCs/>
          <w:iCs/>
        </w:rPr>
      </w:pPr>
    </w:p>
    <w:p w14:paraId="30BD837A" w14:textId="77777777" w:rsidR="00F03445" w:rsidRPr="009A7163" w:rsidRDefault="00F03445" w:rsidP="00293176">
      <w:pPr>
        <w:widowControl w:val="0"/>
        <w:autoSpaceDE w:val="0"/>
        <w:autoSpaceDN w:val="0"/>
        <w:adjustRightInd w:val="0"/>
        <w:spacing w:line="360" w:lineRule="auto"/>
        <w:jc w:val="both"/>
        <w:rPr>
          <w:bCs/>
          <w:iCs/>
        </w:rPr>
      </w:pPr>
    </w:p>
    <w:p w14:paraId="7169A59A" w14:textId="10E57C6B" w:rsidR="00F03445" w:rsidRPr="009A7163" w:rsidRDefault="00F03445" w:rsidP="00293176">
      <w:pPr>
        <w:widowControl w:val="0"/>
        <w:autoSpaceDE w:val="0"/>
        <w:autoSpaceDN w:val="0"/>
        <w:adjustRightInd w:val="0"/>
        <w:spacing w:line="360" w:lineRule="auto"/>
        <w:jc w:val="both"/>
        <w:rPr>
          <w:bCs/>
          <w:iCs/>
        </w:rPr>
      </w:pPr>
    </w:p>
    <w:p w14:paraId="4EE2C067" w14:textId="792AC954" w:rsidR="008E283E" w:rsidRPr="009A7163" w:rsidRDefault="008E283E" w:rsidP="00293176">
      <w:pPr>
        <w:widowControl w:val="0"/>
        <w:autoSpaceDE w:val="0"/>
        <w:autoSpaceDN w:val="0"/>
        <w:adjustRightInd w:val="0"/>
        <w:spacing w:line="360" w:lineRule="auto"/>
        <w:jc w:val="both"/>
        <w:rPr>
          <w:bCs/>
          <w:iCs/>
        </w:rPr>
      </w:pPr>
    </w:p>
    <w:p w14:paraId="797A86BC" w14:textId="7B704119" w:rsidR="008E283E" w:rsidRPr="009A7163" w:rsidRDefault="008E283E" w:rsidP="00293176">
      <w:pPr>
        <w:widowControl w:val="0"/>
        <w:autoSpaceDE w:val="0"/>
        <w:autoSpaceDN w:val="0"/>
        <w:adjustRightInd w:val="0"/>
        <w:spacing w:line="360" w:lineRule="auto"/>
        <w:jc w:val="both"/>
        <w:rPr>
          <w:bCs/>
          <w:iCs/>
        </w:rPr>
      </w:pPr>
    </w:p>
    <w:p w14:paraId="1C7E50F9" w14:textId="7E7E1600" w:rsidR="008E283E" w:rsidRPr="009A7163" w:rsidRDefault="008E283E" w:rsidP="00293176">
      <w:pPr>
        <w:widowControl w:val="0"/>
        <w:autoSpaceDE w:val="0"/>
        <w:autoSpaceDN w:val="0"/>
        <w:adjustRightInd w:val="0"/>
        <w:spacing w:line="360" w:lineRule="auto"/>
        <w:jc w:val="both"/>
        <w:rPr>
          <w:bCs/>
          <w:iCs/>
        </w:rPr>
      </w:pPr>
    </w:p>
    <w:p w14:paraId="461EE720" w14:textId="77777777" w:rsidR="008E283E" w:rsidRPr="009A7163" w:rsidRDefault="008E283E" w:rsidP="00293176">
      <w:pPr>
        <w:widowControl w:val="0"/>
        <w:autoSpaceDE w:val="0"/>
        <w:autoSpaceDN w:val="0"/>
        <w:adjustRightInd w:val="0"/>
        <w:spacing w:line="360" w:lineRule="auto"/>
        <w:jc w:val="both"/>
        <w:rPr>
          <w:bCs/>
          <w:iCs/>
        </w:rPr>
      </w:pPr>
    </w:p>
    <w:p w14:paraId="7D02ED51" w14:textId="77777777" w:rsidR="00F03445" w:rsidRPr="009A7163" w:rsidRDefault="00F03445" w:rsidP="00293176">
      <w:pPr>
        <w:widowControl w:val="0"/>
        <w:autoSpaceDE w:val="0"/>
        <w:autoSpaceDN w:val="0"/>
        <w:adjustRightInd w:val="0"/>
        <w:spacing w:line="360" w:lineRule="auto"/>
        <w:jc w:val="both"/>
        <w:rPr>
          <w:bCs/>
          <w:iCs/>
        </w:rPr>
      </w:pPr>
    </w:p>
    <w:p w14:paraId="74573DAD" w14:textId="77777777" w:rsidR="00F03445" w:rsidRPr="009A7163" w:rsidRDefault="00F03445" w:rsidP="00293176">
      <w:pPr>
        <w:widowControl w:val="0"/>
        <w:autoSpaceDE w:val="0"/>
        <w:autoSpaceDN w:val="0"/>
        <w:adjustRightInd w:val="0"/>
        <w:spacing w:line="360" w:lineRule="auto"/>
        <w:jc w:val="both"/>
        <w:rPr>
          <w:bCs/>
          <w:iCs/>
        </w:rPr>
      </w:pPr>
    </w:p>
    <w:p w14:paraId="51E5FC6C" w14:textId="77777777" w:rsidR="00F03445" w:rsidRPr="009A7163" w:rsidRDefault="00F03445" w:rsidP="00293176">
      <w:pPr>
        <w:widowControl w:val="0"/>
        <w:autoSpaceDE w:val="0"/>
        <w:autoSpaceDN w:val="0"/>
        <w:adjustRightInd w:val="0"/>
        <w:spacing w:line="360" w:lineRule="auto"/>
        <w:jc w:val="both"/>
        <w:rPr>
          <w:bCs/>
          <w:iCs/>
        </w:rPr>
      </w:pPr>
    </w:p>
    <w:p w14:paraId="7F11AEB2" w14:textId="77777777" w:rsidR="00F03445" w:rsidRPr="009A7163" w:rsidRDefault="00F03445" w:rsidP="00293176">
      <w:pPr>
        <w:widowControl w:val="0"/>
        <w:autoSpaceDE w:val="0"/>
        <w:autoSpaceDN w:val="0"/>
        <w:adjustRightInd w:val="0"/>
        <w:spacing w:line="360" w:lineRule="auto"/>
        <w:jc w:val="both"/>
        <w:rPr>
          <w:bCs/>
          <w:iCs/>
        </w:rPr>
      </w:pPr>
    </w:p>
    <w:p w14:paraId="6467DF58" w14:textId="77777777" w:rsidR="00F03445" w:rsidRPr="009A7163" w:rsidRDefault="00F03445" w:rsidP="00293176">
      <w:pPr>
        <w:widowControl w:val="0"/>
        <w:autoSpaceDE w:val="0"/>
        <w:autoSpaceDN w:val="0"/>
        <w:adjustRightInd w:val="0"/>
        <w:spacing w:line="360" w:lineRule="auto"/>
        <w:jc w:val="both"/>
        <w:rPr>
          <w:bCs/>
          <w:iCs/>
        </w:rPr>
      </w:pPr>
    </w:p>
    <w:p w14:paraId="105C84AA" w14:textId="77777777" w:rsidR="002579C3" w:rsidRDefault="002579C3" w:rsidP="00293176">
      <w:pPr>
        <w:widowControl w:val="0"/>
        <w:autoSpaceDE w:val="0"/>
        <w:autoSpaceDN w:val="0"/>
        <w:adjustRightInd w:val="0"/>
        <w:spacing w:line="360" w:lineRule="auto"/>
        <w:jc w:val="both"/>
        <w:rPr>
          <w:rStyle w:val="PlateTOCChar"/>
        </w:rPr>
      </w:pPr>
    </w:p>
    <w:p w14:paraId="380AA476" w14:textId="77777777" w:rsidR="002579C3" w:rsidRDefault="002579C3" w:rsidP="00293176">
      <w:pPr>
        <w:widowControl w:val="0"/>
        <w:autoSpaceDE w:val="0"/>
        <w:autoSpaceDN w:val="0"/>
        <w:adjustRightInd w:val="0"/>
        <w:spacing w:line="360" w:lineRule="auto"/>
        <w:jc w:val="both"/>
        <w:rPr>
          <w:rStyle w:val="PlateTOCChar"/>
        </w:rPr>
      </w:pPr>
    </w:p>
    <w:p w14:paraId="64BDE225" w14:textId="77777777" w:rsidR="002579C3" w:rsidRDefault="002579C3" w:rsidP="00293176">
      <w:pPr>
        <w:widowControl w:val="0"/>
        <w:autoSpaceDE w:val="0"/>
        <w:autoSpaceDN w:val="0"/>
        <w:adjustRightInd w:val="0"/>
        <w:spacing w:line="360" w:lineRule="auto"/>
        <w:jc w:val="both"/>
        <w:rPr>
          <w:rStyle w:val="PlateTOCChar"/>
        </w:rPr>
      </w:pPr>
    </w:p>
    <w:p w14:paraId="0FF2E34C" w14:textId="77777777" w:rsidR="002579C3" w:rsidRDefault="002579C3" w:rsidP="00293176">
      <w:pPr>
        <w:widowControl w:val="0"/>
        <w:autoSpaceDE w:val="0"/>
        <w:autoSpaceDN w:val="0"/>
        <w:adjustRightInd w:val="0"/>
        <w:spacing w:line="360" w:lineRule="auto"/>
        <w:jc w:val="both"/>
        <w:rPr>
          <w:rStyle w:val="PlateTOCChar"/>
        </w:rPr>
      </w:pPr>
    </w:p>
    <w:p w14:paraId="48AA0D57" w14:textId="41FC87CF" w:rsidR="00F03445" w:rsidRPr="009A7163" w:rsidRDefault="00F03445" w:rsidP="00293176">
      <w:pPr>
        <w:widowControl w:val="0"/>
        <w:autoSpaceDE w:val="0"/>
        <w:autoSpaceDN w:val="0"/>
        <w:adjustRightInd w:val="0"/>
        <w:spacing w:line="360" w:lineRule="auto"/>
        <w:jc w:val="both"/>
        <w:rPr>
          <w:bCs/>
          <w:iCs/>
        </w:rPr>
      </w:pPr>
      <w:bookmarkStart w:id="90" w:name="_Toc526710037"/>
      <w:r w:rsidRPr="009A7163">
        <w:rPr>
          <w:rStyle w:val="PlateTOCChar"/>
        </w:rPr>
        <w:lastRenderedPageBreak/>
        <w:t xml:space="preserve">Plate 4.3. Location of the Women </w:t>
      </w:r>
      <w:r w:rsidR="008E283E" w:rsidRPr="009A7163">
        <w:rPr>
          <w:rStyle w:val="PlateTOCChar"/>
        </w:rPr>
        <w:t>P</w:t>
      </w:r>
      <w:r w:rsidRPr="009A7163">
        <w:rPr>
          <w:rStyle w:val="PlateTOCChar"/>
        </w:rPr>
        <w:t>articipants of the Initiative in Achuapa</w:t>
      </w:r>
      <w:bookmarkEnd w:id="90"/>
      <w:r w:rsidRPr="009A7163">
        <w:rPr>
          <w:bCs/>
          <w:iCs/>
        </w:rPr>
        <w:t xml:space="preserve"> (</w:t>
      </w:r>
      <w:r w:rsidRPr="009A7163">
        <w:rPr>
          <w:bCs/>
          <w:i/>
          <w:iCs/>
        </w:rPr>
        <w:t>Source</w:t>
      </w:r>
      <w:r w:rsidRPr="009A7163">
        <w:rPr>
          <w:bCs/>
          <w:iCs/>
        </w:rPr>
        <w:t xml:space="preserve">: </w:t>
      </w:r>
      <w:r w:rsidRPr="009A7163">
        <w:rPr>
          <w:bCs/>
          <w:lang w:val="es-NI"/>
        </w:rPr>
        <w:t>UNAN-LEON,-CSIG, M. Burkey, and F. Butler, 2013)</w:t>
      </w:r>
    </w:p>
    <w:p w14:paraId="0F38CF15" w14:textId="77777777" w:rsidR="006D76AB" w:rsidRPr="009A7163" w:rsidRDefault="006D76AB" w:rsidP="00293176">
      <w:pPr>
        <w:widowControl w:val="0"/>
        <w:tabs>
          <w:tab w:val="left" w:pos="2160"/>
        </w:tabs>
        <w:autoSpaceDE w:val="0"/>
        <w:autoSpaceDN w:val="0"/>
        <w:adjustRightInd w:val="0"/>
        <w:spacing w:line="360" w:lineRule="auto"/>
        <w:jc w:val="both"/>
        <w:rPr>
          <w:bCs/>
          <w:iCs/>
        </w:rPr>
      </w:pPr>
      <w:r w:rsidRPr="009A7163">
        <w:rPr>
          <w:bCs/>
          <w:iCs/>
          <w:noProof/>
          <w:lang w:eastAsia="en-GB"/>
        </w:rPr>
        <w:drawing>
          <wp:inline distT="0" distB="0" distL="0" distR="0" wp14:anchorId="6DE3B894" wp14:editId="542CFB54">
            <wp:extent cx="5389792" cy="4163060"/>
            <wp:effectExtent l="0" t="0" r="0" b="2540"/>
            <wp:docPr id="3" name="Picture 3" descr="../Revisions/Maps/MAPA%20DE%20LOCAL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isions/Maps/MAPA%20DE%20LOCALIZAC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433" cy="4164328"/>
                    </a:xfrm>
                    <a:prstGeom prst="rect">
                      <a:avLst/>
                    </a:prstGeom>
                    <a:noFill/>
                    <a:ln>
                      <a:noFill/>
                    </a:ln>
                  </pic:spPr>
                </pic:pic>
              </a:graphicData>
            </a:graphic>
          </wp:inline>
        </w:drawing>
      </w:r>
    </w:p>
    <w:p w14:paraId="5E89AC7E"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62AB36CE"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5D626D14"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23FF75DA"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1A590104"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6388C19B" w14:textId="55F77D52" w:rsidR="00F03445" w:rsidRPr="009A7163" w:rsidRDefault="00F03445" w:rsidP="00293176">
      <w:pPr>
        <w:widowControl w:val="0"/>
        <w:tabs>
          <w:tab w:val="left" w:pos="2160"/>
        </w:tabs>
        <w:autoSpaceDE w:val="0"/>
        <w:autoSpaceDN w:val="0"/>
        <w:adjustRightInd w:val="0"/>
        <w:spacing w:line="360" w:lineRule="auto"/>
        <w:jc w:val="both"/>
        <w:rPr>
          <w:bCs/>
          <w:iCs/>
        </w:rPr>
      </w:pPr>
      <w:r w:rsidRPr="009A7163">
        <w:rPr>
          <w:bCs/>
          <w:iCs/>
        </w:rPr>
        <w:t>‘</w:t>
      </w:r>
    </w:p>
    <w:p w14:paraId="4EC81B38"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6DC90430"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53B2A544"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077AF70D"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13645CEE" w14:textId="77777777" w:rsidR="00F03445" w:rsidRPr="009A7163" w:rsidRDefault="00F03445" w:rsidP="00293176">
      <w:pPr>
        <w:widowControl w:val="0"/>
        <w:tabs>
          <w:tab w:val="left" w:pos="2160"/>
        </w:tabs>
        <w:autoSpaceDE w:val="0"/>
        <w:autoSpaceDN w:val="0"/>
        <w:adjustRightInd w:val="0"/>
        <w:spacing w:line="360" w:lineRule="auto"/>
        <w:jc w:val="both"/>
        <w:rPr>
          <w:bCs/>
          <w:iCs/>
        </w:rPr>
      </w:pPr>
    </w:p>
    <w:p w14:paraId="14F1A171" w14:textId="77777777" w:rsidR="002579C3" w:rsidRDefault="002579C3" w:rsidP="00F03445">
      <w:pPr>
        <w:widowControl w:val="0"/>
        <w:autoSpaceDE w:val="0"/>
        <w:autoSpaceDN w:val="0"/>
        <w:adjustRightInd w:val="0"/>
        <w:spacing w:line="360" w:lineRule="auto"/>
        <w:jc w:val="both"/>
        <w:rPr>
          <w:rStyle w:val="PlateTOCChar"/>
        </w:rPr>
      </w:pPr>
    </w:p>
    <w:p w14:paraId="71A9564D" w14:textId="77777777" w:rsidR="002579C3" w:rsidRDefault="002579C3" w:rsidP="00F03445">
      <w:pPr>
        <w:widowControl w:val="0"/>
        <w:autoSpaceDE w:val="0"/>
        <w:autoSpaceDN w:val="0"/>
        <w:adjustRightInd w:val="0"/>
        <w:spacing w:line="360" w:lineRule="auto"/>
        <w:jc w:val="both"/>
        <w:rPr>
          <w:rStyle w:val="PlateTOCChar"/>
        </w:rPr>
      </w:pPr>
    </w:p>
    <w:p w14:paraId="40E8F622" w14:textId="77777777" w:rsidR="002579C3" w:rsidRDefault="002579C3" w:rsidP="00F03445">
      <w:pPr>
        <w:widowControl w:val="0"/>
        <w:autoSpaceDE w:val="0"/>
        <w:autoSpaceDN w:val="0"/>
        <w:adjustRightInd w:val="0"/>
        <w:spacing w:line="360" w:lineRule="auto"/>
        <w:jc w:val="both"/>
        <w:rPr>
          <w:rStyle w:val="PlateTOCChar"/>
        </w:rPr>
      </w:pPr>
    </w:p>
    <w:p w14:paraId="0D0EA29B" w14:textId="77777777" w:rsidR="002579C3" w:rsidRDefault="002579C3" w:rsidP="00F03445">
      <w:pPr>
        <w:widowControl w:val="0"/>
        <w:autoSpaceDE w:val="0"/>
        <w:autoSpaceDN w:val="0"/>
        <w:adjustRightInd w:val="0"/>
        <w:spacing w:line="360" w:lineRule="auto"/>
        <w:jc w:val="both"/>
        <w:rPr>
          <w:rStyle w:val="PlateTOCChar"/>
        </w:rPr>
      </w:pPr>
    </w:p>
    <w:p w14:paraId="21C6F127" w14:textId="60829803" w:rsidR="00F03445" w:rsidRPr="009A7163" w:rsidRDefault="00F03445" w:rsidP="00F03445">
      <w:pPr>
        <w:widowControl w:val="0"/>
        <w:autoSpaceDE w:val="0"/>
        <w:autoSpaceDN w:val="0"/>
        <w:adjustRightInd w:val="0"/>
        <w:spacing w:line="360" w:lineRule="auto"/>
        <w:jc w:val="both"/>
        <w:rPr>
          <w:bCs/>
          <w:iCs/>
        </w:rPr>
      </w:pPr>
      <w:bookmarkStart w:id="91" w:name="_Toc526710038"/>
      <w:r w:rsidRPr="009A7163">
        <w:rPr>
          <w:rStyle w:val="PlateTOCChar"/>
        </w:rPr>
        <w:lastRenderedPageBreak/>
        <w:t>Plate 4.4. Location of the Women’s Groups Participating in the Initiative</w:t>
      </w:r>
      <w:bookmarkEnd w:id="91"/>
      <w:r w:rsidRPr="009A7163">
        <w:rPr>
          <w:bCs/>
          <w:lang w:val="es-NI"/>
        </w:rPr>
        <w:t xml:space="preserve"> </w:t>
      </w:r>
      <w:r w:rsidRPr="009A7163">
        <w:rPr>
          <w:bCs/>
          <w:iCs/>
        </w:rPr>
        <w:t>(</w:t>
      </w:r>
      <w:r w:rsidRPr="009A7163">
        <w:rPr>
          <w:bCs/>
          <w:i/>
          <w:iCs/>
        </w:rPr>
        <w:t>Source</w:t>
      </w:r>
      <w:r w:rsidRPr="009A7163">
        <w:rPr>
          <w:bCs/>
          <w:iCs/>
        </w:rPr>
        <w:t xml:space="preserve">: </w:t>
      </w:r>
      <w:r w:rsidRPr="009A7163">
        <w:rPr>
          <w:bCs/>
          <w:lang w:val="es-NI"/>
        </w:rPr>
        <w:t>UNAN-LEON,-CSIG, M. Burkey, and F. Butler, 2013)</w:t>
      </w:r>
    </w:p>
    <w:p w14:paraId="1F79195A" w14:textId="66733A4D" w:rsidR="006D76AB" w:rsidRPr="009A7163" w:rsidRDefault="006D76AB" w:rsidP="00293176">
      <w:pPr>
        <w:widowControl w:val="0"/>
        <w:autoSpaceDE w:val="0"/>
        <w:autoSpaceDN w:val="0"/>
        <w:adjustRightInd w:val="0"/>
        <w:spacing w:line="360" w:lineRule="auto"/>
        <w:jc w:val="both"/>
        <w:rPr>
          <w:bCs/>
          <w:iCs/>
        </w:rPr>
      </w:pPr>
      <w:r w:rsidRPr="009A7163">
        <w:rPr>
          <w:bCs/>
          <w:iCs/>
          <w:noProof/>
          <w:lang w:eastAsia="en-GB"/>
        </w:rPr>
        <w:drawing>
          <wp:inline distT="0" distB="0" distL="0" distR="0" wp14:anchorId="5CB29F34" wp14:editId="6D907F8D">
            <wp:extent cx="5270500" cy="6819900"/>
            <wp:effectExtent l="0" t="0" r="12700" b="12700"/>
            <wp:docPr id="6" name="Picture 6" descr="../Revisions/Maps/gruposde%20mujeres%20parti_inci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sions/Maps/gruposde%20mujeres%20parti_incitiv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6819900"/>
                    </a:xfrm>
                    <a:prstGeom prst="rect">
                      <a:avLst/>
                    </a:prstGeom>
                    <a:noFill/>
                    <a:ln>
                      <a:noFill/>
                    </a:ln>
                  </pic:spPr>
                </pic:pic>
              </a:graphicData>
            </a:graphic>
          </wp:inline>
        </w:drawing>
      </w:r>
    </w:p>
    <w:p w14:paraId="6151CB91" w14:textId="77777777" w:rsidR="002579C3" w:rsidRDefault="002579C3" w:rsidP="002579C3">
      <w:pPr>
        <w:pStyle w:val="NoSpacing1"/>
      </w:pPr>
    </w:p>
    <w:p w14:paraId="426AE709" w14:textId="74B1BAA2" w:rsidR="006D76AB" w:rsidRPr="009A7163" w:rsidRDefault="006D76AB" w:rsidP="002579C3">
      <w:pPr>
        <w:pStyle w:val="Heading3"/>
        <w:spacing w:before="360" w:after="240" w:line="240" w:lineRule="auto"/>
      </w:pPr>
      <w:bookmarkStart w:id="92" w:name="_Toc526819312"/>
      <w:r w:rsidRPr="009A7163">
        <w:lastRenderedPageBreak/>
        <w:t>4.7.2  Coffee Case Study</w:t>
      </w:r>
      <w:bookmarkEnd w:id="92"/>
    </w:p>
    <w:p w14:paraId="1A2E2DB2" w14:textId="77777777" w:rsidR="006D76AB" w:rsidRPr="009A7163" w:rsidRDefault="006D76AB">
      <w:pPr>
        <w:pStyle w:val="Heading4"/>
      </w:pPr>
      <w:bookmarkStart w:id="93" w:name="_Toc526819313"/>
      <w:r w:rsidRPr="009A7163">
        <w:t>4.7.2.1 Coffee Crop</w:t>
      </w:r>
      <w:bookmarkEnd w:id="93"/>
    </w:p>
    <w:p w14:paraId="789BCEF1" w14:textId="5CD425E6" w:rsidR="006D76AB" w:rsidRPr="009A7163" w:rsidRDefault="006D76AB">
      <w:pPr>
        <w:pStyle w:val="CommentText"/>
        <w:spacing w:line="360" w:lineRule="auto"/>
        <w:ind w:firstLine="720"/>
        <w:jc w:val="both"/>
        <w:rPr>
          <w:rFonts w:ascii="Times New Roman" w:hAnsi="Times New Roman" w:cs="Times New Roman"/>
        </w:rPr>
      </w:pPr>
      <w:r w:rsidRPr="009A7163">
        <w:rPr>
          <w:rFonts w:ascii="Times New Roman" w:hAnsi="Times New Roman" w:cs="Times New Roman"/>
        </w:rPr>
        <w:t>Coffee is the most important crop in Nicaragua due to its economic, social and environmental impact</w:t>
      </w:r>
      <w:r w:rsidR="008E283E" w:rsidRPr="009A7163">
        <w:rPr>
          <w:rFonts w:ascii="Times New Roman" w:hAnsi="Times New Roman" w:cs="Times New Roman"/>
        </w:rPr>
        <w:t>,</w:t>
      </w:r>
      <w:r w:rsidRPr="009A7163">
        <w:rPr>
          <w:rFonts w:ascii="Times New Roman" w:hAnsi="Times New Roman" w:cs="Times New Roman"/>
        </w:rPr>
        <w:t xml:space="preserve"> and </w:t>
      </w:r>
      <w:r w:rsidR="008E283E" w:rsidRPr="009A7163">
        <w:rPr>
          <w:rFonts w:ascii="Times New Roman" w:hAnsi="Times New Roman" w:cs="Times New Roman"/>
        </w:rPr>
        <w:t xml:space="preserve">it </w:t>
      </w:r>
      <w:r w:rsidRPr="009A7163">
        <w:rPr>
          <w:rFonts w:ascii="Times New Roman" w:hAnsi="Times New Roman" w:cs="Times New Roman"/>
        </w:rPr>
        <w:t xml:space="preserve">is a key economic activity in Northern Nicaragua where the second case study </w:t>
      </w:r>
      <w:r w:rsidR="00F03445" w:rsidRPr="009A7163">
        <w:rPr>
          <w:rFonts w:ascii="Times New Roman" w:hAnsi="Times New Roman" w:cs="Times New Roman"/>
        </w:rPr>
        <w:t>was</w:t>
      </w:r>
      <w:r w:rsidRPr="009A7163">
        <w:rPr>
          <w:rFonts w:ascii="Times New Roman" w:hAnsi="Times New Roman" w:cs="Times New Roman"/>
        </w:rPr>
        <w:t xml:space="preserve"> </w:t>
      </w:r>
      <w:r w:rsidR="00F03445" w:rsidRPr="009A7163">
        <w:rPr>
          <w:rFonts w:ascii="Times New Roman" w:hAnsi="Times New Roman" w:cs="Times New Roman"/>
        </w:rPr>
        <w:t>situated</w:t>
      </w:r>
      <w:r w:rsidRPr="009A7163">
        <w:rPr>
          <w:rFonts w:ascii="Times New Roman" w:hAnsi="Times New Roman" w:cs="Times New Roman"/>
        </w:rPr>
        <w:t>. In the last three years, coffee exports have reached over U$1.2 billion. The coffee sector employs about 332,000 people, equivalent to 15% of the labor market and 54% of the agricultural sector. Coffee plantations also protect the natural environment due the great diversity of medium and large-size shade trees that help to protect the soil and retain water during the rainy season. According to the Ministerio de Agropecuario</w:t>
      </w:r>
      <w:r w:rsidR="00F03445" w:rsidRPr="009A7163">
        <w:rPr>
          <w:rFonts w:ascii="Times New Roman" w:hAnsi="Times New Roman" w:cs="Times New Roman"/>
        </w:rPr>
        <w:t xml:space="preserve"> (Nicaraguan Ministry of Agriculture,</w:t>
      </w:r>
      <w:r w:rsidRPr="009A7163">
        <w:rPr>
          <w:rFonts w:ascii="Times New Roman" w:hAnsi="Times New Roman" w:cs="Times New Roman"/>
        </w:rPr>
        <w:t xml:space="preserve"> or MAG),</w:t>
      </w:r>
      <w:r w:rsidR="00D702E8" w:rsidRPr="009A7163">
        <w:rPr>
          <w:rFonts w:ascii="Times New Roman" w:hAnsi="Times New Roman" w:cs="Times New Roman"/>
        </w:rPr>
        <w:t xml:space="preserve"> a</w:t>
      </w:r>
      <w:r w:rsidRPr="009A7163">
        <w:rPr>
          <w:rFonts w:ascii="Times New Roman" w:hAnsi="Times New Roman" w:cs="Times New Roman"/>
        </w:rPr>
        <w:t>bout 97</w:t>
      </w:r>
      <w:r w:rsidR="008E283E" w:rsidRPr="009A7163">
        <w:rPr>
          <w:rFonts w:ascii="Times New Roman" w:hAnsi="Times New Roman" w:cs="Times New Roman"/>
        </w:rPr>
        <w:t>%</w:t>
      </w:r>
      <w:r w:rsidRPr="009A7163">
        <w:rPr>
          <w:rFonts w:ascii="Times New Roman" w:hAnsi="Times New Roman" w:cs="Times New Roman"/>
        </w:rPr>
        <w:t xml:space="preserve"> of the coffee producers are small (having farms that range from less than a hectare up to 14 hectares) and the rest are considered medium and large (having farms above 14 and 30 hectares respectively)</w:t>
      </w:r>
      <w:r w:rsidR="00D702E8" w:rsidRPr="009A7163">
        <w:rPr>
          <w:rFonts w:ascii="Times New Roman" w:hAnsi="Times New Roman" w:cs="Times New Roman"/>
        </w:rPr>
        <w:t xml:space="preserve"> (MAG, n.d)</w:t>
      </w:r>
      <w:r w:rsidRPr="009A7163">
        <w:rPr>
          <w:rFonts w:ascii="Times New Roman" w:hAnsi="Times New Roman" w:cs="Times New Roman"/>
        </w:rPr>
        <w:t>. Most of Nicaragua’s coffee production is Arabica (shade-grown) and is concentrated in the North Central Region of the country in the municipalities of Jinotega, Matagalpa and Nueva Segovia (GAIN, 2015). Some 630,000 hectares of coffee are grown in Central America, about 120,000 of which are in Nicaragua. Coffee came to Nicaragua in 1845 and by 1888 it was being cultivated by local far</w:t>
      </w:r>
      <w:r w:rsidR="00D702E8" w:rsidRPr="009A7163">
        <w:rPr>
          <w:rFonts w:ascii="Times New Roman" w:hAnsi="Times New Roman" w:cs="Times New Roman"/>
        </w:rPr>
        <w:t xml:space="preserve">mers, as well as other farmers </w:t>
      </w:r>
      <w:r w:rsidRPr="009A7163">
        <w:rPr>
          <w:rFonts w:ascii="Times New Roman" w:hAnsi="Times New Roman" w:cs="Times New Roman"/>
        </w:rPr>
        <w:t>from Germany, England and the United States. Production expanded to northern Nicaragua in the 1920s. Coffee activity represents between 4% and 7% of Nicaragua’s gross domestic product (GDP). It generates 700,000 direct jobs during the harvest period, which include picking, processing, roasting and transporting, as well as many other indirect jobs in the communities</w:t>
      </w:r>
      <w:r w:rsidR="00D702E8" w:rsidRPr="009A7163">
        <w:rPr>
          <w:rFonts w:ascii="Times New Roman" w:hAnsi="Times New Roman" w:cs="Times New Roman"/>
        </w:rPr>
        <w:t xml:space="preserve"> (Envio, 2013)</w:t>
      </w:r>
      <w:r w:rsidRPr="009A7163">
        <w:rPr>
          <w:rFonts w:ascii="Times New Roman" w:hAnsi="Times New Roman" w:cs="Times New Roman"/>
        </w:rPr>
        <w:t>. Nationally, coffee creates the most employment of any agricultural sector. Nicaragua has an estimated 45,000 coffee growers, or more specifically coffee-growing families. Of those, the 5% that are medium-sized together with the 5% that are large grow about half of Nicaragua’s coffee. The other 90% are small growers, many of them organ</w:t>
      </w:r>
      <w:r w:rsidR="00C95A06" w:rsidRPr="009A7163">
        <w:rPr>
          <w:rFonts w:ascii="Times New Roman" w:hAnsi="Times New Roman" w:cs="Times New Roman"/>
        </w:rPr>
        <w:t>ise</w:t>
      </w:r>
      <w:r w:rsidRPr="009A7163">
        <w:rPr>
          <w:rFonts w:ascii="Times New Roman" w:hAnsi="Times New Roman" w:cs="Times New Roman"/>
        </w:rPr>
        <w:t xml:space="preserve">d into cooperatives (Envio, 2013). </w:t>
      </w:r>
    </w:p>
    <w:p w14:paraId="0C5EE61F" w14:textId="48E100AB" w:rsidR="006D76AB" w:rsidRPr="009A7163" w:rsidRDefault="006D76AB" w:rsidP="00293176">
      <w:pPr>
        <w:widowControl w:val="0"/>
        <w:autoSpaceDE w:val="0"/>
        <w:autoSpaceDN w:val="0"/>
        <w:adjustRightInd w:val="0"/>
        <w:spacing w:line="360" w:lineRule="auto"/>
        <w:ind w:firstLine="720"/>
        <w:jc w:val="both"/>
      </w:pPr>
      <w:r w:rsidRPr="009A7163">
        <w:t>The majority of farmers are small-scale farmers and many still suffer from seasonal food insecurity and hunger. The more recent coffee rust crisis has exasperated the crisis of food security. The months during which there is often seasonal hunger are frequently referred to as</w:t>
      </w:r>
      <w:r w:rsidR="00D702E8" w:rsidRPr="009A7163">
        <w:t xml:space="preserve"> </w:t>
      </w:r>
      <w:r w:rsidRPr="009A7163">
        <w:rPr>
          <w:i/>
          <w:iCs/>
        </w:rPr>
        <w:t>los meses de las vacas flacas</w:t>
      </w:r>
      <w:r w:rsidRPr="009A7163">
        <w:t xml:space="preserve"> or the ‘skinny cow months’ and this period is the most common manifestation of food insecurity in coffee producing areas. Seasonal hunger is typically experienced at three different points during the year: </w:t>
      </w:r>
      <w:r w:rsidRPr="009A7163">
        <w:lastRenderedPageBreak/>
        <w:t>first, the rainy season between May and November when there is little work; second, the period after income from the previous coffee harvest has been spent and cash for purchasing basic foods is scarce; and, third, the period after basic grains have been harvested (Putnam, 2013). Strategies used to mitigate period</w:t>
      </w:r>
      <w:r w:rsidR="008E283E" w:rsidRPr="009A7163">
        <w:t>s</w:t>
      </w:r>
      <w:r w:rsidRPr="009A7163">
        <w:t xml:space="preserve"> of seasonal hunger include either skipping meals all together (risking caloric deficiency)</w:t>
      </w:r>
      <w:r w:rsidR="008E283E" w:rsidRPr="009A7163">
        <w:t xml:space="preserve"> and</w:t>
      </w:r>
      <w:r w:rsidRPr="009A7163">
        <w:t xml:space="preserve"> limiting the diet to basic grains (risking nutrient deficiencies) (Caswell et al., 2012, 5), </w:t>
      </w:r>
      <w:r w:rsidR="008E283E" w:rsidRPr="009A7163">
        <w:t>in addition to</w:t>
      </w:r>
      <w:r w:rsidRPr="009A7163">
        <w:t xml:space="preserve"> borrowing food on credit from local stores in communities</w:t>
      </w:r>
      <w:r w:rsidR="008E283E" w:rsidRPr="009A7163">
        <w:t xml:space="preserve"> (</w:t>
      </w:r>
      <w:r w:rsidRPr="009A7163">
        <w:t>which is very common</w:t>
      </w:r>
      <w:r w:rsidR="008E283E" w:rsidRPr="009A7163">
        <w:t>)</w:t>
      </w:r>
      <w:r w:rsidRPr="009A7163">
        <w:t xml:space="preserve"> and eating bean seeds that would normally be used to plant for the following season’s harvest. Furthermore, Caswell (2012) explain</w:t>
      </w:r>
      <w:r w:rsidR="008E283E" w:rsidRPr="009A7163">
        <w:t>s</w:t>
      </w:r>
      <w:r w:rsidRPr="009A7163">
        <w:t xml:space="preserve"> that in addition to seasonal hunger, chronic hunger and malnutrition also affect families and especially children under the age of five in the most vulnerable communities</w:t>
      </w:r>
      <w:r w:rsidR="008E283E" w:rsidRPr="009A7163">
        <w:t xml:space="preserve"> (p. 5)</w:t>
      </w:r>
      <w:r w:rsidRPr="009A7163">
        <w:t>. Transitory food insecurity also occurs in coffee growing communities as the result of periodic shocks, such as extreme weather events or coffee price dips, that directly affect the availability of food in the community (as in the case of heavy rains destroying basic grains crops) or a family’s inability to access food economically (as in the case of price dips).</w:t>
      </w:r>
    </w:p>
    <w:p w14:paraId="2FAEDC66" w14:textId="7AE3698C" w:rsidR="006D76AB" w:rsidRPr="009A7163" w:rsidRDefault="006D76AB" w:rsidP="00293176">
      <w:pPr>
        <w:widowControl w:val="0"/>
        <w:autoSpaceDE w:val="0"/>
        <w:autoSpaceDN w:val="0"/>
        <w:adjustRightInd w:val="0"/>
        <w:spacing w:after="240" w:line="360" w:lineRule="auto"/>
        <w:ind w:firstLine="720"/>
        <w:jc w:val="both"/>
        <w:rPr>
          <w:i/>
        </w:rPr>
      </w:pPr>
      <w:r w:rsidRPr="009A7163">
        <w:t>Coffee rust, a plant disease that spreads quickly and has a highly destructive effect on coffee production, has created more hunger and migration. In San Ramón, one of the research sites, there was a devastating loss of 60% of coffee areas to coffee leaf rust in 2013 (Putnam, 2013). The rust is present in all coffee growing regions of the world and is the most economically destructive coffee disease. However</w:t>
      </w:r>
      <w:r w:rsidR="008E283E" w:rsidRPr="009A7163">
        <w:t>,</w:t>
      </w:r>
      <w:r w:rsidRPr="009A7163">
        <w:t xml:space="preserve"> in Northern Nicaragua</w:t>
      </w:r>
      <w:r w:rsidR="008E283E" w:rsidRPr="009A7163">
        <w:t>,</w:t>
      </w:r>
      <w:r w:rsidRPr="009A7163">
        <w:t xml:space="preserve"> is is the largest recorded outbreak in Latin America (Bacon, 2017, p.</w:t>
      </w:r>
      <w:r w:rsidR="008E283E" w:rsidRPr="009A7163">
        <w:t xml:space="preserve"> </w:t>
      </w:r>
      <w:r w:rsidRPr="009A7163">
        <w:t>138)</w:t>
      </w:r>
      <w:r w:rsidR="008E283E" w:rsidRPr="009A7163">
        <w:t xml:space="preserve">. </w:t>
      </w:r>
      <w:r w:rsidRPr="009A7163">
        <w:t>Coffee rust is caused by a fungus, it withers leaves of coffee plants and prevents growth of beans. A major infestation in Central America began in 2011 and worked its way north. In the municipality of San Ramón, farmers reported in a recent study by CAN that they are losing on average 40-100% of their coffee plants to the disease. Farmers belonging to the Denis Gutierrez Cooperative (which participated in this study) experienced an 80% reduction in yields in 2012 due to the rust and an accompanying anthracnose pathogen, which kills coffee plants already weakened by rust infection (</w:t>
      </w:r>
      <w:r w:rsidR="00D702E8" w:rsidRPr="009A7163">
        <w:t>World Eats, 2016)</w:t>
      </w:r>
      <w:r w:rsidRPr="009A7163">
        <w:t>.</w:t>
      </w:r>
    </w:p>
    <w:p w14:paraId="624A042D" w14:textId="77777777" w:rsidR="006D76AB" w:rsidRPr="009A7163" w:rsidRDefault="006D76AB" w:rsidP="008C041F">
      <w:pPr>
        <w:pStyle w:val="Heading4"/>
      </w:pPr>
      <w:bookmarkStart w:id="94" w:name="_Toc526819314"/>
      <w:r w:rsidRPr="009A7163">
        <w:t>4.7.4.2 Cooperatives in Case Study</w:t>
      </w:r>
      <w:bookmarkEnd w:id="94"/>
    </w:p>
    <w:p w14:paraId="4C8F2B5B" w14:textId="0155205E" w:rsidR="006D76AB" w:rsidRPr="009A7163" w:rsidRDefault="006D76AB" w:rsidP="00293176">
      <w:pPr>
        <w:spacing w:after="240" w:line="360" w:lineRule="auto"/>
        <w:ind w:firstLine="720"/>
        <w:jc w:val="both"/>
        <w:rPr>
          <w:bCs/>
          <w:iCs/>
        </w:rPr>
      </w:pPr>
      <w:r w:rsidRPr="009A7163">
        <w:rPr>
          <w:bCs/>
          <w:iCs/>
        </w:rPr>
        <w:t xml:space="preserve">The focus of this case study was one three cooperatives:  the UCA San Ramón, a second level cooperative, and two of its first-level cooperatives. Both of these cooperatives were chosen because they were already implementing a pricing scheme </w:t>
      </w:r>
      <w:r w:rsidRPr="009A7163">
        <w:rPr>
          <w:bCs/>
          <w:iCs/>
        </w:rPr>
        <w:lastRenderedPageBreak/>
        <w:t>similar to that of the sesame cooperative CJFPS. Thus this gave a good basis for comparison.</w:t>
      </w:r>
    </w:p>
    <w:p w14:paraId="2B7F2950" w14:textId="77777777" w:rsidR="006D76AB" w:rsidRPr="009A7163" w:rsidRDefault="006D76AB" w:rsidP="00293176">
      <w:pPr>
        <w:pStyle w:val="Heading5"/>
        <w:rPr>
          <w:iCs/>
        </w:rPr>
      </w:pPr>
      <w:r w:rsidRPr="009A7163">
        <w:rPr>
          <w:i/>
          <w:iCs/>
        </w:rPr>
        <w:t xml:space="preserve"> </w:t>
      </w:r>
      <w:r w:rsidRPr="009A7163">
        <w:t>4.7.4.2.1 UCA San Ramón</w:t>
      </w:r>
    </w:p>
    <w:p w14:paraId="4860A114" w14:textId="2F6310DF" w:rsidR="006D76AB" w:rsidRPr="009A7163" w:rsidRDefault="006D76AB" w:rsidP="00293176">
      <w:pPr>
        <w:spacing w:line="360" w:lineRule="auto"/>
        <w:ind w:firstLine="720"/>
        <w:jc w:val="both"/>
      </w:pPr>
      <w:r w:rsidRPr="009A7163">
        <w:rPr>
          <w:iCs/>
        </w:rPr>
        <w:t>The UCA San</w:t>
      </w:r>
      <w:r w:rsidRPr="009A7163">
        <w:t xml:space="preserve"> Ramón</w:t>
      </w:r>
      <w:r w:rsidRPr="009A7163">
        <w:rPr>
          <w:iCs/>
        </w:rPr>
        <w:t xml:space="preserve"> (UCA SR),</w:t>
      </w:r>
      <w:r w:rsidRPr="009A7163">
        <w:rPr>
          <w:rStyle w:val="FootnoteReference"/>
        </w:rPr>
        <w:footnoteReference w:id="84"/>
      </w:r>
      <w:r w:rsidRPr="009A7163">
        <w:rPr>
          <w:iCs/>
        </w:rPr>
        <w:t xml:space="preserve"> located in the Department of Matagalpa, was founded when </w:t>
      </w:r>
      <w:r w:rsidRPr="009A7163">
        <w:t>five cooperatives joined together to create a second</w:t>
      </w:r>
      <w:r w:rsidR="008E283E" w:rsidRPr="009A7163">
        <w:t>-</w:t>
      </w:r>
      <w:r w:rsidRPr="009A7163">
        <w:t>level cooperative in 1992 during the agrarian reform enacted during the Sandinista Revolution of the 1980s. The UCA SR’s membership is composed of 21 smaller cooperatives, which translates to 1,017 direct members. Thirty-six percent of direct members are currently women (up from 10% in 1992) and the total membership of the cooperative is 6,000 people, representing 40% of the local rural sector. The UCA SR</w:t>
      </w:r>
      <w:r w:rsidRPr="009A7163" w:rsidDel="009C58E4">
        <w:t xml:space="preserve"> </w:t>
      </w:r>
      <w:r w:rsidRPr="009A7163">
        <w:t>had increased women’s membership proportion in the cooperative from about 10% in 1992 to 36% in 2015, according to UCA San Ramón management (Putnam, 2015, p. 10).</w:t>
      </w:r>
    </w:p>
    <w:p w14:paraId="3E104CE4" w14:textId="204165A8" w:rsidR="006D76AB" w:rsidRPr="009A7163" w:rsidRDefault="006D76AB" w:rsidP="00293176">
      <w:pPr>
        <w:spacing w:line="360" w:lineRule="auto"/>
        <w:ind w:firstLine="720"/>
        <w:jc w:val="both"/>
      </w:pPr>
      <w:r w:rsidRPr="009A7163">
        <w:t xml:space="preserve">The UCA </w:t>
      </w:r>
      <w:r w:rsidR="008E283E" w:rsidRPr="009A7163">
        <w:t xml:space="preserve">SR </w:t>
      </w:r>
      <w:r w:rsidRPr="009A7163">
        <w:t xml:space="preserve">is located in the municipality of San Ramón in the department of Matagalpa (see Plate </w:t>
      </w:r>
      <w:r w:rsidR="008E283E" w:rsidRPr="009A7163">
        <w:t>4.5</w:t>
      </w:r>
      <w:r w:rsidRPr="009A7163">
        <w:t xml:space="preserve"> for a map of the cooperatives including La Reina and La Pita which make up this case study). The municipality of San Ramón is</w:t>
      </w:r>
      <w:r w:rsidRPr="009A7163">
        <w:rPr>
          <w:b/>
        </w:rPr>
        <w:t xml:space="preserve"> </w:t>
      </w:r>
      <w:r w:rsidRPr="009A7163">
        <w:t>mountainous and predominantly rural. It is located 12 kilometres from the municipality of Matagalpa. San Ramón is the main urban centre with a population of 2,200. The majority of the population (24,000) live in rural communities scattered throughout the larger municipality. The main economic activity is agriculture and focused on coffee production (for export), rice, beans and corn. Livestock, for the production of meat and milk, also plays an important role in the economic life of the communities.</w:t>
      </w:r>
    </w:p>
    <w:p w14:paraId="12628B64" w14:textId="77777777" w:rsidR="006D76AB" w:rsidRPr="009A7163" w:rsidRDefault="006D76AB" w:rsidP="00293176">
      <w:pPr>
        <w:spacing w:line="360" w:lineRule="auto"/>
        <w:jc w:val="both"/>
      </w:pPr>
    </w:p>
    <w:p w14:paraId="4086F530" w14:textId="77777777" w:rsidR="001E137C" w:rsidRPr="009A7163" w:rsidRDefault="001E137C" w:rsidP="00293176">
      <w:pPr>
        <w:spacing w:line="360" w:lineRule="auto"/>
        <w:jc w:val="both"/>
      </w:pPr>
    </w:p>
    <w:p w14:paraId="14791186" w14:textId="77777777" w:rsidR="001E137C" w:rsidRPr="009A7163" w:rsidRDefault="001E137C" w:rsidP="00293176">
      <w:pPr>
        <w:spacing w:line="360" w:lineRule="auto"/>
        <w:jc w:val="both"/>
      </w:pPr>
    </w:p>
    <w:p w14:paraId="03A2086A" w14:textId="77777777" w:rsidR="001E137C" w:rsidRPr="009A7163" w:rsidRDefault="001E137C" w:rsidP="00293176">
      <w:pPr>
        <w:spacing w:line="360" w:lineRule="auto"/>
        <w:jc w:val="both"/>
      </w:pPr>
    </w:p>
    <w:p w14:paraId="7A298FF7" w14:textId="77777777" w:rsidR="001E137C" w:rsidRPr="009A7163" w:rsidRDefault="001E137C" w:rsidP="00293176">
      <w:pPr>
        <w:spacing w:line="360" w:lineRule="auto"/>
        <w:jc w:val="both"/>
      </w:pPr>
    </w:p>
    <w:p w14:paraId="2784DF2F" w14:textId="77777777" w:rsidR="001E137C" w:rsidRPr="009A7163" w:rsidRDefault="001E137C" w:rsidP="00293176">
      <w:pPr>
        <w:spacing w:line="360" w:lineRule="auto"/>
        <w:jc w:val="both"/>
      </w:pPr>
    </w:p>
    <w:p w14:paraId="2F72C9A5" w14:textId="77777777" w:rsidR="001E137C" w:rsidRPr="009A7163" w:rsidRDefault="001E137C" w:rsidP="00293176">
      <w:pPr>
        <w:spacing w:line="360" w:lineRule="auto"/>
        <w:jc w:val="both"/>
      </w:pPr>
    </w:p>
    <w:p w14:paraId="61AE81ED" w14:textId="77777777" w:rsidR="001E137C" w:rsidRPr="009A7163" w:rsidRDefault="001E137C" w:rsidP="00293176">
      <w:pPr>
        <w:spacing w:line="360" w:lineRule="auto"/>
        <w:jc w:val="both"/>
      </w:pPr>
    </w:p>
    <w:p w14:paraId="624F6F91" w14:textId="2D40BC13" w:rsidR="001E137C" w:rsidRPr="009A7163" w:rsidRDefault="001E137C" w:rsidP="001E137C">
      <w:pPr>
        <w:spacing w:line="360" w:lineRule="auto"/>
        <w:jc w:val="both"/>
      </w:pPr>
      <w:bookmarkStart w:id="95" w:name="_Toc526710039"/>
      <w:r w:rsidRPr="009A7163">
        <w:rPr>
          <w:rStyle w:val="PlateTOCChar"/>
        </w:rPr>
        <w:lastRenderedPageBreak/>
        <w:t>Plate 4.5. Location of Cooperatives Affiliated with the UCA San Ramón</w:t>
      </w:r>
      <w:bookmarkEnd w:id="95"/>
      <w:r w:rsidRPr="009A7163">
        <w:t xml:space="preserve"> (</w:t>
      </w:r>
      <w:r w:rsidRPr="009A7163">
        <w:rPr>
          <w:i/>
        </w:rPr>
        <w:t>Source</w:t>
      </w:r>
      <w:r w:rsidRPr="009A7163">
        <w:t>: UCA San Ramón)</w:t>
      </w:r>
    </w:p>
    <w:p w14:paraId="07E7FD5C" w14:textId="2A19161B" w:rsidR="006D76AB" w:rsidRPr="009A7163" w:rsidRDefault="006D76AB" w:rsidP="00293176">
      <w:pPr>
        <w:spacing w:line="360" w:lineRule="auto"/>
        <w:jc w:val="both"/>
      </w:pPr>
      <w:r w:rsidRPr="009A7163">
        <w:rPr>
          <w:noProof/>
          <w:lang w:eastAsia="en-GB"/>
        </w:rPr>
        <w:drawing>
          <wp:inline distT="0" distB="0" distL="0" distR="0" wp14:anchorId="4D12068B" wp14:editId="4791CFF9">
            <wp:extent cx="5270500" cy="4076700"/>
            <wp:effectExtent l="0" t="0" r="12700" b="12700"/>
            <wp:docPr id="9" name="Picture 9" descr="../Revisions/Maps/UCA%20SAN%20RAMON%20COOPS%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sions/Maps/UCA%20SAN%20RAMON%20COOPS%20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4076700"/>
                    </a:xfrm>
                    <a:prstGeom prst="rect">
                      <a:avLst/>
                    </a:prstGeom>
                    <a:noFill/>
                    <a:ln>
                      <a:noFill/>
                    </a:ln>
                  </pic:spPr>
                </pic:pic>
              </a:graphicData>
            </a:graphic>
          </wp:inline>
        </w:drawing>
      </w:r>
    </w:p>
    <w:p w14:paraId="69EF5A82" w14:textId="77777777" w:rsidR="006D76AB" w:rsidRPr="009A7163" w:rsidRDefault="006D76AB" w:rsidP="00293176">
      <w:pPr>
        <w:pStyle w:val="Heading5"/>
        <w:spacing w:before="360"/>
        <w:rPr>
          <w:i/>
        </w:rPr>
      </w:pPr>
      <w:r w:rsidRPr="009A7163">
        <w:t>4.7.4.2.2 Denis Gutierrez Cooperative</w:t>
      </w:r>
    </w:p>
    <w:p w14:paraId="1E700DE3" w14:textId="07E59016" w:rsidR="006D76AB" w:rsidRPr="009A7163" w:rsidRDefault="006D76AB" w:rsidP="00293176">
      <w:pPr>
        <w:spacing w:after="240" w:line="360" w:lineRule="auto"/>
        <w:ind w:firstLine="720"/>
        <w:jc w:val="both"/>
      </w:pPr>
      <w:r w:rsidRPr="009A7163">
        <w:t>La Pita is a small community of 100 people that is located 3 kilometres from the town of San Ramón and 17</w:t>
      </w:r>
      <w:r w:rsidR="008E283E" w:rsidRPr="009A7163">
        <w:t xml:space="preserve"> </w:t>
      </w:r>
      <w:r w:rsidRPr="009A7163">
        <w:t>k</w:t>
      </w:r>
      <w:r w:rsidR="008E283E" w:rsidRPr="009A7163">
        <w:t>ilometres</w:t>
      </w:r>
      <w:r w:rsidRPr="009A7163">
        <w:t xml:space="preserve"> from Matagalpa</w:t>
      </w:r>
      <w:r w:rsidR="008E283E" w:rsidRPr="009A7163">
        <w:t>,</w:t>
      </w:r>
      <w:r w:rsidRPr="009A7163">
        <w:t xml:space="preserve"> but public transport does not reach this community. Small-scale producers associated with the cooperative ‘Denis Gutierrez’ in La Pita produce coffee at altitudes above 900 </w:t>
      </w:r>
      <w:r w:rsidR="001474EF" w:rsidRPr="009A7163">
        <w:t xml:space="preserve">metres </w:t>
      </w:r>
      <w:r w:rsidRPr="009A7163">
        <w:t xml:space="preserve">above sea level. In 1930, the land that comprises La Pita belonged to a wealthy foreign owner and the principal activity was the exploitation of a local gold mine by a foreign mining business. It was only in 1970 that coffee began to be cultivated. On March 22, 1990, the community was officially formed with 150 inhabitants that had previously worked on large coffee plantations and who now as cooperative members owned the land after the owner fled to the United States. The cooperative and community collectively owned and worked the land in the 1990s; however, in 2014 they divided the land and titles between the members. There are 15 male member producers and 8 female producers. The cooperative has worked for and coordinated many projects in the community, such as reforestation and the installation of drinking water funded by FT premium and </w:t>
      </w:r>
      <w:r w:rsidRPr="009A7163">
        <w:lastRenderedPageBreak/>
        <w:t>development projects in conjunction with FT buyers. They have a very close relationship with CAN and have participated in a three-year food security project.</w:t>
      </w:r>
    </w:p>
    <w:p w14:paraId="4BD17D14" w14:textId="77777777" w:rsidR="006D76AB" w:rsidRPr="009A7163" w:rsidRDefault="006D76AB" w:rsidP="008C041F">
      <w:pPr>
        <w:pStyle w:val="Heading5"/>
        <w:rPr>
          <w:i/>
        </w:rPr>
      </w:pPr>
      <w:r w:rsidRPr="009A7163">
        <w:t>4.7.4.2.3 Danilo Gonzalez Cooperative</w:t>
      </w:r>
    </w:p>
    <w:p w14:paraId="3EB84A46" w14:textId="1ED2AF4A" w:rsidR="006D76AB" w:rsidRPr="009A7163" w:rsidRDefault="006D76AB" w:rsidP="00293176">
      <w:pPr>
        <w:widowControl w:val="0"/>
        <w:autoSpaceDE w:val="0"/>
        <w:autoSpaceDN w:val="0"/>
        <w:adjustRightInd w:val="0"/>
        <w:spacing w:line="360" w:lineRule="auto"/>
        <w:ind w:firstLine="720"/>
        <w:jc w:val="both"/>
      </w:pPr>
      <w:r w:rsidRPr="009A7163">
        <w:t>La Reyna is a small community of 670 people that is situated in the north</w:t>
      </w:r>
      <w:r w:rsidR="00AE41D6" w:rsidRPr="009A7163">
        <w:t>ern section</w:t>
      </w:r>
      <w:r w:rsidRPr="009A7163">
        <w:t xml:space="preserve"> of </w:t>
      </w:r>
      <w:r w:rsidR="00AE41D6" w:rsidRPr="009A7163">
        <w:t xml:space="preserve">the municipality of </w:t>
      </w:r>
      <w:r w:rsidRPr="009A7163">
        <w:t>San Ramón. It is</w:t>
      </w:r>
      <w:r w:rsidR="00AE41D6" w:rsidRPr="009A7163">
        <w:t xml:space="preserve"> a</w:t>
      </w:r>
      <w:r w:rsidRPr="009A7163">
        <w:t xml:space="preserve"> humid and tropical area, but in the nearby communities of Yucul and El Horno you can find pine forests. La Reyna is 3 kilometres from the nearby town of San Ramón and 17km from Matagalpa. The small-scale producers of La Reyna, associated with the cooperative ‘Danilo Gonzalez’, produce coffee at altitudes above 875 metres </w:t>
      </w:r>
      <w:r w:rsidR="00AE41D6" w:rsidRPr="009A7163">
        <w:t>above</w:t>
      </w:r>
      <w:r w:rsidRPr="009A7163">
        <w:t xml:space="preserve"> sea level. There are 55 members of this cooperative: 33 men and 22 women farmers.</w:t>
      </w:r>
    </w:p>
    <w:p w14:paraId="6A6E7927" w14:textId="5BCEB5BB" w:rsidR="006D76AB" w:rsidRPr="009A7163" w:rsidRDefault="006D76AB" w:rsidP="007A3A29">
      <w:pPr>
        <w:widowControl w:val="0"/>
        <w:autoSpaceDE w:val="0"/>
        <w:autoSpaceDN w:val="0"/>
        <w:adjustRightInd w:val="0"/>
        <w:spacing w:after="240" w:line="360" w:lineRule="auto"/>
        <w:ind w:firstLine="720"/>
        <w:jc w:val="both"/>
        <w:rPr>
          <w:i/>
        </w:rPr>
      </w:pPr>
      <w:r w:rsidRPr="009A7163">
        <w:t>The community of La Reyna was born from foreign interest in the rich natural resources in the community and beyond. Coffee was first harvested between 1800</w:t>
      </w:r>
      <w:r w:rsidR="00AE41D6" w:rsidRPr="009A7163">
        <w:t xml:space="preserve"> and </w:t>
      </w:r>
      <w:r w:rsidRPr="009A7163">
        <w:t>1850</w:t>
      </w:r>
      <w:r w:rsidR="00AE41D6" w:rsidRPr="009A7163">
        <w:t>,</w:t>
      </w:r>
      <w:r w:rsidRPr="009A7163">
        <w:t xml:space="preserve"> when gold was also first discovered in the area. The community of La Reyna was created around the mines. The mines opened up great opportunities for people in the area</w:t>
      </w:r>
      <w:r w:rsidR="00AE41D6" w:rsidRPr="009A7163">
        <w:t>,</w:t>
      </w:r>
      <w:r w:rsidRPr="009A7163">
        <w:t xml:space="preserve"> but work stopped over </w:t>
      </w:r>
      <w:r w:rsidR="00AE41D6" w:rsidRPr="009A7163">
        <w:t>50</w:t>
      </w:r>
      <w:r w:rsidRPr="009A7163">
        <w:t xml:space="preserve"> years ago, even though today </w:t>
      </w:r>
      <w:r w:rsidR="00AE41D6" w:rsidRPr="009A7163">
        <w:t>gold is still found in the area</w:t>
      </w:r>
      <w:r w:rsidRPr="009A7163">
        <w:t>. While the mines generated employment, they simultaneously caused destruction, which has produced deep evacuations in the water resources and caused great water shortages that still affect the population. The war affected both the landscape of the community and the lives of the families. Hurricane Mitch in 1998 also caused great destruction as it tore down much of the natural forest that the cooperative continues on working to reforest.</w:t>
      </w:r>
    </w:p>
    <w:p w14:paraId="2B2AC43B" w14:textId="4ACD66C4" w:rsidR="006D76AB" w:rsidRPr="009A7163" w:rsidRDefault="006D76AB" w:rsidP="008C041F">
      <w:pPr>
        <w:pStyle w:val="Heading4"/>
        <w:rPr>
          <w:bCs/>
        </w:rPr>
      </w:pPr>
      <w:bookmarkStart w:id="96" w:name="_Toc526819315"/>
      <w:r w:rsidRPr="009A7163">
        <w:t xml:space="preserve">4.7.4.3 </w:t>
      </w:r>
      <w:r w:rsidRPr="009A7163">
        <w:rPr>
          <w:bCs/>
        </w:rPr>
        <w:t xml:space="preserve">Buyers in Case Study: </w:t>
      </w:r>
      <w:r w:rsidR="003508A0" w:rsidRPr="009A7163">
        <w:rPr>
          <w:bCs/>
        </w:rPr>
        <w:t>The Community Agroecology Network</w:t>
      </w:r>
      <w:bookmarkEnd w:id="96"/>
      <w:r w:rsidR="003508A0" w:rsidRPr="009A7163">
        <w:rPr>
          <w:bCs/>
        </w:rPr>
        <w:t xml:space="preserve"> </w:t>
      </w:r>
    </w:p>
    <w:p w14:paraId="22B6D6F7" w14:textId="7B6E6883" w:rsidR="006D76AB" w:rsidRPr="009A7163" w:rsidRDefault="006D76AB" w:rsidP="00293176">
      <w:pPr>
        <w:widowControl w:val="0"/>
        <w:autoSpaceDE w:val="0"/>
        <w:autoSpaceDN w:val="0"/>
        <w:adjustRightInd w:val="0"/>
        <w:spacing w:after="240" w:line="360" w:lineRule="auto"/>
        <w:jc w:val="both"/>
      </w:pPr>
      <w:r w:rsidRPr="009A7163">
        <w:rPr>
          <w:b/>
        </w:rPr>
        <w:tab/>
      </w:r>
      <w:r w:rsidR="003508A0" w:rsidRPr="009A7163">
        <w:t xml:space="preserve">The Community Agroecology Network (CAN) </w:t>
      </w:r>
      <w:r w:rsidRPr="009A7163">
        <w:t xml:space="preserve">is a United States-based non-profit organization dedicated to strengthening rural livelihoods for smallholder producers. The relationship between CAN and the UCA SR is multi-faceted and long term, having been established first informally through a researcher collaboration in 2000 and evolving as CAN and the UCA SR developed programs in the following decade for student field studies in the cooperatives and alternative coffee chain models. </w:t>
      </w:r>
    </w:p>
    <w:p w14:paraId="5B6178CD" w14:textId="1A49282A" w:rsidR="006D76AB" w:rsidRPr="009A7163" w:rsidRDefault="002579C3" w:rsidP="008C041F">
      <w:pPr>
        <w:pStyle w:val="Heading4"/>
      </w:pPr>
      <w:bookmarkStart w:id="97" w:name="_Toc526819316"/>
      <w:r>
        <w:t>4.7.4.4</w:t>
      </w:r>
      <w:r w:rsidR="006D76AB" w:rsidRPr="009A7163">
        <w:t xml:space="preserve"> The Pricing Model for UCA San Ramón</w:t>
      </w:r>
      <w:bookmarkEnd w:id="97"/>
    </w:p>
    <w:p w14:paraId="45643DB8" w14:textId="55AC6D17" w:rsidR="006D76AB" w:rsidRPr="009A7163" w:rsidRDefault="006D76AB" w:rsidP="00293176">
      <w:pPr>
        <w:spacing w:after="240" w:line="360" w:lineRule="auto"/>
        <w:jc w:val="both"/>
        <w:rPr>
          <w:bCs/>
          <w:iCs/>
        </w:rPr>
      </w:pPr>
      <w:r w:rsidRPr="009A7163">
        <w:rPr>
          <w:bCs/>
          <w:iCs/>
        </w:rPr>
        <w:tab/>
        <w:t>The Denis Gutierrez and Danilo Gonzalez Cooperatives that belong to the UCA SR receive a premium for the recognition of the unpaid work of women. The two cooperatives sell their coffee to CAN who market the branded coffee ‘AgroEco®</w:t>
      </w:r>
      <w:r w:rsidR="00AE41D6" w:rsidRPr="009A7163">
        <w:rPr>
          <w:bCs/>
          <w:iCs/>
        </w:rPr>
        <w:t>’</w:t>
      </w:r>
      <w:r w:rsidRPr="009A7163">
        <w:rPr>
          <w:bCs/>
          <w:iCs/>
        </w:rPr>
        <w:t xml:space="preserve"> </w:t>
      </w:r>
      <w:r w:rsidRPr="009A7163">
        <w:rPr>
          <w:bCs/>
          <w:iCs/>
        </w:rPr>
        <w:lastRenderedPageBreak/>
        <w:t>based on principles of agroecology and sustainability.</w:t>
      </w:r>
      <w:r w:rsidRPr="009A7163">
        <w:rPr>
          <w:b/>
          <w:bCs/>
          <w:iCs/>
        </w:rPr>
        <w:t xml:space="preserve"> </w:t>
      </w:r>
      <w:r w:rsidRPr="009A7163">
        <w:rPr>
          <w:bCs/>
          <w:iCs/>
        </w:rPr>
        <w:t>CAN has given a total of $5,358 from the</w:t>
      </w:r>
      <w:r w:rsidRPr="009A7163">
        <w:rPr>
          <w:b/>
          <w:bCs/>
          <w:iCs/>
        </w:rPr>
        <w:t xml:space="preserve"> </w:t>
      </w:r>
      <w:r w:rsidRPr="009A7163">
        <w:rPr>
          <w:bCs/>
          <w:iCs/>
        </w:rPr>
        <w:t>CAN’s Sustainable Agriculture Fund and the Fund for the Unpaid Work of Women to support women-led enterprises, such as re-planting coffee affected by leaf rust using agroecological practices</w:t>
      </w:r>
      <w:r w:rsidRPr="009A7163">
        <w:rPr>
          <w:b/>
          <w:bCs/>
          <w:iCs/>
        </w:rPr>
        <w:t xml:space="preserve">. </w:t>
      </w:r>
      <w:r w:rsidRPr="009A7163">
        <w:rPr>
          <w:bCs/>
          <w:iCs/>
        </w:rPr>
        <w:t>The first premium from the fund for the Unpaid Work of Women and was paid in first contract in 2011. See Table 4.1 below for the breakdown of cost and the premium.</w:t>
      </w:r>
      <w:r w:rsidRPr="009A7163">
        <w:rPr>
          <w:b/>
          <w:bCs/>
          <w:iCs/>
        </w:rPr>
        <w:t xml:space="preserve"> </w:t>
      </w:r>
      <w:r w:rsidRPr="009A7163">
        <w:rPr>
          <w:bCs/>
          <w:iCs/>
        </w:rPr>
        <w:t xml:space="preserve">The women’s group in the Denis Gutierrez Cooperative (community of La Pita) where CAN buys its AgroEco® Coffee has undertaken a collective rural enterprise initiative using the 10 cent premium for the </w:t>
      </w:r>
      <w:r w:rsidR="003508A0" w:rsidRPr="009A7163">
        <w:rPr>
          <w:bCs/>
          <w:iCs/>
        </w:rPr>
        <w:t xml:space="preserve">unpaid work of women </w:t>
      </w:r>
      <w:r w:rsidRPr="009A7163">
        <w:rPr>
          <w:bCs/>
          <w:iCs/>
        </w:rPr>
        <w:t>to re-establish coffee field affected by coffee leaf rust. In the Danilo Gonzalez cooperative (community of La Reyna) the women are currently saving the premium until it is a reaches a larger sum however some of it has been used by the UCA San Ramón to fund the opening of a women run coffee shop in the town.</w:t>
      </w:r>
    </w:p>
    <w:p w14:paraId="77A3F75D" w14:textId="5C15411C" w:rsidR="006D76AB" w:rsidRPr="009A7163" w:rsidRDefault="006D76AB" w:rsidP="00293176">
      <w:pPr>
        <w:pStyle w:val="TableTOC"/>
      </w:pPr>
      <w:bookmarkStart w:id="98" w:name="_Toc526710017"/>
      <w:r w:rsidRPr="009A7163">
        <w:t>Table 4.1. San Ramón Price Breakdown 2014-15 (CAN, 2015)</w:t>
      </w:r>
      <w:bookmarkEnd w:id="9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45"/>
        <w:gridCol w:w="1880"/>
      </w:tblGrid>
      <w:tr w:rsidR="006D76AB" w:rsidRPr="009A7163" w14:paraId="7C0271B4" w14:textId="77777777" w:rsidTr="00CB5642">
        <w:tc>
          <w:tcPr>
            <w:tcW w:w="4145" w:type="dxa"/>
            <w:vAlign w:val="center"/>
          </w:tcPr>
          <w:p w14:paraId="6855B3AD" w14:textId="77777777" w:rsidR="006D76AB" w:rsidRPr="009A7163" w:rsidRDefault="006D76AB" w:rsidP="00293176">
            <w:pPr>
              <w:rPr>
                <w:bCs/>
                <w:i/>
                <w:iCs/>
              </w:rPr>
            </w:pPr>
            <w:r w:rsidRPr="009A7163">
              <w:rPr>
                <w:bCs/>
                <w:i/>
                <w:iCs/>
              </w:rPr>
              <w:t>Line</w:t>
            </w:r>
          </w:p>
        </w:tc>
        <w:tc>
          <w:tcPr>
            <w:tcW w:w="1880" w:type="dxa"/>
            <w:vAlign w:val="center"/>
          </w:tcPr>
          <w:p w14:paraId="3ADAEEA8" w14:textId="77777777" w:rsidR="006D76AB" w:rsidRPr="009A7163" w:rsidRDefault="006D76AB" w:rsidP="00293176">
            <w:pPr>
              <w:rPr>
                <w:bCs/>
                <w:i/>
                <w:iCs/>
              </w:rPr>
            </w:pPr>
            <w:r w:rsidRPr="009A7163">
              <w:rPr>
                <w:bCs/>
                <w:i/>
                <w:iCs/>
              </w:rPr>
              <w:t>Price per pound</w:t>
            </w:r>
          </w:p>
        </w:tc>
      </w:tr>
      <w:tr w:rsidR="006D76AB" w:rsidRPr="009A7163" w14:paraId="282D159E" w14:textId="77777777" w:rsidTr="00CB5642">
        <w:tc>
          <w:tcPr>
            <w:tcW w:w="4145" w:type="dxa"/>
            <w:vAlign w:val="center"/>
          </w:tcPr>
          <w:p w14:paraId="04D0FBF5" w14:textId="77777777" w:rsidR="006D76AB" w:rsidRPr="009A7163" w:rsidRDefault="006D76AB" w:rsidP="00293176">
            <w:pPr>
              <w:rPr>
                <w:bCs/>
                <w:iCs/>
              </w:rPr>
            </w:pPr>
            <w:r w:rsidRPr="009A7163">
              <w:rPr>
                <w:bCs/>
                <w:iCs/>
              </w:rPr>
              <w:t>CECOCAFEN Commercialization</w:t>
            </w:r>
          </w:p>
        </w:tc>
        <w:tc>
          <w:tcPr>
            <w:tcW w:w="1880" w:type="dxa"/>
            <w:vAlign w:val="center"/>
          </w:tcPr>
          <w:p w14:paraId="605E9954" w14:textId="77777777" w:rsidR="006D76AB" w:rsidRPr="009A7163" w:rsidRDefault="006D76AB" w:rsidP="00293176">
            <w:pPr>
              <w:rPr>
                <w:bCs/>
                <w:iCs/>
              </w:rPr>
            </w:pPr>
            <w:r w:rsidRPr="009A7163">
              <w:rPr>
                <w:bCs/>
                <w:iCs/>
              </w:rPr>
              <w:t>$0.09</w:t>
            </w:r>
          </w:p>
        </w:tc>
      </w:tr>
      <w:tr w:rsidR="006D76AB" w:rsidRPr="009A7163" w14:paraId="44EE6A61" w14:textId="77777777" w:rsidTr="00CB5642">
        <w:tc>
          <w:tcPr>
            <w:tcW w:w="4145" w:type="dxa"/>
            <w:vAlign w:val="center"/>
          </w:tcPr>
          <w:p w14:paraId="64A309AA" w14:textId="77777777" w:rsidR="006D76AB" w:rsidRPr="009A7163" w:rsidRDefault="006D76AB" w:rsidP="00293176">
            <w:pPr>
              <w:rPr>
                <w:bCs/>
                <w:iCs/>
              </w:rPr>
            </w:pPr>
            <w:r w:rsidRPr="009A7163">
              <w:rPr>
                <w:bCs/>
                <w:iCs/>
              </w:rPr>
              <w:t>Milling and Processing</w:t>
            </w:r>
          </w:p>
        </w:tc>
        <w:tc>
          <w:tcPr>
            <w:tcW w:w="1880" w:type="dxa"/>
            <w:vAlign w:val="center"/>
          </w:tcPr>
          <w:p w14:paraId="5DB6B298" w14:textId="77777777" w:rsidR="006D76AB" w:rsidRPr="009A7163" w:rsidRDefault="006D76AB" w:rsidP="00293176">
            <w:pPr>
              <w:rPr>
                <w:bCs/>
                <w:iCs/>
              </w:rPr>
            </w:pPr>
            <w:r w:rsidRPr="009A7163">
              <w:rPr>
                <w:bCs/>
                <w:iCs/>
              </w:rPr>
              <w:t>$0.10</w:t>
            </w:r>
          </w:p>
        </w:tc>
      </w:tr>
      <w:tr w:rsidR="006D76AB" w:rsidRPr="009A7163" w14:paraId="4D705FA6" w14:textId="77777777" w:rsidTr="00CB5642">
        <w:tc>
          <w:tcPr>
            <w:tcW w:w="4145" w:type="dxa"/>
            <w:vAlign w:val="center"/>
          </w:tcPr>
          <w:p w14:paraId="0973DA11" w14:textId="77777777" w:rsidR="006D76AB" w:rsidRPr="009A7163" w:rsidRDefault="006D76AB" w:rsidP="00293176">
            <w:pPr>
              <w:rPr>
                <w:bCs/>
                <w:iCs/>
              </w:rPr>
            </w:pPr>
            <w:r w:rsidRPr="009A7163">
              <w:rPr>
                <w:bCs/>
                <w:iCs/>
              </w:rPr>
              <w:t>Municipal Taxes (1%)</w:t>
            </w:r>
          </w:p>
        </w:tc>
        <w:tc>
          <w:tcPr>
            <w:tcW w:w="1880" w:type="dxa"/>
            <w:vAlign w:val="center"/>
          </w:tcPr>
          <w:p w14:paraId="3C8174F3" w14:textId="77777777" w:rsidR="006D76AB" w:rsidRPr="009A7163" w:rsidRDefault="006D76AB" w:rsidP="00293176">
            <w:pPr>
              <w:rPr>
                <w:bCs/>
                <w:iCs/>
              </w:rPr>
            </w:pPr>
            <w:r w:rsidRPr="009A7163">
              <w:rPr>
                <w:bCs/>
                <w:iCs/>
              </w:rPr>
              <w:t>$0.02</w:t>
            </w:r>
          </w:p>
        </w:tc>
      </w:tr>
      <w:tr w:rsidR="006D76AB" w:rsidRPr="009A7163" w14:paraId="6EC14D45" w14:textId="77777777" w:rsidTr="00CB5642">
        <w:tc>
          <w:tcPr>
            <w:tcW w:w="4145" w:type="dxa"/>
            <w:vAlign w:val="center"/>
          </w:tcPr>
          <w:p w14:paraId="6B12472F" w14:textId="77777777" w:rsidR="006D76AB" w:rsidRPr="009A7163" w:rsidRDefault="006D76AB" w:rsidP="00293176">
            <w:pPr>
              <w:rPr>
                <w:bCs/>
                <w:iCs/>
              </w:rPr>
            </w:pPr>
            <w:r w:rsidRPr="009A7163">
              <w:rPr>
                <w:bCs/>
                <w:iCs/>
              </w:rPr>
              <w:t>UCA San Ramón Administrative Costs</w:t>
            </w:r>
          </w:p>
        </w:tc>
        <w:tc>
          <w:tcPr>
            <w:tcW w:w="1880" w:type="dxa"/>
            <w:vAlign w:val="center"/>
          </w:tcPr>
          <w:p w14:paraId="3741B4C9" w14:textId="77777777" w:rsidR="006D76AB" w:rsidRPr="009A7163" w:rsidRDefault="006D76AB" w:rsidP="00293176">
            <w:pPr>
              <w:rPr>
                <w:bCs/>
                <w:iCs/>
              </w:rPr>
            </w:pPr>
            <w:r w:rsidRPr="009A7163">
              <w:rPr>
                <w:bCs/>
                <w:iCs/>
              </w:rPr>
              <w:t>$0.11</w:t>
            </w:r>
          </w:p>
        </w:tc>
      </w:tr>
      <w:tr w:rsidR="006D76AB" w:rsidRPr="009A7163" w14:paraId="3BD88177" w14:textId="77777777" w:rsidTr="00CB5642">
        <w:tc>
          <w:tcPr>
            <w:tcW w:w="4145" w:type="dxa"/>
            <w:vAlign w:val="center"/>
          </w:tcPr>
          <w:p w14:paraId="08BE507F" w14:textId="77777777" w:rsidR="006D76AB" w:rsidRPr="009A7163" w:rsidRDefault="006D76AB" w:rsidP="00293176">
            <w:pPr>
              <w:rPr>
                <w:bCs/>
                <w:iCs/>
              </w:rPr>
            </w:pPr>
            <w:r w:rsidRPr="009A7163">
              <w:rPr>
                <w:bCs/>
                <w:iCs/>
              </w:rPr>
              <w:t>Fund for the Unpaid Work of Women</w:t>
            </w:r>
          </w:p>
        </w:tc>
        <w:tc>
          <w:tcPr>
            <w:tcW w:w="1880" w:type="dxa"/>
            <w:vAlign w:val="center"/>
          </w:tcPr>
          <w:p w14:paraId="0822D881" w14:textId="77777777" w:rsidR="006D76AB" w:rsidRPr="009A7163" w:rsidRDefault="006D76AB" w:rsidP="00293176">
            <w:pPr>
              <w:rPr>
                <w:bCs/>
                <w:iCs/>
              </w:rPr>
            </w:pPr>
            <w:r w:rsidRPr="009A7163">
              <w:rPr>
                <w:bCs/>
                <w:iCs/>
              </w:rPr>
              <w:t>$0.10</w:t>
            </w:r>
          </w:p>
        </w:tc>
      </w:tr>
      <w:tr w:rsidR="006D76AB" w:rsidRPr="009A7163" w14:paraId="32D96858" w14:textId="77777777" w:rsidTr="00CB5642">
        <w:tc>
          <w:tcPr>
            <w:tcW w:w="4145" w:type="dxa"/>
            <w:vAlign w:val="center"/>
          </w:tcPr>
          <w:p w14:paraId="7BEB7956" w14:textId="77777777" w:rsidR="006D76AB" w:rsidRPr="009A7163" w:rsidRDefault="006D76AB" w:rsidP="00293176">
            <w:pPr>
              <w:rPr>
                <w:bCs/>
                <w:iCs/>
              </w:rPr>
            </w:pPr>
            <w:r w:rsidRPr="009A7163">
              <w:rPr>
                <w:bCs/>
                <w:iCs/>
              </w:rPr>
              <w:t>Sustainable Agriculture Fund</w:t>
            </w:r>
          </w:p>
        </w:tc>
        <w:tc>
          <w:tcPr>
            <w:tcW w:w="1880" w:type="dxa"/>
            <w:vAlign w:val="center"/>
          </w:tcPr>
          <w:p w14:paraId="139AC08C" w14:textId="77777777" w:rsidR="006D76AB" w:rsidRPr="009A7163" w:rsidRDefault="006D76AB" w:rsidP="00293176">
            <w:pPr>
              <w:rPr>
                <w:bCs/>
                <w:iCs/>
              </w:rPr>
            </w:pPr>
            <w:r w:rsidRPr="009A7163">
              <w:rPr>
                <w:bCs/>
                <w:iCs/>
              </w:rPr>
              <w:t>$0.10</w:t>
            </w:r>
          </w:p>
        </w:tc>
      </w:tr>
      <w:tr w:rsidR="006D76AB" w:rsidRPr="009A7163" w14:paraId="23A88310" w14:textId="77777777" w:rsidTr="00CB5642">
        <w:tc>
          <w:tcPr>
            <w:tcW w:w="4145" w:type="dxa"/>
            <w:vAlign w:val="center"/>
          </w:tcPr>
          <w:p w14:paraId="5984B542" w14:textId="77777777" w:rsidR="006D76AB" w:rsidRPr="009A7163" w:rsidRDefault="006D76AB" w:rsidP="00293176">
            <w:pPr>
              <w:rPr>
                <w:bCs/>
                <w:iCs/>
              </w:rPr>
            </w:pPr>
            <w:r w:rsidRPr="009A7163">
              <w:rPr>
                <w:bCs/>
                <w:iCs/>
              </w:rPr>
              <w:t>Price paid to farmer</w:t>
            </w:r>
          </w:p>
        </w:tc>
        <w:tc>
          <w:tcPr>
            <w:tcW w:w="1880" w:type="dxa"/>
            <w:vAlign w:val="center"/>
          </w:tcPr>
          <w:p w14:paraId="532A9525" w14:textId="77777777" w:rsidR="006D76AB" w:rsidRPr="009A7163" w:rsidRDefault="006D76AB" w:rsidP="00293176">
            <w:pPr>
              <w:rPr>
                <w:bCs/>
                <w:iCs/>
              </w:rPr>
            </w:pPr>
            <w:r w:rsidRPr="009A7163">
              <w:rPr>
                <w:bCs/>
                <w:iCs/>
              </w:rPr>
              <w:t>$1.91</w:t>
            </w:r>
          </w:p>
        </w:tc>
      </w:tr>
      <w:tr w:rsidR="006D76AB" w:rsidRPr="009A7163" w14:paraId="30E6A24A" w14:textId="77777777" w:rsidTr="00CB5642">
        <w:tc>
          <w:tcPr>
            <w:tcW w:w="4145" w:type="dxa"/>
            <w:vAlign w:val="center"/>
          </w:tcPr>
          <w:p w14:paraId="12B8AF64" w14:textId="77777777" w:rsidR="006D76AB" w:rsidRPr="009A7163" w:rsidRDefault="006D76AB" w:rsidP="00293176">
            <w:pPr>
              <w:rPr>
                <w:bCs/>
                <w:iCs/>
              </w:rPr>
            </w:pPr>
            <w:r w:rsidRPr="009A7163">
              <w:rPr>
                <w:bCs/>
                <w:iCs/>
              </w:rPr>
              <w:t xml:space="preserve">Final Purchase Price </w:t>
            </w:r>
          </w:p>
        </w:tc>
        <w:tc>
          <w:tcPr>
            <w:tcW w:w="1880" w:type="dxa"/>
            <w:vAlign w:val="center"/>
          </w:tcPr>
          <w:p w14:paraId="522D5A1B" w14:textId="77777777" w:rsidR="006D76AB" w:rsidRPr="009A7163" w:rsidRDefault="006D76AB" w:rsidP="00293176">
            <w:pPr>
              <w:rPr>
                <w:bCs/>
                <w:iCs/>
              </w:rPr>
            </w:pPr>
            <w:r w:rsidRPr="009A7163">
              <w:rPr>
                <w:bCs/>
                <w:iCs/>
              </w:rPr>
              <w:t>$2.43</w:t>
            </w:r>
          </w:p>
        </w:tc>
      </w:tr>
    </w:tbl>
    <w:p w14:paraId="1AECBA9D" w14:textId="77777777" w:rsidR="006D76AB" w:rsidRPr="009A7163" w:rsidRDefault="006D76AB" w:rsidP="00293176">
      <w:pPr>
        <w:spacing w:line="360" w:lineRule="auto"/>
        <w:jc w:val="both"/>
        <w:rPr>
          <w:bCs/>
          <w:iCs/>
        </w:rPr>
      </w:pPr>
    </w:p>
    <w:p w14:paraId="082AF47A" w14:textId="77777777" w:rsidR="00DF3265" w:rsidRPr="009A7163" w:rsidRDefault="00DF3265" w:rsidP="00293176">
      <w:pPr>
        <w:widowControl w:val="0"/>
        <w:autoSpaceDE w:val="0"/>
        <w:autoSpaceDN w:val="0"/>
        <w:adjustRightInd w:val="0"/>
        <w:spacing w:line="360" w:lineRule="auto"/>
        <w:jc w:val="both"/>
        <w:rPr>
          <w:b/>
          <w:lang w:val="es-NI"/>
        </w:rPr>
      </w:pPr>
    </w:p>
    <w:p w14:paraId="72F192D5" w14:textId="77777777" w:rsidR="00DF3265" w:rsidRPr="009A7163" w:rsidRDefault="00DF3265" w:rsidP="00293176">
      <w:pPr>
        <w:widowControl w:val="0"/>
        <w:autoSpaceDE w:val="0"/>
        <w:autoSpaceDN w:val="0"/>
        <w:adjustRightInd w:val="0"/>
        <w:spacing w:line="360" w:lineRule="auto"/>
        <w:jc w:val="both"/>
        <w:rPr>
          <w:b/>
          <w:lang w:val="es-NI"/>
        </w:rPr>
      </w:pPr>
    </w:p>
    <w:p w14:paraId="64516760" w14:textId="77777777" w:rsidR="00DF3265" w:rsidRPr="009A7163" w:rsidRDefault="00DF3265" w:rsidP="00F24B04">
      <w:pPr>
        <w:widowControl w:val="0"/>
        <w:autoSpaceDE w:val="0"/>
        <w:autoSpaceDN w:val="0"/>
        <w:adjustRightInd w:val="0"/>
        <w:spacing w:line="360" w:lineRule="auto"/>
        <w:jc w:val="both"/>
        <w:rPr>
          <w:b/>
          <w:lang w:val="es-NI"/>
        </w:rPr>
        <w:sectPr w:rsidR="00DF3265" w:rsidRPr="009A7163" w:rsidSect="00586F14">
          <w:footnotePr>
            <w:numRestart w:val="eachSect"/>
          </w:footnotePr>
          <w:type w:val="continuous"/>
          <w:pgSz w:w="11907" w:h="16839" w:code="9"/>
          <w:pgMar w:top="1440" w:right="1440" w:bottom="1440" w:left="2160" w:header="706" w:footer="706" w:gutter="0"/>
          <w:cols w:space="708"/>
          <w:docGrid w:linePitch="360"/>
        </w:sectPr>
      </w:pPr>
    </w:p>
    <w:p w14:paraId="2F0EDDDC" w14:textId="52E1DCCD" w:rsidR="0004022E" w:rsidRPr="009A7163" w:rsidRDefault="00DF3265" w:rsidP="00293176">
      <w:pPr>
        <w:pStyle w:val="Heading1"/>
        <w:rPr>
          <w:rFonts w:eastAsia="MS Mincho"/>
          <w:sz w:val="28"/>
          <w:szCs w:val="32"/>
        </w:rPr>
      </w:pPr>
      <w:bookmarkStart w:id="99" w:name="_Toc526819317"/>
      <w:r w:rsidRPr="009A7163">
        <w:rPr>
          <w:rFonts w:eastAsia="MS Mincho"/>
          <w:sz w:val="28"/>
          <w:szCs w:val="32"/>
        </w:rPr>
        <w:lastRenderedPageBreak/>
        <w:t>Chapter Five: Defining, Measuring and Valuing Time Use</w:t>
      </w:r>
      <w:bookmarkEnd w:id="99"/>
    </w:p>
    <w:p w14:paraId="686204CE" w14:textId="77777777" w:rsidR="0004022E" w:rsidRPr="009A7163" w:rsidRDefault="0004022E" w:rsidP="008C041F">
      <w:pPr>
        <w:rPr>
          <w:rFonts w:eastAsia="MS Mincho"/>
          <w:b/>
          <w:sz w:val="28"/>
          <w:szCs w:val="28"/>
        </w:rPr>
      </w:pPr>
    </w:p>
    <w:p w14:paraId="135F4268" w14:textId="77777777" w:rsidR="0004022E" w:rsidRPr="009A7163" w:rsidRDefault="0004022E">
      <w:pPr>
        <w:rPr>
          <w:rFonts w:eastAsia="MS Mincho"/>
          <w:b/>
          <w:szCs w:val="28"/>
        </w:rPr>
      </w:pPr>
    </w:p>
    <w:p w14:paraId="48835504" w14:textId="1990DAAE" w:rsidR="0004022E" w:rsidRPr="009A7163" w:rsidRDefault="0004022E" w:rsidP="00293176">
      <w:pPr>
        <w:pStyle w:val="Heading2"/>
        <w:rPr>
          <w:rFonts w:eastAsia="MS Mincho"/>
          <w:lang w:val="en-GB"/>
        </w:rPr>
      </w:pPr>
      <w:bookmarkStart w:id="100" w:name="_Toc526819318"/>
      <w:r w:rsidRPr="009A7163">
        <w:rPr>
          <w:rFonts w:eastAsia="MS Mincho"/>
          <w:lang w:val="en-GB"/>
        </w:rPr>
        <w:t>5.1  Introduction</w:t>
      </w:r>
      <w:bookmarkEnd w:id="100"/>
    </w:p>
    <w:p w14:paraId="71614DFF" w14:textId="6C834CB8" w:rsidR="0004022E" w:rsidRPr="009A7163" w:rsidRDefault="0004022E" w:rsidP="008C041F">
      <w:pPr>
        <w:spacing w:line="360" w:lineRule="auto"/>
        <w:ind w:firstLine="720"/>
        <w:jc w:val="both"/>
        <w:rPr>
          <w:rFonts w:eastAsia="MS Mincho"/>
        </w:rPr>
      </w:pPr>
      <w:r w:rsidRPr="009A7163">
        <w:rPr>
          <w:rFonts w:eastAsia="MS Mincho"/>
        </w:rPr>
        <w:t xml:space="preserve">In Chapter </w:t>
      </w:r>
      <w:r w:rsidR="00DF3265" w:rsidRPr="009A7163">
        <w:rPr>
          <w:rFonts w:eastAsia="MS Mincho"/>
        </w:rPr>
        <w:t>Four</w:t>
      </w:r>
      <w:r w:rsidRPr="009A7163">
        <w:rPr>
          <w:rFonts w:eastAsia="MS Mincho"/>
        </w:rPr>
        <w:t xml:space="preserve">, I presented the context for this chapter and the additional three analysis chapters that follow by presenting how the history of Nicaragua </w:t>
      </w:r>
      <w:r w:rsidR="00457092" w:rsidRPr="009A7163">
        <w:rPr>
          <w:rFonts w:eastAsia="MS Mincho"/>
        </w:rPr>
        <w:t>and its</w:t>
      </w:r>
      <w:r w:rsidRPr="009A7163">
        <w:rPr>
          <w:rFonts w:eastAsia="MS Mincho"/>
        </w:rPr>
        <w:t xml:space="preserve"> current situation has shaped the identities of both women and men. Nicaragua has been marked by political, social and economic turmoil throughout its history, yet through its vibrant social and political movements, it has also offered an enabling environment of change. Both the history and current situation provide an interesting environment where social norms are being challenged</w:t>
      </w:r>
      <w:r w:rsidR="00AE41D6" w:rsidRPr="009A7163">
        <w:rPr>
          <w:rFonts w:eastAsia="MS Mincho"/>
        </w:rPr>
        <w:t>,</w:t>
      </w:r>
      <w:r w:rsidRPr="009A7163">
        <w:rPr>
          <w:rFonts w:eastAsia="MS Mincho"/>
        </w:rPr>
        <w:t xml:space="preserve"> but remain somewhat resistant due to oppressive practices and continued structures of constraint. The case studies presented in detail in the previous chapter also provide</w:t>
      </w:r>
      <w:r w:rsidR="00AE41D6" w:rsidRPr="009A7163">
        <w:rPr>
          <w:rFonts w:eastAsia="MS Mincho"/>
        </w:rPr>
        <w:t>d</w:t>
      </w:r>
      <w:r w:rsidRPr="009A7163">
        <w:rPr>
          <w:rFonts w:eastAsia="MS Mincho"/>
        </w:rPr>
        <w:t xml:space="preserve"> a fascinating opportunity to investigate my research questions as the cooperatives in both case studies share a number of similarities. Both were formed after the Revolution by leaders who fought in the Revolution, offer a wide range of social programs for change and have promoted innovation in their supply chains. Cooperative leaders of both cooperatives have also either held local government roles or have been involved in government institutions (for example, Blanca Rosa from the UCA San Ramón has been vice mayor of San Ramon) and both cooperatives have participated in national networks (the UCA San Ramón is a member of Cafenica</w:t>
      </w:r>
      <w:r w:rsidRPr="009A7163">
        <w:rPr>
          <w:rFonts w:eastAsia="MS Mincho"/>
          <w:vertAlign w:val="superscript"/>
        </w:rPr>
        <w:footnoteReference w:id="85"/>
      </w:r>
      <w:r w:rsidRPr="009A7163">
        <w:rPr>
          <w:rFonts w:eastAsia="MS Mincho"/>
        </w:rPr>
        <w:t xml:space="preserve"> and </w:t>
      </w:r>
      <w:r w:rsidR="00AE41D6" w:rsidRPr="009A7163">
        <w:rPr>
          <w:rFonts w:eastAsia="MS Mincho"/>
        </w:rPr>
        <w:t xml:space="preserve">the </w:t>
      </w:r>
      <w:r w:rsidR="00AE41D6" w:rsidRPr="009A7163">
        <w:rPr>
          <w:iCs/>
        </w:rPr>
        <w:t>Cooperativa Juan Francisco Paz de Silva (CJFPS)</w:t>
      </w:r>
      <w:r w:rsidR="00AE41D6" w:rsidRPr="009A7163">
        <w:rPr>
          <w:rFonts w:eastAsia="MS Mincho"/>
        </w:rPr>
        <w:t xml:space="preserve"> </w:t>
      </w:r>
      <w:r w:rsidRPr="009A7163">
        <w:rPr>
          <w:rFonts w:eastAsia="MS Mincho"/>
        </w:rPr>
        <w:t xml:space="preserve">was a member of </w:t>
      </w:r>
      <w:r w:rsidR="00AE41D6" w:rsidRPr="009A7163">
        <w:rPr>
          <w:rFonts w:eastAsia="MS Mincho"/>
        </w:rPr>
        <w:t xml:space="preserve">the Federación Nacional de Cooperativas Agropecuarias y Agroindustriales (National Federation of Farming and Agroindustrial Cooperatives, or </w:t>
      </w:r>
      <w:r w:rsidRPr="009A7163">
        <w:rPr>
          <w:rFonts w:eastAsia="MS Mincho"/>
        </w:rPr>
        <w:t>FENACOOP</w:t>
      </w:r>
      <w:r w:rsidRPr="009A7163">
        <w:rPr>
          <w:rFonts w:eastAsia="MS Mincho"/>
          <w:vertAlign w:val="superscript"/>
        </w:rPr>
        <w:footnoteReference w:id="86"/>
      </w:r>
      <w:r w:rsidRPr="009A7163">
        <w:rPr>
          <w:rFonts w:eastAsia="MS Mincho"/>
        </w:rPr>
        <w:t xml:space="preserve">). Despite these similarities, both cooperatives are situated in rural Nicaragua where social norms are resistant to change and machismo remains rife.  </w:t>
      </w:r>
    </w:p>
    <w:p w14:paraId="51BE57F2" w14:textId="0423229D" w:rsidR="00465691" w:rsidRPr="009A7163" w:rsidRDefault="0004022E" w:rsidP="007A3A29">
      <w:pPr>
        <w:spacing w:line="360" w:lineRule="auto"/>
        <w:ind w:firstLine="720"/>
        <w:jc w:val="both"/>
        <w:rPr>
          <w:rFonts w:eastAsia="MS Mincho"/>
          <w:strike/>
        </w:rPr>
      </w:pPr>
      <w:r w:rsidRPr="009A7163">
        <w:rPr>
          <w:rFonts w:eastAsia="MS Mincho"/>
        </w:rPr>
        <w:t xml:space="preserve"> In this chapter, I examine how the men and women in my research understood the subject that the initiative is based upon: recognising and valuing unpaid work. This chapter is organised around my first three research questions</w:t>
      </w:r>
      <w:r w:rsidR="009A5382" w:rsidRPr="009A7163">
        <w:rPr>
          <w:rFonts w:eastAsia="MS Mincho"/>
        </w:rPr>
        <w:t>,</w:t>
      </w:r>
      <w:r w:rsidRPr="009A7163">
        <w:rPr>
          <w:rFonts w:eastAsia="MS Mincho"/>
        </w:rPr>
        <w:t xml:space="preserve"> which asked: 1) How can </w:t>
      </w:r>
      <w:r w:rsidRPr="009A7163">
        <w:rPr>
          <w:rFonts w:eastAsia="MS Mincho"/>
        </w:rPr>
        <w:lastRenderedPageBreak/>
        <w:t>unpaid work be defined?; 2) How can unpaid work be measured?; and 3)</w:t>
      </w:r>
      <w:r w:rsidR="009A5382" w:rsidRPr="009A7163">
        <w:rPr>
          <w:rFonts w:eastAsia="MS Mincho"/>
          <w:strike/>
        </w:rPr>
        <w:t xml:space="preserve"> </w:t>
      </w:r>
      <w:r w:rsidR="00465691" w:rsidRPr="009A7163">
        <w:rPr>
          <w:rFonts w:eastAsia="MS Mincho"/>
        </w:rPr>
        <w:t>What are the challenges of pricing unpaid work?</w:t>
      </w:r>
    </w:p>
    <w:p w14:paraId="3CFA1DC8" w14:textId="637E8F51" w:rsidR="0004022E" w:rsidRPr="009A7163" w:rsidRDefault="0004022E">
      <w:pPr>
        <w:spacing w:after="240" w:line="360" w:lineRule="auto"/>
        <w:ind w:firstLine="720"/>
        <w:jc w:val="both"/>
        <w:rPr>
          <w:rFonts w:eastAsia="MS Mincho"/>
        </w:rPr>
      </w:pPr>
      <w:r w:rsidRPr="009A7163">
        <w:rPr>
          <w:rFonts w:eastAsia="MS Mincho"/>
        </w:rPr>
        <w:t xml:space="preserve">I interviewed participants in the initiative and key informants from the women’s and cooperative movements in Nicaragua, as well as other experts who could make links between the broader contextual situation of Nicaragua and what it means to define, value and measure women’s unpaid work in this context. This chapter presents and discusses findings from the fieldwork in relation to the literature defining unpaid work. I begin by exploring how unpaid work is defined by the participants and experts and then proceed to explore how it can be measured and valued. Each section is directly linked to the research questions. The chapter concludes with a summary of the key messages from each subsection. </w:t>
      </w:r>
    </w:p>
    <w:p w14:paraId="62555C18" w14:textId="63A1A5DB" w:rsidR="0004022E" w:rsidRPr="009A7163" w:rsidRDefault="0004022E" w:rsidP="00293176">
      <w:pPr>
        <w:pStyle w:val="Heading2"/>
        <w:rPr>
          <w:rFonts w:eastAsia="MS Mincho"/>
          <w:lang w:val="en-GB"/>
        </w:rPr>
      </w:pPr>
      <w:bookmarkStart w:id="101" w:name="_Toc526819319"/>
      <w:r w:rsidRPr="009A7163">
        <w:rPr>
          <w:rFonts w:eastAsia="MS Mincho"/>
          <w:lang w:val="en-GB"/>
        </w:rPr>
        <w:t>5.2  Defining Unpaid Work</w:t>
      </w:r>
      <w:bookmarkEnd w:id="101"/>
    </w:p>
    <w:p w14:paraId="7FBAE7C5" w14:textId="23AA09B0" w:rsidR="0004022E" w:rsidRPr="009A7163" w:rsidRDefault="0004022E" w:rsidP="008C041F">
      <w:pPr>
        <w:spacing w:line="360" w:lineRule="auto"/>
        <w:jc w:val="both"/>
        <w:rPr>
          <w:rFonts w:eastAsia="MS Mincho"/>
        </w:rPr>
      </w:pPr>
      <w:r w:rsidRPr="009A7163">
        <w:rPr>
          <w:rFonts w:eastAsia="MS Mincho"/>
        </w:rPr>
        <w:tab/>
        <w:t xml:space="preserve">As discussed in </w:t>
      </w:r>
      <w:r w:rsidR="00B44AC2" w:rsidRPr="009A7163">
        <w:rPr>
          <w:rFonts w:eastAsia="MS Mincho"/>
        </w:rPr>
        <w:t>Chapter Two</w:t>
      </w:r>
      <w:r w:rsidRPr="009A7163">
        <w:rPr>
          <w:rFonts w:eastAsia="MS Mincho"/>
        </w:rPr>
        <w:t xml:space="preserve">, defining unpaid labour is an area where terms overlap and lines are blurred between concepts. As </w:t>
      </w:r>
      <w:r w:rsidRPr="009A7163">
        <w:rPr>
          <w:rFonts w:eastAsia="MS Mincho"/>
          <w:bCs/>
        </w:rPr>
        <w:t xml:space="preserve">Antonopoulos (2009) </w:t>
      </w:r>
      <w:r w:rsidRPr="009A7163">
        <w:rPr>
          <w:rFonts w:eastAsia="MS Mincho"/>
        </w:rPr>
        <w:t>point</w:t>
      </w:r>
      <w:r w:rsidR="00457092" w:rsidRPr="009A7163">
        <w:rPr>
          <w:rFonts w:eastAsia="MS Mincho"/>
        </w:rPr>
        <w:t>s</w:t>
      </w:r>
      <w:r w:rsidRPr="009A7163">
        <w:rPr>
          <w:rFonts w:eastAsia="MS Mincho"/>
        </w:rPr>
        <w:t xml:space="preserve"> out, ‘[T]o complicate matters, unpaid work, unpaid care work, household production, and household reproduction are used interchangeably’ </w:t>
      </w:r>
      <w:r w:rsidR="009A5382" w:rsidRPr="009A7163">
        <w:rPr>
          <w:rFonts w:eastAsia="MS Mincho"/>
        </w:rPr>
        <w:t xml:space="preserve">(p. 3), </w:t>
      </w:r>
      <w:r w:rsidRPr="009A7163">
        <w:rPr>
          <w:rFonts w:eastAsia="MS Mincho"/>
        </w:rPr>
        <w:t>and this is true in everyday language and academic discourse. The collected data echoes and adds to previous understandings of unpaid work and these variations. The term used in this study is unpaid care work (</w:t>
      </w:r>
      <w:r w:rsidR="003A2C87" w:rsidRPr="009A7163">
        <w:rPr>
          <w:rFonts w:eastAsia="MS Mincho"/>
        </w:rPr>
        <w:t xml:space="preserve">UCW; </w:t>
      </w:r>
      <w:r w:rsidRPr="009A7163">
        <w:rPr>
          <w:rFonts w:eastAsia="MS Mincho"/>
        </w:rPr>
        <w:t xml:space="preserve">see </w:t>
      </w:r>
      <w:r w:rsidR="00B44AC2" w:rsidRPr="009A7163">
        <w:rPr>
          <w:rFonts w:eastAsia="MS Mincho"/>
        </w:rPr>
        <w:t>Chapter Two</w:t>
      </w:r>
      <w:r w:rsidRPr="009A7163">
        <w:rPr>
          <w:rFonts w:eastAsia="MS Mincho"/>
        </w:rPr>
        <w:t>) and hereafter at times the terms work and labour will often be used as if they were interchangeable. However, as Perez Orozco (2003) argue</w:t>
      </w:r>
      <w:r w:rsidR="009A5382" w:rsidRPr="009A7163">
        <w:rPr>
          <w:rFonts w:eastAsia="MS Mincho"/>
        </w:rPr>
        <w:t>s</w:t>
      </w:r>
      <w:r w:rsidRPr="009A7163">
        <w:rPr>
          <w:rFonts w:eastAsia="MS Mincho"/>
        </w:rPr>
        <w:t>, ‘the term “work” has always had more inclusive connotations, given that labour has more often been used by economic theory (Gardiner, 1997) and that economic theory has historically been riddled with androcentric biases’ (p. 19). </w:t>
      </w:r>
    </w:p>
    <w:p w14:paraId="405A75B7" w14:textId="77777777" w:rsidR="0004022E" w:rsidRPr="009A7163" w:rsidRDefault="0004022E">
      <w:pPr>
        <w:spacing w:line="360" w:lineRule="auto"/>
        <w:ind w:firstLine="720"/>
        <w:jc w:val="both"/>
        <w:rPr>
          <w:rFonts w:eastAsia="MS Mincho"/>
        </w:rPr>
      </w:pPr>
      <w:r w:rsidRPr="009A7163">
        <w:rPr>
          <w:rFonts w:eastAsia="MS Mincho"/>
        </w:rPr>
        <w:t>The case studies (sesame and coffee) in this study use the term ‘</w:t>
      </w:r>
      <w:r w:rsidRPr="009A7163">
        <w:rPr>
          <w:rFonts w:eastAsia="MS Mincho"/>
          <w:i/>
        </w:rPr>
        <w:t>trabajo no renumerado</w:t>
      </w:r>
      <w:r w:rsidRPr="009A7163">
        <w:rPr>
          <w:rFonts w:eastAsia="MS Mincho"/>
        </w:rPr>
        <w:t>’ (unpaid work) to refer to the subject of the pricing scheme and initiative in general. In the Spanish language, there is no difference between work and labour. Two key informants that participated in the study, who are both managers and presidents of their respective cooperatives, both understood unpaid work to include women’s work that is directly or indirectly related to production. They only referred to this as women’s work and it is unclear whether they would see it the same way if the men undertook these tasks. They also state that this unpaid work has been invisible and hidden from the price:</w:t>
      </w:r>
    </w:p>
    <w:p w14:paraId="6962BEC7" w14:textId="4D425C4F" w:rsidR="0004022E" w:rsidRPr="009A7163" w:rsidRDefault="0004022E">
      <w:pPr>
        <w:spacing w:after="180"/>
        <w:ind w:left="720"/>
        <w:jc w:val="both"/>
        <w:rPr>
          <w:rFonts w:eastAsia="MS Mincho"/>
        </w:rPr>
      </w:pPr>
      <w:r w:rsidRPr="009A7163">
        <w:rPr>
          <w:rFonts w:eastAsia="MS Mincho"/>
        </w:rPr>
        <w:lastRenderedPageBreak/>
        <w:t>Unpaid work is about the recognition of women's contribution to agricultural production. This includes their indirect work, caring for the family, preparing food and looking after the house and their direct work at harvest time (picking and sorting) the sesame. Women are often involved in productive work. For example, when they take their husband’s lunch up to the fields, they’ll stay working with him. This indirect and direct contribution that women make to sesame is not calculated in the cost of production or visible in the cost of production calculations. (Juan Bravo, Manager and President of CJFPS, January 8, 2015)</w:t>
      </w:r>
    </w:p>
    <w:p w14:paraId="0C3DB535" w14:textId="05DC2575" w:rsidR="0004022E" w:rsidRPr="009A7163" w:rsidRDefault="0004022E">
      <w:pPr>
        <w:spacing w:after="180"/>
        <w:ind w:left="720"/>
        <w:jc w:val="both"/>
        <w:rPr>
          <w:rFonts w:eastAsia="MS Mincho"/>
        </w:rPr>
      </w:pPr>
      <w:r w:rsidRPr="009A7163">
        <w:rPr>
          <w:rFonts w:eastAsia="MS Mincho"/>
        </w:rPr>
        <w:t>Often women’s work is hidden. They wake up at 3am to cook, clean and look after the children. All this work is extra and not included in the price. They also do direct work related to coffee; for example, sorting the coffee is exclusively women’s work. (Blanca Rosa Molina, Manager UCA San Ramón, February 26, 2016)</w:t>
      </w:r>
    </w:p>
    <w:p w14:paraId="365D6EB9" w14:textId="77777777" w:rsidR="0004022E" w:rsidRPr="009A7163" w:rsidRDefault="0004022E">
      <w:pPr>
        <w:spacing w:line="360" w:lineRule="auto"/>
        <w:jc w:val="both"/>
        <w:rPr>
          <w:rFonts w:eastAsia="MS Mincho"/>
        </w:rPr>
      </w:pPr>
      <w:r w:rsidRPr="009A7163">
        <w:rPr>
          <w:rFonts w:eastAsia="MS Mincho"/>
        </w:rPr>
        <w:t>A woman from the initiative in Achuapa echoed this and linked the idea of unpaid work to the idea of the unseen. So whilst there is a material ‘product’, for the women it is the mundane nature of their work that makes it unseen. She argued:</w:t>
      </w:r>
    </w:p>
    <w:p w14:paraId="396D7916" w14:textId="306A1037" w:rsidR="0004022E" w:rsidRPr="009A7163" w:rsidRDefault="0004022E">
      <w:pPr>
        <w:spacing w:after="180"/>
        <w:ind w:left="720"/>
        <w:jc w:val="both"/>
        <w:rPr>
          <w:rFonts w:eastAsia="MS Mincho"/>
        </w:rPr>
      </w:pPr>
      <w:r w:rsidRPr="009A7163">
        <w:rPr>
          <w:rFonts w:eastAsia="MS Mincho"/>
        </w:rPr>
        <w:t>It’s unpaid work because we do not receive any salary. You do not see the work of us women, you never see it like you would with the men’s work. With the men you see something physical at the end. He brings back the harvest</w:t>
      </w:r>
      <w:r w:rsidR="00FE5EB3" w:rsidRPr="009A7163">
        <w:rPr>
          <w:rFonts w:eastAsia="MS Mincho"/>
        </w:rPr>
        <w:t>…</w:t>
      </w:r>
      <w:r w:rsidRPr="009A7163">
        <w:rPr>
          <w:rFonts w:eastAsia="MS Mincho"/>
        </w:rPr>
        <w:t>10 sacks of beans, 20 sacks of corn</w:t>
      </w:r>
      <w:r w:rsidR="00FE5EB3" w:rsidRPr="009A7163">
        <w:rPr>
          <w:rFonts w:eastAsia="MS Mincho"/>
        </w:rPr>
        <w:t>…</w:t>
      </w:r>
      <w:r w:rsidRPr="009A7163">
        <w:rPr>
          <w:rFonts w:eastAsia="MS Mincho"/>
        </w:rPr>
        <w:t>you see the fruits of the harvest but with our work you never see because we do the same work every day: we prepare food, we wash clothes but you never see the work… (Focus Group Women, February 6, 2015)</w:t>
      </w:r>
    </w:p>
    <w:p w14:paraId="37CB1E94" w14:textId="53873E46" w:rsidR="0004022E" w:rsidRPr="009A7163" w:rsidRDefault="0004022E">
      <w:pPr>
        <w:spacing w:line="360" w:lineRule="auto"/>
        <w:ind w:firstLine="720"/>
        <w:jc w:val="both"/>
        <w:rPr>
          <w:rFonts w:eastAsia="MS Mincho"/>
        </w:rPr>
      </w:pPr>
      <w:r w:rsidRPr="009A7163">
        <w:rPr>
          <w:rFonts w:eastAsia="MS Mincho"/>
        </w:rPr>
        <w:t xml:space="preserve">This concurs with the definition of unpaid work by </w:t>
      </w:r>
      <w:r w:rsidRPr="009A7163">
        <w:rPr>
          <w:rFonts w:eastAsia="MS Mincho"/>
          <w:bCs/>
        </w:rPr>
        <w:t>Antonopoulos (2009) in which he state</w:t>
      </w:r>
      <w:r w:rsidR="00017F80" w:rsidRPr="009A7163">
        <w:rPr>
          <w:rFonts w:eastAsia="MS Mincho"/>
          <w:bCs/>
        </w:rPr>
        <w:t>s</w:t>
      </w:r>
      <w:r w:rsidRPr="009A7163">
        <w:rPr>
          <w:rFonts w:eastAsia="MS Mincho"/>
          <w:bCs/>
        </w:rPr>
        <w:t xml:space="preserve"> that </w:t>
      </w:r>
      <w:r w:rsidRPr="009A7163">
        <w:rPr>
          <w:rFonts w:eastAsia="MS Mincho"/>
        </w:rPr>
        <w:t>unpaid work includes all non-remunerated work activities that lack social recognition</w:t>
      </w:r>
      <w:r w:rsidR="009A5382" w:rsidRPr="009A7163">
        <w:rPr>
          <w:rFonts w:eastAsia="MS Mincho"/>
        </w:rPr>
        <w:t xml:space="preserve"> (p. 3)</w:t>
      </w:r>
      <w:r w:rsidRPr="009A7163">
        <w:rPr>
          <w:rFonts w:eastAsia="MS Mincho"/>
        </w:rPr>
        <w:t xml:space="preserve">. In a focus group with members from the men’s sesame cooperative, one man defined unpaid work in the following response: </w:t>
      </w:r>
    </w:p>
    <w:p w14:paraId="0660E897" w14:textId="77777777" w:rsidR="0004022E" w:rsidRPr="009A7163" w:rsidRDefault="0004022E">
      <w:pPr>
        <w:spacing w:after="180"/>
        <w:ind w:left="720"/>
        <w:jc w:val="both"/>
        <w:rPr>
          <w:rFonts w:eastAsia="MS Mincho"/>
        </w:rPr>
      </w:pPr>
      <w:r w:rsidRPr="009A7163">
        <w:rPr>
          <w:rFonts w:eastAsia="MS Mincho"/>
        </w:rPr>
        <w:t>I understand that it is when the work of the woman in the home is not valued. We only value the work of the male and not the female. (Focus Group Men, Achuapa, February 6, 2015)</w:t>
      </w:r>
    </w:p>
    <w:p w14:paraId="4EC78DA5" w14:textId="77777777" w:rsidR="0004022E" w:rsidRPr="009A7163" w:rsidRDefault="0004022E">
      <w:pPr>
        <w:spacing w:line="360" w:lineRule="auto"/>
        <w:ind w:firstLine="720"/>
        <w:jc w:val="both"/>
        <w:rPr>
          <w:rFonts w:eastAsia="MS Mincho"/>
        </w:rPr>
      </w:pPr>
      <w:r w:rsidRPr="009A7163">
        <w:rPr>
          <w:rFonts w:eastAsia="MS Mincho"/>
        </w:rPr>
        <w:t xml:space="preserve">Another man from the focus group reflected that their work harvesting sesame was only possible with the support of the women’s unpaid work. He stated: </w:t>
      </w:r>
    </w:p>
    <w:p w14:paraId="5891D3E6" w14:textId="77777777" w:rsidR="0004022E" w:rsidRPr="009A7163" w:rsidRDefault="0004022E">
      <w:pPr>
        <w:spacing w:after="180"/>
        <w:ind w:left="720"/>
        <w:jc w:val="both"/>
        <w:rPr>
          <w:rFonts w:eastAsia="MS Mincho"/>
        </w:rPr>
      </w:pPr>
      <w:r w:rsidRPr="009A7163">
        <w:rPr>
          <w:rFonts w:eastAsia="MS Mincho"/>
        </w:rPr>
        <w:t>Her work enables me to produce sesame. She's helping me up, supporting me. (Focus Group Men, Achuapa, February 6, 2015)</w:t>
      </w:r>
    </w:p>
    <w:p w14:paraId="6D7AFA0A" w14:textId="066CD2C8" w:rsidR="0004022E" w:rsidRPr="009A7163" w:rsidRDefault="0004022E">
      <w:pPr>
        <w:spacing w:line="360" w:lineRule="auto"/>
        <w:ind w:firstLine="720"/>
        <w:jc w:val="both"/>
        <w:rPr>
          <w:rFonts w:eastAsia="MS Mincho"/>
        </w:rPr>
      </w:pPr>
      <w:r w:rsidRPr="009A7163">
        <w:rPr>
          <w:rFonts w:eastAsia="MS Mincho"/>
        </w:rPr>
        <w:t xml:space="preserve">It is evident that women’s </w:t>
      </w:r>
      <w:r w:rsidR="003A2C87" w:rsidRPr="009A7163">
        <w:rPr>
          <w:rFonts w:eastAsia="MS Mincho"/>
        </w:rPr>
        <w:t>UCW</w:t>
      </w:r>
      <w:r w:rsidRPr="009A7163">
        <w:rPr>
          <w:rFonts w:eastAsia="MS Mincho"/>
        </w:rPr>
        <w:t xml:space="preserve"> facilitates the ability of men to seek and access paid work. Women’s work at home sustains the labour force. It means that men can engage in paid work without having to contribute as much to the cooking, cleaning and taking care of others that needs to be done on a daily basis to keep the family (and the man) functioning. </w:t>
      </w:r>
    </w:p>
    <w:p w14:paraId="21D74985" w14:textId="77777777" w:rsidR="0004022E" w:rsidRPr="009A7163" w:rsidRDefault="0004022E">
      <w:pPr>
        <w:spacing w:line="360" w:lineRule="auto"/>
        <w:ind w:firstLine="720"/>
        <w:jc w:val="both"/>
        <w:rPr>
          <w:rFonts w:eastAsia="MS Mincho"/>
        </w:rPr>
      </w:pPr>
      <w:r w:rsidRPr="009A7163">
        <w:rPr>
          <w:rFonts w:eastAsia="MS Mincho"/>
        </w:rPr>
        <w:lastRenderedPageBreak/>
        <w:t xml:space="preserve">A number of participants from the men’s focus group and the key informants from the cooperatives agreed that women’s work supports production; however, as the Former Senior Buyer, Community Trade programme for BSI stated, it’s unclear what tasks are included in this understanding: </w:t>
      </w:r>
    </w:p>
    <w:p w14:paraId="5B2C3EC5" w14:textId="77777777" w:rsidR="0004022E" w:rsidRPr="009A7163" w:rsidRDefault="0004022E">
      <w:pPr>
        <w:spacing w:after="180"/>
        <w:ind w:left="720"/>
        <w:jc w:val="both"/>
        <w:rPr>
          <w:rFonts w:eastAsia="MS Mincho"/>
        </w:rPr>
      </w:pPr>
      <w:r w:rsidRPr="009A7163">
        <w:t>So [women’s work] was a very vague and loose concept and so we were paying for “whatever women do to support the sesame household,” so it’s everything</w:t>
      </w:r>
      <w:r w:rsidRPr="009A7163">
        <w:rPr>
          <w:rFonts w:eastAsia="MS Mincho"/>
        </w:rPr>
        <w:t xml:space="preserve">. (Expert Interview, Former Senior Buyer, BSI, February 23, 2017) </w:t>
      </w:r>
    </w:p>
    <w:p w14:paraId="4B70E209" w14:textId="77777777" w:rsidR="0004022E" w:rsidRPr="009A7163" w:rsidRDefault="0004022E">
      <w:pPr>
        <w:spacing w:line="360" w:lineRule="auto"/>
        <w:jc w:val="both"/>
        <w:rPr>
          <w:rFonts w:eastAsia="MS Mincho"/>
        </w:rPr>
      </w:pPr>
      <w:r w:rsidRPr="009A7163">
        <w:rPr>
          <w:rFonts w:eastAsia="MS Mincho"/>
        </w:rPr>
        <w:t>On defining unpaid work, she went on to say:</w:t>
      </w:r>
    </w:p>
    <w:p w14:paraId="449C3E46" w14:textId="61A3505B" w:rsidR="0004022E" w:rsidRPr="009A7163" w:rsidRDefault="0004022E">
      <w:pPr>
        <w:spacing w:after="180"/>
        <w:ind w:left="720"/>
        <w:jc w:val="both"/>
        <w:rPr>
          <w:rFonts w:eastAsia="MS Mincho"/>
        </w:rPr>
      </w:pPr>
      <w:r w:rsidRPr="009A7163">
        <w:t xml:space="preserve">We don’t know [how it was being defined]. We know the concepts behind it, but when we were reviewing our fair pricing agreement which converts to a number on a spreadsheet that says, “women’s unpaid labour”, we didn’t know exactly what this was comprised of. We agreed to pay for women’s unpaid labour, but we did not necessarily know what exactly that included. And, again, as the money was not going to actually every individual woman to recompense for exact money paid, it was never a science. It was always recognition of the concept. Part of it was actually about getting that discussion going within the cooperative, community and the members. So, recognising that women do a lot of stuff, be it care, reproductive, community or the invisible work within the sesame supply chain. There is stuff that women do. The way we chose to present it internally was recognising that within the supply chain there are different roles. So, we often imagined the male/father of the household working in the fields. Who brings him his lunch? Who is washing his clothes at home? If those specific tasks were not done, the member of that family would not be as able to do work on which we ultimately rely. Now whether you actually say that person spent two hours or 30 minutes washing clothes, that’s by the by. We were just piloting the concept. </w:t>
      </w:r>
      <w:r w:rsidRPr="009A7163">
        <w:rPr>
          <w:rFonts w:eastAsia="MS Mincho"/>
        </w:rPr>
        <w:t xml:space="preserve">(Expert Interview, Former Senior Buyer, BSI, February 23, 2017) </w:t>
      </w:r>
    </w:p>
    <w:p w14:paraId="390DD673" w14:textId="4F65EF5F" w:rsidR="0004022E" w:rsidRPr="009A7163" w:rsidRDefault="0004022E">
      <w:pPr>
        <w:spacing w:line="360" w:lineRule="auto"/>
        <w:jc w:val="both"/>
        <w:rPr>
          <w:rFonts w:eastAsia="MS Mincho"/>
        </w:rPr>
      </w:pPr>
      <w:r w:rsidRPr="009A7163">
        <w:rPr>
          <w:rFonts w:eastAsia="MS Mincho"/>
        </w:rPr>
        <w:t>An interesting point made in her definition is that she argued that the vagueness of the concept and its definition allowed a discussion between the actors, and this served at the same time as an awareness-raising tool to highlight the work that women do (as mentioned above in men’s focus group). However, there is the risk of the potential gendered binary of the work being reinforced through this same discussion. All of the participants talk about the men working in the fields without necessarily challenging this. Does this preclude</w:t>
      </w:r>
      <w:r w:rsidR="009A5382" w:rsidRPr="009A7163">
        <w:rPr>
          <w:rFonts w:eastAsia="MS Mincho"/>
        </w:rPr>
        <w:t>,</w:t>
      </w:r>
      <w:r w:rsidRPr="009A7163">
        <w:rPr>
          <w:rFonts w:eastAsia="MS Mincho"/>
        </w:rPr>
        <w:t xml:space="preserve"> for example</w:t>
      </w:r>
      <w:r w:rsidR="009A5382" w:rsidRPr="009A7163">
        <w:rPr>
          <w:rFonts w:eastAsia="MS Mincho"/>
        </w:rPr>
        <w:t>,</w:t>
      </w:r>
      <w:r w:rsidRPr="009A7163">
        <w:rPr>
          <w:rFonts w:eastAsia="MS Mincho"/>
        </w:rPr>
        <w:t xml:space="preserve"> a single woman without kids being able to become a producer? However, the manager and president of the sesame cooperative from which BSI buys their sesame classified certain activities as being outside of the loose definition of ‘everything related to sesame’ (and contradicted his earlier definition in the interview stated above). He stated that, on the one hand, care for children, cleaning the house and looking after livestock were not activities linked to unpaid work related to sesame production but, on the other hand, washing clothes, preparing food and </w:t>
      </w:r>
      <w:r w:rsidRPr="009A7163">
        <w:rPr>
          <w:rFonts w:eastAsia="MS Mincho"/>
        </w:rPr>
        <w:lastRenderedPageBreak/>
        <w:t>collecting water and firewood were connected to sesame production (Expert Interview, Juan Bravo, Manager and President of CJFPS, January 8, 2015). Thus, there was clearly uncertainty about the definition, which led to both interesting discussions among men and women and strategic shifting of the definition in negotiations.</w:t>
      </w:r>
    </w:p>
    <w:p w14:paraId="62E8DD81" w14:textId="77777777" w:rsidR="0004022E" w:rsidRPr="009A7163" w:rsidRDefault="0004022E">
      <w:pPr>
        <w:spacing w:line="360" w:lineRule="auto"/>
        <w:ind w:firstLine="720"/>
        <w:jc w:val="both"/>
        <w:rPr>
          <w:rFonts w:eastAsia="MS Mincho"/>
        </w:rPr>
      </w:pPr>
      <w:r w:rsidRPr="009A7163">
        <w:rPr>
          <w:rFonts w:eastAsia="MS Mincho"/>
        </w:rPr>
        <w:t xml:space="preserve">Some of the male farmers in the focus group had a different opinion of sesame production from the president and manager of CJFPS, rather seeing housework done by women as a vital part of production. Two focus group participants commented on whether household work contributes to sesame production in the following: </w:t>
      </w:r>
    </w:p>
    <w:p w14:paraId="1A869500" w14:textId="149CE2FC" w:rsidR="0004022E" w:rsidRPr="009A7163" w:rsidRDefault="0004022E">
      <w:pPr>
        <w:spacing w:after="180"/>
        <w:ind w:left="720"/>
        <w:jc w:val="both"/>
        <w:rPr>
          <w:rFonts w:eastAsia="MS Mincho"/>
        </w:rPr>
      </w:pPr>
      <w:r w:rsidRPr="009A7163">
        <w:rPr>
          <w:rFonts w:eastAsia="MS Mincho"/>
        </w:rPr>
        <w:t>I think so because in the process of preparing the soil for sesame, you dirty clothes and you need to eat</w:t>
      </w:r>
      <w:r w:rsidR="00FE5EB3" w:rsidRPr="009A7163">
        <w:rPr>
          <w:rFonts w:eastAsia="MS Mincho"/>
        </w:rPr>
        <w:t>…</w:t>
      </w:r>
      <w:r w:rsidRPr="009A7163">
        <w:rPr>
          <w:rFonts w:eastAsia="MS Mincho"/>
        </w:rPr>
        <w:t>the woman does all of this work from the house. It is a relationship that involves her as well. (Focus Group Men, Achuapa, February 6, 2015)</w:t>
      </w:r>
    </w:p>
    <w:p w14:paraId="380EF37F" w14:textId="77777777" w:rsidR="0004022E" w:rsidRPr="009A7163" w:rsidRDefault="0004022E">
      <w:pPr>
        <w:spacing w:after="180"/>
        <w:ind w:left="720"/>
        <w:jc w:val="both"/>
        <w:rPr>
          <w:rFonts w:eastAsia="MS Mincho"/>
        </w:rPr>
      </w:pPr>
      <w:r w:rsidRPr="009A7163">
        <w:rPr>
          <w:rFonts w:eastAsia="MS Mincho"/>
        </w:rPr>
        <w:t>The work that women do in the house is related to the work of sesame in the fields. They are interrelated. (Focus Group Men, Achuapa, February 6, 2015)</w:t>
      </w:r>
    </w:p>
    <w:p w14:paraId="30A02874" w14:textId="4863791F" w:rsidR="0004022E" w:rsidRPr="009A7163" w:rsidRDefault="0004022E">
      <w:pPr>
        <w:spacing w:line="360" w:lineRule="auto"/>
        <w:jc w:val="both"/>
        <w:rPr>
          <w:rFonts w:eastAsia="MS Mincho"/>
        </w:rPr>
      </w:pPr>
      <w:r w:rsidRPr="009A7163">
        <w:rPr>
          <w:rFonts w:eastAsia="MS Mincho"/>
          <w:i/>
        </w:rPr>
        <w:tab/>
      </w:r>
      <w:r w:rsidRPr="009A7163">
        <w:rPr>
          <w:rFonts w:eastAsia="MS Mincho"/>
        </w:rPr>
        <w:t xml:space="preserve">The blurred lines between what activities to include in definitions of unpaid work was something that was referenced a number of times in interviews with experts and also members and directors of the cooperatives. It also echoes a definition of </w:t>
      </w:r>
      <w:r w:rsidR="003A2C87" w:rsidRPr="009A7163">
        <w:rPr>
          <w:rFonts w:eastAsia="MS Mincho"/>
        </w:rPr>
        <w:t>UCW</w:t>
      </w:r>
      <w:r w:rsidRPr="009A7163">
        <w:rPr>
          <w:rFonts w:eastAsia="MS Mincho"/>
        </w:rPr>
        <w:t xml:space="preserve"> work by Mar et al. (2016) in which they state: </w:t>
      </w:r>
    </w:p>
    <w:p w14:paraId="0B3CB167" w14:textId="2B2A84D0" w:rsidR="0004022E" w:rsidRPr="009A7163" w:rsidRDefault="0004022E">
      <w:pPr>
        <w:spacing w:after="180"/>
        <w:ind w:left="720"/>
        <w:jc w:val="both"/>
        <w:rPr>
          <w:rFonts w:eastAsia="MS Mincho"/>
        </w:rPr>
      </w:pPr>
      <w:r w:rsidRPr="009A7163">
        <w:rPr>
          <w:rFonts w:eastAsia="MS Mincho"/>
        </w:rPr>
        <w:t>Unpaid care work does not include unpaid work (which is not care), such as unpaid labour on family farms or in household enterprises, which is also common and which is often better recognised in value chain and market systems programmes…In practice, this difference is not so clear – in part because households themselves may not draw this distinction and in part because there may be unpaid activities, such as providing meals for labourers on family farms, which blur the line between care and productive work. Also, care tasks are often carried out simultaneously to productive work.</w:t>
      </w:r>
      <w:r w:rsidR="009A5382" w:rsidRPr="009A7163">
        <w:rPr>
          <w:rFonts w:eastAsia="MS Mincho"/>
        </w:rPr>
        <w:t xml:space="preserve"> (p. 5)</w:t>
      </w:r>
    </w:p>
    <w:p w14:paraId="326E65EE" w14:textId="77777777" w:rsidR="0004022E" w:rsidRPr="009A7163" w:rsidRDefault="0004022E">
      <w:pPr>
        <w:spacing w:line="360" w:lineRule="auto"/>
        <w:jc w:val="both"/>
        <w:rPr>
          <w:rFonts w:eastAsia="MS Mincho"/>
        </w:rPr>
      </w:pPr>
      <w:r w:rsidRPr="009A7163">
        <w:rPr>
          <w:rFonts w:eastAsia="MS Mincho"/>
        </w:rPr>
        <w:t>One of the experts that was interviewed, Edurne Larracoechea Bohigas, a feminist researcher, demonstrated this further when she highlighted divisions of productive work between large and small livestock</w:t>
      </w:r>
      <w:r w:rsidRPr="009A7163">
        <w:rPr>
          <w:rFonts w:eastAsia="MS Mincho"/>
          <w:vertAlign w:val="superscript"/>
        </w:rPr>
        <w:footnoteReference w:id="87"/>
      </w:r>
      <w:r w:rsidRPr="009A7163">
        <w:rPr>
          <w:rFonts w:eastAsia="MS Mincho"/>
        </w:rPr>
        <w:t xml:space="preserve"> that can be classified as paid/unpaid work. For example, work related to smaller animals located near to the house is considered unpaid work:</w:t>
      </w:r>
    </w:p>
    <w:p w14:paraId="50492710" w14:textId="1935DE48" w:rsidR="0004022E" w:rsidRPr="009A7163" w:rsidRDefault="0004022E">
      <w:pPr>
        <w:spacing w:after="180"/>
        <w:ind w:left="720"/>
        <w:jc w:val="both"/>
        <w:rPr>
          <w:rFonts w:eastAsia="MS Mincho"/>
        </w:rPr>
      </w:pPr>
      <w:r w:rsidRPr="009A7163">
        <w:rPr>
          <w:rFonts w:eastAsia="MS Mincho"/>
        </w:rPr>
        <w:t>In rural areas, there is also a division in the care of animals in the productive sphere, and so there is a division between large livestock and small livestock. For example, care of chickens, pigs, or anything that is near the house and done on a daily basis, like collecting eggs for consumption</w:t>
      </w:r>
      <w:r w:rsidR="00FE5EB3" w:rsidRPr="009A7163">
        <w:rPr>
          <w:rFonts w:eastAsia="MS Mincho"/>
        </w:rPr>
        <w:t>…</w:t>
      </w:r>
      <w:r w:rsidRPr="009A7163">
        <w:rPr>
          <w:rFonts w:eastAsia="MS Mincho"/>
        </w:rPr>
        <w:t>none of this is seen as productive work and is therefore unpaid. (Expert Interview, February 16, 2016)</w:t>
      </w:r>
    </w:p>
    <w:p w14:paraId="216C7538" w14:textId="77777777" w:rsidR="0004022E" w:rsidRPr="009A7163" w:rsidRDefault="0004022E">
      <w:pPr>
        <w:spacing w:line="360" w:lineRule="auto"/>
        <w:ind w:firstLine="720"/>
        <w:jc w:val="both"/>
        <w:rPr>
          <w:rFonts w:eastAsia="MS Mincho"/>
        </w:rPr>
      </w:pPr>
      <w:r w:rsidRPr="009A7163">
        <w:rPr>
          <w:rFonts w:eastAsia="MS Mincho"/>
        </w:rPr>
        <w:lastRenderedPageBreak/>
        <w:t xml:space="preserve">Leading on from this is the argument of defining unpaid work with what is or is not included in national accounts. In an expert interview, </w:t>
      </w:r>
      <w:r w:rsidRPr="009A7163">
        <w:rPr>
          <w:rFonts w:eastAsia="MS Mincho"/>
          <w:iCs/>
        </w:rPr>
        <w:t>Isolda Espinosa González,</w:t>
      </w:r>
    </w:p>
    <w:p w14:paraId="58D9A81B" w14:textId="3FB727C4" w:rsidR="0004022E" w:rsidRPr="009A7163" w:rsidRDefault="0004022E">
      <w:pPr>
        <w:spacing w:line="360" w:lineRule="auto"/>
        <w:jc w:val="both"/>
        <w:rPr>
          <w:rFonts w:eastAsia="MS Mincho"/>
        </w:rPr>
      </w:pPr>
      <w:r w:rsidRPr="009A7163">
        <w:rPr>
          <w:rFonts w:eastAsia="MS Mincho"/>
        </w:rPr>
        <w:t>a Nicaraguan economist and gender expert</w:t>
      </w:r>
      <w:r w:rsidRPr="009A7163">
        <w:rPr>
          <w:rFonts w:eastAsia="MS Mincho"/>
          <w:vertAlign w:val="superscript"/>
        </w:rPr>
        <w:footnoteReference w:id="88"/>
      </w:r>
      <w:r w:rsidRPr="009A7163">
        <w:rPr>
          <w:rFonts w:eastAsia="MS Mincho"/>
        </w:rPr>
        <w:t xml:space="preserve"> spoke of what how economic and non-economic work is distinguished according to Nicaragua’s national accounts. She argued that the rural reality supersedes the definitions established by the </w:t>
      </w:r>
      <w:r w:rsidR="00017F80" w:rsidRPr="009A7163">
        <w:rPr>
          <w:rFonts w:eastAsia="MS Mincho"/>
        </w:rPr>
        <w:t>United Nations System of National Accounts (</w:t>
      </w:r>
      <w:r w:rsidRPr="009A7163">
        <w:rPr>
          <w:rFonts w:eastAsia="MS Mincho"/>
        </w:rPr>
        <w:t>SNA</w:t>
      </w:r>
      <w:r w:rsidR="00017F80" w:rsidRPr="009A7163">
        <w:rPr>
          <w:rFonts w:eastAsia="MS Mincho"/>
        </w:rPr>
        <w:t>)</w:t>
      </w:r>
      <w:r w:rsidRPr="009A7163">
        <w:rPr>
          <w:rFonts w:eastAsia="MS Mincho"/>
        </w:rPr>
        <w:t>:</w:t>
      </w:r>
    </w:p>
    <w:p w14:paraId="72C429D1" w14:textId="086C1FE0" w:rsidR="00DC0E5C" w:rsidRPr="009A7163" w:rsidRDefault="0004022E" w:rsidP="00495F0F">
      <w:pPr>
        <w:spacing w:after="160"/>
        <w:ind w:left="720"/>
        <w:jc w:val="both"/>
        <w:rPr>
          <w:rFonts w:eastAsia="MS Mincho"/>
        </w:rPr>
      </w:pPr>
      <w:r w:rsidRPr="009A7163">
        <w:rPr>
          <w:rFonts w:eastAsia="MS Mincho"/>
          <w:bCs/>
        </w:rPr>
        <w:t>I am an economist and so I follow the definition of the system of the national accounts. So I define unpaid work as work that is done without any remuneration, either monetary or in kind. According to a broad definition [of unpaid work] this may include what has traditionally been called productive work, the work done at the level of peasant units for self-consumption, but obviously in a broader definition of unpaid work it would include all domestic work that by definition is not included in the system of national accounts. So it could include</w:t>
      </w:r>
      <w:r w:rsidRPr="009A7163">
        <w:rPr>
          <w:rFonts w:eastAsia="MS Mincho"/>
          <w:bCs/>
          <w:strike/>
        </w:rPr>
        <w:t>,</w:t>
      </w:r>
      <w:r w:rsidRPr="009A7163">
        <w:rPr>
          <w:rFonts w:eastAsia="MS Mincho"/>
          <w:bCs/>
        </w:rPr>
        <w:t xml:space="preserve"> the production of goods, for self-consumption or the transformation of some of these primary products into milk or </w:t>
      </w:r>
      <w:r w:rsidRPr="009A7163">
        <w:rPr>
          <w:rFonts w:eastAsia="MS Mincho"/>
          <w:bCs/>
          <w:i/>
        </w:rPr>
        <w:t>cuajada</w:t>
      </w:r>
      <w:r w:rsidRPr="009A7163">
        <w:rPr>
          <w:rFonts w:eastAsia="MS Mincho"/>
          <w:bCs/>
        </w:rPr>
        <w:t xml:space="preserve"> – this would be the productive work that is included in the national accounts</w:t>
      </w:r>
      <w:r w:rsidR="00FE5EB3" w:rsidRPr="009A7163">
        <w:rPr>
          <w:rFonts w:eastAsia="MS Mincho"/>
          <w:bCs/>
        </w:rPr>
        <w:t>…</w:t>
      </w:r>
      <w:r w:rsidRPr="009A7163">
        <w:rPr>
          <w:rFonts w:eastAsia="MS Mincho"/>
          <w:bCs/>
        </w:rPr>
        <w:t>I think it’s important to highlight what many colleagues – who obviously are not economists and who are not obliged to know – put unpaid work into a single bag of unpaid work that includes both the production of goods that is included in the system of national accounts and the work of unpaid care that is usually performed in the same households that is not included in the system of national accounts. So as part of our work at UNRISD, we chose not to use these concepts of productive and reproductive work, because</w:t>
      </w:r>
      <w:r w:rsidRPr="009A7163">
        <w:rPr>
          <w:rFonts w:eastAsia="MS Mincho"/>
          <w:bCs/>
          <w:u w:val="single"/>
        </w:rPr>
        <w:t>,</w:t>
      </w:r>
      <w:r w:rsidRPr="009A7163">
        <w:rPr>
          <w:rFonts w:eastAsia="MS Mincho"/>
          <w:bCs/>
        </w:rPr>
        <w:t xml:space="preserve"> part of the whole discussion was that those concepts supersede reality. (Expert Interview, </w:t>
      </w:r>
      <w:r w:rsidRPr="009A7163">
        <w:rPr>
          <w:rFonts w:eastAsia="MS Mincho"/>
          <w:iCs/>
        </w:rPr>
        <w:t>Isolda Espinosa González</w:t>
      </w:r>
      <w:r w:rsidRPr="009A7163">
        <w:rPr>
          <w:rFonts w:eastAsia="MS Mincho"/>
          <w:bCs/>
        </w:rPr>
        <w:t>, December 11, 2015)</w:t>
      </w:r>
    </w:p>
    <w:p w14:paraId="2A1344E7" w14:textId="4CFDCC8D" w:rsidR="00495F0F" w:rsidRPr="009A7163" w:rsidRDefault="00DC0E5C" w:rsidP="00D232B6">
      <w:pPr>
        <w:spacing w:line="360" w:lineRule="auto"/>
        <w:jc w:val="both"/>
        <w:rPr>
          <w:rFonts w:eastAsia="MS Mincho"/>
          <w:bCs/>
        </w:rPr>
      </w:pPr>
      <w:r w:rsidRPr="009A7163">
        <w:rPr>
          <w:rFonts w:eastAsia="MS Mincho"/>
        </w:rPr>
        <w:tab/>
        <w:t>Espinosa suggests that concepts such as productive and non-productive work do not fit with women</w:t>
      </w:r>
      <w:r w:rsidR="008B238A" w:rsidRPr="009A7163">
        <w:rPr>
          <w:rFonts w:eastAsia="MS Mincho"/>
        </w:rPr>
        <w:t>’s reality</w:t>
      </w:r>
      <w:r w:rsidR="00495F0F" w:rsidRPr="009A7163">
        <w:rPr>
          <w:rFonts w:eastAsia="MS Mincho"/>
        </w:rPr>
        <w:t>, an issue that</w:t>
      </w:r>
      <w:r w:rsidRPr="009A7163">
        <w:rPr>
          <w:rFonts w:eastAsia="MS Mincho"/>
        </w:rPr>
        <w:t xml:space="preserve"> </w:t>
      </w:r>
      <w:r w:rsidR="00495F0F" w:rsidRPr="009A7163">
        <w:rPr>
          <w:rFonts w:eastAsia="MS Mincho"/>
        </w:rPr>
        <w:t xml:space="preserve">has </w:t>
      </w:r>
      <w:r w:rsidRPr="009A7163">
        <w:rPr>
          <w:rFonts w:eastAsia="MS Mincho"/>
        </w:rPr>
        <w:t xml:space="preserve">been highlighted </w:t>
      </w:r>
      <w:r w:rsidR="00495F0F" w:rsidRPr="009A7163">
        <w:rPr>
          <w:rFonts w:eastAsia="MS Mincho"/>
        </w:rPr>
        <w:t>already an</w:t>
      </w:r>
      <w:r w:rsidR="00643B6E" w:rsidRPr="009A7163">
        <w:rPr>
          <w:rFonts w:eastAsia="MS Mincho"/>
        </w:rPr>
        <w:t>d</w:t>
      </w:r>
      <w:r w:rsidR="00495F0F" w:rsidRPr="009A7163">
        <w:rPr>
          <w:rFonts w:eastAsia="MS Mincho"/>
        </w:rPr>
        <w:t xml:space="preserve"> touched upon</w:t>
      </w:r>
      <w:r w:rsidRPr="009A7163">
        <w:rPr>
          <w:rFonts w:eastAsia="MS Mincho"/>
        </w:rPr>
        <w:t xml:space="preserve"> briefly in previous chapters (see Chapters 1 and 2)</w:t>
      </w:r>
      <w:r w:rsidR="00495F0F" w:rsidRPr="009A7163">
        <w:rPr>
          <w:rFonts w:eastAsia="MS Mincho"/>
        </w:rPr>
        <w:t xml:space="preserve">. It is </w:t>
      </w:r>
      <w:r w:rsidR="00643B6E" w:rsidRPr="009A7163">
        <w:rPr>
          <w:rFonts w:eastAsia="MS Mincho"/>
        </w:rPr>
        <w:t xml:space="preserve">perhaps </w:t>
      </w:r>
      <w:r w:rsidR="00495F0F" w:rsidRPr="009A7163">
        <w:rPr>
          <w:rFonts w:eastAsia="MS Mincho"/>
        </w:rPr>
        <w:t>important to make some distinctions</w:t>
      </w:r>
      <w:r w:rsidR="00643B6E" w:rsidRPr="009A7163">
        <w:rPr>
          <w:rFonts w:eastAsia="MS Mincho"/>
        </w:rPr>
        <w:t xml:space="preserve"> and highlight differences (even if the lines are blurred)</w:t>
      </w:r>
      <w:r w:rsidR="00495F0F" w:rsidRPr="009A7163">
        <w:rPr>
          <w:rFonts w:eastAsia="MS Mincho"/>
        </w:rPr>
        <w:t xml:space="preserve"> in order to argue the value of its worth. For example in a report by CEDAW</w:t>
      </w:r>
      <w:r w:rsidR="008B238A" w:rsidRPr="009A7163">
        <w:rPr>
          <w:rFonts w:eastAsia="MS Mincho"/>
        </w:rPr>
        <w:t>,</w:t>
      </w:r>
      <w:r w:rsidR="00495F0F" w:rsidRPr="009A7163">
        <w:rPr>
          <w:rFonts w:eastAsia="MS Mincho"/>
        </w:rPr>
        <w:t xml:space="preserve"> they state that </w:t>
      </w:r>
      <w:r w:rsidR="008B238A" w:rsidRPr="009A7163">
        <w:rPr>
          <w:rFonts w:eastAsia="MS Mincho"/>
        </w:rPr>
        <w:t>‘</w:t>
      </w:r>
      <w:r w:rsidR="0004022E" w:rsidRPr="009A7163">
        <w:rPr>
          <w:rFonts w:eastAsia="MS Mincho"/>
          <w:bCs/>
        </w:rPr>
        <w:t>Although domestic work has been classified as non-productive in reality it is economically invisible; if it’s true value were recognised, it would represent a contribution of $500 million a year. There is an imbalance in society, in which the weight of household tasks falls only or mainly on women</w:t>
      </w:r>
      <w:r w:rsidR="008B238A" w:rsidRPr="009A7163">
        <w:rPr>
          <w:rFonts w:eastAsia="MS Mincho"/>
          <w:bCs/>
        </w:rPr>
        <w:t>’</w:t>
      </w:r>
      <w:r w:rsidR="0004022E" w:rsidRPr="009A7163">
        <w:rPr>
          <w:rFonts w:ascii="Times" w:eastAsiaTheme="minorHAnsi" w:hAnsi="Times"/>
          <w:lang w:eastAsia="en-GB"/>
        </w:rPr>
        <w:t xml:space="preserve"> (CEDAW, 2005, p. 26). </w:t>
      </w:r>
      <w:r w:rsidR="00495F0F" w:rsidRPr="009A7163">
        <w:rPr>
          <w:rFonts w:ascii="Times" w:eastAsiaTheme="minorHAnsi" w:hAnsi="Times"/>
          <w:lang w:eastAsia="en-GB"/>
        </w:rPr>
        <w:t>For example, being able to show this general cost provides a persuasive argument that this work has a value. Thus the</w:t>
      </w:r>
      <w:r w:rsidR="0004022E" w:rsidRPr="009A7163">
        <w:rPr>
          <w:rFonts w:eastAsia="MS Mincho"/>
          <w:bCs/>
        </w:rPr>
        <w:t xml:space="preserve"> division between economic and non-economic demonstrates how the economy is gendered. </w:t>
      </w:r>
    </w:p>
    <w:p w14:paraId="25E81315" w14:textId="77777777" w:rsidR="00BE2E90" w:rsidRPr="009A7163" w:rsidRDefault="00BE2E90" w:rsidP="00D232B6">
      <w:pPr>
        <w:spacing w:line="360" w:lineRule="auto"/>
        <w:jc w:val="both"/>
        <w:rPr>
          <w:rFonts w:eastAsia="MS Mincho"/>
          <w:bCs/>
        </w:rPr>
      </w:pPr>
    </w:p>
    <w:p w14:paraId="31E22F6B" w14:textId="0BE8EBB1" w:rsidR="0004022E" w:rsidRPr="009A7163" w:rsidRDefault="0004022E" w:rsidP="00495F0F">
      <w:pPr>
        <w:spacing w:line="360" w:lineRule="auto"/>
        <w:ind w:firstLine="720"/>
        <w:jc w:val="both"/>
        <w:rPr>
          <w:rFonts w:ascii="Times" w:eastAsiaTheme="minorHAnsi" w:hAnsi="Times"/>
          <w:lang w:eastAsia="en-GB"/>
        </w:rPr>
      </w:pPr>
      <w:r w:rsidRPr="009A7163">
        <w:rPr>
          <w:rFonts w:eastAsia="MS Mincho"/>
          <w:bCs/>
        </w:rPr>
        <w:t xml:space="preserve">The clearest consensus between scholars in feminist economics is on the narrowness of the mainstream definition of economics (economics reduced to only monetised activity) and the need for a more inclusive definition </w:t>
      </w:r>
      <w:r w:rsidR="008B238A" w:rsidRPr="009A7163">
        <w:rPr>
          <w:rFonts w:eastAsia="MS Mincho"/>
          <w:bCs/>
        </w:rPr>
        <w:t>that</w:t>
      </w:r>
      <w:r w:rsidRPr="009A7163">
        <w:rPr>
          <w:rFonts w:eastAsia="MS Mincho"/>
          <w:bCs/>
        </w:rPr>
        <w:t xml:space="preserve"> includes domestic labour</w:t>
      </w:r>
      <w:r w:rsidR="008012FA" w:rsidRPr="009A7163">
        <w:rPr>
          <w:rFonts w:eastAsia="MS Mincho"/>
          <w:bCs/>
        </w:rPr>
        <w:t xml:space="preserve"> but that goes beyond taking markets as the centre of analysis</w:t>
      </w:r>
      <w:r w:rsidRPr="009A7163">
        <w:rPr>
          <w:rFonts w:eastAsia="MS Mincho"/>
          <w:bCs/>
        </w:rPr>
        <w:t>. Orozco (2003) argue</w:t>
      </w:r>
      <w:r w:rsidR="008012FA" w:rsidRPr="009A7163">
        <w:rPr>
          <w:rFonts w:eastAsia="MS Mincho"/>
          <w:bCs/>
        </w:rPr>
        <w:t>s</w:t>
      </w:r>
      <w:r w:rsidRPr="009A7163">
        <w:rPr>
          <w:rFonts w:eastAsia="MS Mincho"/>
          <w:bCs/>
        </w:rPr>
        <w:t xml:space="preserve">:  </w:t>
      </w:r>
    </w:p>
    <w:p w14:paraId="4D41F868" w14:textId="0DB2BB8C" w:rsidR="0004022E" w:rsidRPr="009A7163" w:rsidRDefault="0004022E">
      <w:pPr>
        <w:spacing w:after="180"/>
        <w:ind w:left="720"/>
        <w:jc w:val="both"/>
        <w:rPr>
          <w:rFonts w:eastAsia="MS Mincho"/>
          <w:bCs/>
        </w:rPr>
      </w:pPr>
      <w:r w:rsidRPr="009A7163">
        <w:rPr>
          <w:rFonts w:eastAsia="MS Mincho"/>
          <w:bCs/>
        </w:rPr>
        <w:t xml:space="preserve">[E]conomics has been a male-dominated science and thus presents androcentric biases in the context of discovery as well as in the context of justification (Harding, 1995). A key androcentric bias is the restriction of its content to the study of markets. Markets have been placed at the centre of economic discourses through the construction of a dichotomous structure that identifies the economy with markets and work with remunerated labour. These pairs are not gender neutral. In this terminology markets are used as the normative and normalised term that reflect masculinity. Women and the feminine have been invisibilised. </w:t>
      </w:r>
      <w:r w:rsidR="008B238A" w:rsidRPr="009A7163">
        <w:rPr>
          <w:rFonts w:eastAsia="MS Mincho"/>
          <w:bCs/>
        </w:rPr>
        <w:t>(p. 1)</w:t>
      </w:r>
      <w:r w:rsidRPr="009A7163">
        <w:rPr>
          <w:rFonts w:eastAsia="MS Mincho"/>
          <w:bCs/>
        </w:rPr>
        <w:t xml:space="preserve"> </w:t>
      </w:r>
    </w:p>
    <w:p w14:paraId="13119FBE" w14:textId="6A340A27" w:rsidR="00AE1015" w:rsidRPr="009A7163" w:rsidRDefault="00AE1015" w:rsidP="007A3A29">
      <w:pPr>
        <w:spacing w:line="360" w:lineRule="auto"/>
        <w:ind w:firstLine="720"/>
        <w:jc w:val="both"/>
        <w:rPr>
          <w:rFonts w:eastAsia="MS Mincho"/>
          <w:bCs/>
        </w:rPr>
      </w:pPr>
      <w:r w:rsidRPr="009A7163">
        <w:rPr>
          <w:rFonts w:eastAsia="MS Mincho"/>
          <w:bCs/>
        </w:rPr>
        <w:t>Whilst Orozco</w:t>
      </w:r>
      <w:r w:rsidR="00F27156" w:rsidRPr="009A7163">
        <w:rPr>
          <w:rFonts w:eastAsia="MS Mincho"/>
          <w:bCs/>
        </w:rPr>
        <w:t>’s</w:t>
      </w:r>
      <w:r w:rsidR="00BD1AD0" w:rsidRPr="009A7163">
        <w:rPr>
          <w:rFonts w:eastAsia="MS Mincho"/>
          <w:bCs/>
        </w:rPr>
        <w:t xml:space="preserve"> argument about</w:t>
      </w:r>
      <w:r w:rsidR="00F27156" w:rsidRPr="009A7163">
        <w:rPr>
          <w:rFonts w:eastAsia="MS Mincho"/>
          <w:bCs/>
        </w:rPr>
        <w:t xml:space="preserve"> </w:t>
      </w:r>
      <w:r w:rsidR="00BD1AD0" w:rsidRPr="009A7163">
        <w:rPr>
          <w:rFonts w:eastAsia="MS Mincho"/>
          <w:bCs/>
        </w:rPr>
        <w:t xml:space="preserve">economies being limited </w:t>
      </w:r>
      <w:r w:rsidR="00643B6E" w:rsidRPr="009A7163">
        <w:rPr>
          <w:rFonts w:eastAsia="MS Mincho"/>
          <w:bCs/>
        </w:rPr>
        <w:t>to</w:t>
      </w:r>
      <w:r w:rsidR="00BD1AD0" w:rsidRPr="009A7163">
        <w:rPr>
          <w:rFonts w:eastAsia="MS Mincho"/>
          <w:bCs/>
        </w:rPr>
        <w:t xml:space="preserve"> definitions of </w:t>
      </w:r>
      <w:r w:rsidR="00643B6E" w:rsidRPr="009A7163">
        <w:rPr>
          <w:rFonts w:eastAsia="MS Mincho"/>
          <w:bCs/>
        </w:rPr>
        <w:t xml:space="preserve">market and </w:t>
      </w:r>
      <w:r w:rsidR="00BD1AD0" w:rsidRPr="009A7163">
        <w:rPr>
          <w:rFonts w:eastAsia="MS Mincho"/>
          <w:bCs/>
        </w:rPr>
        <w:t>paid work</w:t>
      </w:r>
      <w:r w:rsidR="00643B6E" w:rsidRPr="009A7163">
        <w:rPr>
          <w:rFonts w:eastAsia="MS Mincho"/>
          <w:bCs/>
        </w:rPr>
        <w:t xml:space="preserve"> and informed by a male</w:t>
      </w:r>
      <w:r w:rsidR="008B238A" w:rsidRPr="009A7163">
        <w:rPr>
          <w:rFonts w:eastAsia="MS Mincho"/>
          <w:bCs/>
        </w:rPr>
        <w:t>-</w:t>
      </w:r>
      <w:r w:rsidR="00643B6E" w:rsidRPr="009A7163">
        <w:rPr>
          <w:rFonts w:eastAsia="MS Mincho"/>
          <w:bCs/>
        </w:rPr>
        <w:t>dominated perspective</w:t>
      </w:r>
      <w:r w:rsidR="00B855F7" w:rsidRPr="009A7163">
        <w:rPr>
          <w:rFonts w:eastAsia="MS Mincho"/>
          <w:bCs/>
        </w:rPr>
        <w:t xml:space="preserve"> is persuasive</w:t>
      </w:r>
      <w:r w:rsidR="008B238A" w:rsidRPr="009A7163">
        <w:rPr>
          <w:rFonts w:eastAsia="MS Mincho"/>
          <w:bCs/>
        </w:rPr>
        <w:t>,</w:t>
      </w:r>
      <w:r w:rsidR="00BD1AD0" w:rsidRPr="009A7163">
        <w:rPr>
          <w:rFonts w:eastAsia="MS Mincho"/>
          <w:bCs/>
        </w:rPr>
        <w:t xml:space="preserve"> </w:t>
      </w:r>
      <w:r w:rsidR="008B238A" w:rsidRPr="009A7163">
        <w:rPr>
          <w:rFonts w:eastAsia="MS Mincho"/>
          <w:bCs/>
        </w:rPr>
        <w:t>t</w:t>
      </w:r>
      <w:r w:rsidR="00BD1AD0" w:rsidRPr="009A7163">
        <w:rPr>
          <w:rFonts w:eastAsia="MS Mincho"/>
          <w:bCs/>
        </w:rPr>
        <w:t xml:space="preserve">here are other economic systems and movements </w:t>
      </w:r>
      <w:r w:rsidR="008B238A" w:rsidRPr="009A7163">
        <w:rPr>
          <w:rFonts w:eastAsia="MS Mincho"/>
          <w:bCs/>
        </w:rPr>
        <w:t xml:space="preserve">that </w:t>
      </w:r>
      <w:r w:rsidR="00BE2E90" w:rsidRPr="009A7163">
        <w:rPr>
          <w:rFonts w:eastAsia="MS Mincho"/>
          <w:bCs/>
        </w:rPr>
        <w:t>are not centred on markets and transitions</w:t>
      </w:r>
      <w:r w:rsidR="008B238A" w:rsidRPr="009A7163">
        <w:rPr>
          <w:rFonts w:eastAsia="MS Mincho"/>
          <w:bCs/>
        </w:rPr>
        <w:t>,</w:t>
      </w:r>
      <w:r w:rsidR="00BE2E90" w:rsidRPr="009A7163">
        <w:rPr>
          <w:rFonts w:eastAsia="MS Mincho"/>
          <w:bCs/>
        </w:rPr>
        <w:t xml:space="preserve"> </w:t>
      </w:r>
      <w:r w:rsidR="0067405A" w:rsidRPr="009A7163">
        <w:rPr>
          <w:rFonts w:eastAsia="MS Mincho"/>
          <w:bCs/>
        </w:rPr>
        <w:t>but rather</w:t>
      </w:r>
      <w:r w:rsidR="00BE2E90" w:rsidRPr="009A7163">
        <w:rPr>
          <w:rFonts w:eastAsia="MS Mincho"/>
          <w:bCs/>
        </w:rPr>
        <w:t xml:space="preserve"> on </w:t>
      </w:r>
      <w:r w:rsidR="00643B6E" w:rsidRPr="009A7163">
        <w:rPr>
          <w:rFonts w:eastAsia="MS Mincho"/>
          <w:bCs/>
        </w:rPr>
        <w:t>social justice and empowerment</w:t>
      </w:r>
      <w:r w:rsidR="008B238A" w:rsidRPr="009A7163">
        <w:rPr>
          <w:rFonts w:eastAsia="MS Mincho"/>
          <w:bCs/>
        </w:rPr>
        <w:t>,</w:t>
      </w:r>
      <w:r w:rsidR="00643B6E" w:rsidRPr="009A7163">
        <w:rPr>
          <w:rFonts w:eastAsia="MS Mincho"/>
          <w:bCs/>
        </w:rPr>
        <w:t xml:space="preserve"> such as </w:t>
      </w:r>
      <w:r w:rsidR="000E3E91" w:rsidRPr="009A7163">
        <w:rPr>
          <w:rFonts w:eastAsia="MS Mincho"/>
          <w:bCs/>
        </w:rPr>
        <w:t>Fairtrade</w:t>
      </w:r>
      <w:r w:rsidR="00BE2E90" w:rsidRPr="009A7163">
        <w:rPr>
          <w:rFonts w:eastAsia="MS Mincho"/>
          <w:bCs/>
        </w:rPr>
        <w:t xml:space="preserve">. There are other alternative markets based on promoting women’s products or economies based on </w:t>
      </w:r>
      <w:r w:rsidR="007E277A" w:rsidRPr="009A7163">
        <w:rPr>
          <w:rFonts w:eastAsia="MS Mincho"/>
          <w:bCs/>
        </w:rPr>
        <w:t>a bartering system</w:t>
      </w:r>
      <w:r w:rsidR="008B238A" w:rsidRPr="009A7163">
        <w:rPr>
          <w:rFonts w:eastAsia="MS Mincho"/>
          <w:bCs/>
        </w:rPr>
        <w:t>,</w:t>
      </w:r>
      <w:r w:rsidR="00BE2E90" w:rsidRPr="009A7163">
        <w:rPr>
          <w:rFonts w:eastAsia="MS Mincho"/>
          <w:bCs/>
        </w:rPr>
        <w:t xml:space="preserve"> which </w:t>
      </w:r>
      <w:r w:rsidR="007E277A" w:rsidRPr="009A7163">
        <w:rPr>
          <w:rFonts w:eastAsia="MS Mincho"/>
          <w:bCs/>
        </w:rPr>
        <w:t>in some cases exist today</w:t>
      </w:r>
      <w:r w:rsidR="008B238A" w:rsidRPr="009A7163">
        <w:rPr>
          <w:rFonts w:eastAsia="MS Mincho"/>
          <w:bCs/>
        </w:rPr>
        <w:t>.</w:t>
      </w:r>
      <w:r w:rsidR="000E3E91" w:rsidRPr="009A7163">
        <w:rPr>
          <w:rStyle w:val="FootnoteReference"/>
          <w:rFonts w:eastAsia="MS Mincho"/>
          <w:bCs/>
        </w:rPr>
        <w:footnoteReference w:id="89"/>
      </w:r>
      <w:r w:rsidR="0067405A" w:rsidRPr="009A7163">
        <w:rPr>
          <w:rFonts w:eastAsia="MS Mincho"/>
          <w:bCs/>
        </w:rPr>
        <w:t xml:space="preserve"> </w:t>
      </w:r>
    </w:p>
    <w:p w14:paraId="4980C5DE" w14:textId="5A2CD056" w:rsidR="004F6B63" w:rsidRPr="009A7163" w:rsidRDefault="00F64F23" w:rsidP="007A3A29">
      <w:pPr>
        <w:spacing w:line="360" w:lineRule="auto"/>
        <w:ind w:firstLine="720"/>
        <w:jc w:val="both"/>
        <w:rPr>
          <w:rFonts w:eastAsia="MS Mincho"/>
          <w:bCs/>
        </w:rPr>
      </w:pPr>
      <w:r w:rsidRPr="009A7163">
        <w:rPr>
          <w:rFonts w:eastAsia="MS Mincho"/>
          <w:bCs/>
        </w:rPr>
        <w:t xml:space="preserve">Defining unpaid work </w:t>
      </w:r>
      <w:r w:rsidR="00467F76" w:rsidRPr="009A7163">
        <w:rPr>
          <w:rFonts w:eastAsia="MS Mincho"/>
          <w:bCs/>
        </w:rPr>
        <w:t xml:space="preserve">is about </w:t>
      </w:r>
      <w:r w:rsidR="00856366" w:rsidRPr="009A7163">
        <w:rPr>
          <w:rFonts w:eastAsia="MS Mincho"/>
          <w:bCs/>
        </w:rPr>
        <w:t xml:space="preserve">challenging </w:t>
      </w:r>
      <w:r w:rsidR="004F6B63" w:rsidRPr="009A7163">
        <w:rPr>
          <w:rFonts w:eastAsia="MS Mincho"/>
          <w:bCs/>
        </w:rPr>
        <w:t>pre-defined</w:t>
      </w:r>
      <w:r w:rsidR="00856366" w:rsidRPr="009A7163">
        <w:rPr>
          <w:rFonts w:eastAsia="MS Mincho"/>
          <w:bCs/>
        </w:rPr>
        <w:t xml:space="preserve"> </w:t>
      </w:r>
      <w:r w:rsidR="004F6B63" w:rsidRPr="009A7163">
        <w:rPr>
          <w:rFonts w:eastAsia="MS Mincho"/>
          <w:bCs/>
        </w:rPr>
        <w:t xml:space="preserve">categories that minimize women’s work </w:t>
      </w:r>
      <w:r w:rsidR="008B238A" w:rsidRPr="009A7163">
        <w:rPr>
          <w:rFonts w:eastAsia="MS Mincho"/>
          <w:bCs/>
        </w:rPr>
        <w:t>to being described as</w:t>
      </w:r>
      <w:r w:rsidR="004F6B63" w:rsidRPr="009A7163">
        <w:rPr>
          <w:rFonts w:eastAsia="MS Mincho"/>
          <w:bCs/>
        </w:rPr>
        <w:t xml:space="preserve"> economically inactive, </w:t>
      </w:r>
      <w:r w:rsidR="00467F76" w:rsidRPr="009A7163">
        <w:rPr>
          <w:rFonts w:eastAsia="MS Mincho"/>
          <w:bCs/>
        </w:rPr>
        <w:t>non-productive</w:t>
      </w:r>
      <w:r w:rsidR="004F6B63" w:rsidRPr="009A7163">
        <w:rPr>
          <w:rFonts w:eastAsia="MS Mincho"/>
          <w:bCs/>
        </w:rPr>
        <w:t xml:space="preserve"> work or by calling </w:t>
      </w:r>
      <w:r w:rsidR="008B238A" w:rsidRPr="009A7163">
        <w:rPr>
          <w:rFonts w:eastAsia="MS Mincho"/>
          <w:bCs/>
        </w:rPr>
        <w:t>women</w:t>
      </w:r>
      <w:r w:rsidR="004F6B63" w:rsidRPr="009A7163">
        <w:rPr>
          <w:rFonts w:eastAsia="MS Mincho"/>
          <w:bCs/>
        </w:rPr>
        <w:t xml:space="preserve"> </w:t>
      </w:r>
      <w:r w:rsidR="008B238A" w:rsidRPr="009A7163">
        <w:rPr>
          <w:rFonts w:eastAsia="MS Mincho"/>
          <w:bCs/>
        </w:rPr>
        <w:t>‘</w:t>
      </w:r>
      <w:r w:rsidR="004F6B63" w:rsidRPr="009A7163">
        <w:rPr>
          <w:rFonts w:eastAsia="MS Mincho"/>
          <w:bCs/>
        </w:rPr>
        <w:t>home makers’</w:t>
      </w:r>
      <w:r w:rsidR="008B238A" w:rsidRPr="009A7163">
        <w:rPr>
          <w:rFonts w:eastAsia="MS Mincho"/>
          <w:bCs/>
        </w:rPr>
        <w:t>.</w:t>
      </w:r>
      <w:r w:rsidR="00467F76" w:rsidRPr="009A7163">
        <w:rPr>
          <w:rFonts w:eastAsia="MS Mincho"/>
          <w:bCs/>
        </w:rPr>
        <w:t xml:space="preserve"> </w:t>
      </w:r>
      <w:r w:rsidR="008B238A" w:rsidRPr="009A7163">
        <w:rPr>
          <w:rFonts w:eastAsia="MS Mincho"/>
          <w:bCs/>
        </w:rPr>
        <w:t>B</w:t>
      </w:r>
      <w:r w:rsidR="00467F76" w:rsidRPr="009A7163">
        <w:rPr>
          <w:rFonts w:eastAsia="MS Mincho"/>
          <w:bCs/>
        </w:rPr>
        <w:t xml:space="preserve">ut </w:t>
      </w:r>
      <w:r w:rsidR="008B238A" w:rsidRPr="009A7163">
        <w:rPr>
          <w:rFonts w:eastAsia="MS Mincho"/>
          <w:bCs/>
        </w:rPr>
        <w:t xml:space="preserve">it also means </w:t>
      </w:r>
      <w:r w:rsidR="00467F76" w:rsidRPr="009A7163">
        <w:rPr>
          <w:rFonts w:eastAsia="MS Mincho"/>
          <w:bCs/>
        </w:rPr>
        <w:t xml:space="preserve">looking beyond calculating the </w:t>
      </w:r>
      <w:r w:rsidR="004F6B63" w:rsidRPr="009A7163">
        <w:rPr>
          <w:rFonts w:eastAsia="MS Mincho"/>
          <w:bCs/>
        </w:rPr>
        <w:t xml:space="preserve">cost </w:t>
      </w:r>
      <w:r w:rsidR="00467F76" w:rsidRPr="009A7163">
        <w:rPr>
          <w:rFonts w:eastAsia="MS Mincho"/>
          <w:bCs/>
        </w:rPr>
        <w:t xml:space="preserve">of unpaid work </w:t>
      </w:r>
      <w:r w:rsidR="004F6B63" w:rsidRPr="009A7163">
        <w:rPr>
          <w:rFonts w:eastAsia="MS Mincho"/>
          <w:bCs/>
        </w:rPr>
        <w:t>and focus</w:t>
      </w:r>
      <w:r w:rsidR="008B238A" w:rsidRPr="009A7163">
        <w:rPr>
          <w:rFonts w:eastAsia="MS Mincho"/>
          <w:bCs/>
        </w:rPr>
        <w:t>ing on</w:t>
      </w:r>
      <w:r w:rsidR="004F6B63" w:rsidRPr="009A7163">
        <w:rPr>
          <w:rFonts w:eastAsia="MS Mincho"/>
          <w:bCs/>
        </w:rPr>
        <w:t xml:space="preserve"> the price to look</w:t>
      </w:r>
      <w:r w:rsidR="008B238A" w:rsidRPr="009A7163">
        <w:rPr>
          <w:rFonts w:eastAsia="MS Mincho"/>
          <w:bCs/>
        </w:rPr>
        <w:t>ing</w:t>
      </w:r>
      <w:r w:rsidR="004F6B63" w:rsidRPr="009A7163">
        <w:rPr>
          <w:rFonts w:eastAsia="MS Mincho"/>
          <w:bCs/>
        </w:rPr>
        <w:t xml:space="preserve"> at policies and </w:t>
      </w:r>
      <w:r w:rsidR="00467F76" w:rsidRPr="009A7163">
        <w:rPr>
          <w:rFonts w:eastAsia="MS Mincho"/>
          <w:bCs/>
        </w:rPr>
        <w:t xml:space="preserve">programmes </w:t>
      </w:r>
      <w:r w:rsidR="008B238A" w:rsidRPr="009A7163">
        <w:rPr>
          <w:rFonts w:eastAsia="MS Mincho"/>
          <w:bCs/>
        </w:rPr>
        <w:t>that</w:t>
      </w:r>
      <w:r w:rsidR="00467F76" w:rsidRPr="009A7163">
        <w:rPr>
          <w:rFonts w:eastAsia="MS Mincho"/>
          <w:bCs/>
        </w:rPr>
        <w:t xml:space="preserve"> respond to </w:t>
      </w:r>
      <w:r w:rsidR="0067405A" w:rsidRPr="009A7163">
        <w:rPr>
          <w:rFonts w:eastAsia="MS Mincho"/>
          <w:bCs/>
        </w:rPr>
        <w:t xml:space="preserve">these </w:t>
      </w:r>
      <w:r w:rsidR="008B238A" w:rsidRPr="009A7163">
        <w:rPr>
          <w:rFonts w:eastAsia="MS Mincho"/>
          <w:bCs/>
        </w:rPr>
        <w:t xml:space="preserve">issues of </w:t>
      </w:r>
      <w:r w:rsidR="0067405A" w:rsidRPr="009A7163">
        <w:rPr>
          <w:rFonts w:eastAsia="MS Mincho"/>
          <w:bCs/>
        </w:rPr>
        <w:t>structural inequalities</w:t>
      </w:r>
      <w:r w:rsidR="00467F76" w:rsidRPr="009A7163">
        <w:rPr>
          <w:rFonts w:eastAsia="MS Mincho"/>
          <w:bCs/>
        </w:rPr>
        <w:t xml:space="preserve">. </w:t>
      </w:r>
      <w:r w:rsidR="008B238A" w:rsidRPr="009A7163">
        <w:rPr>
          <w:rFonts w:eastAsia="MS Mincho"/>
          <w:bCs/>
        </w:rPr>
        <w:t>A</w:t>
      </w:r>
      <w:r w:rsidR="00467F76" w:rsidRPr="009A7163">
        <w:rPr>
          <w:rFonts w:eastAsia="MS Mincho"/>
          <w:bCs/>
        </w:rPr>
        <w:t xml:space="preserve">n example that Marilyn Waring </w:t>
      </w:r>
      <w:r w:rsidR="008B238A" w:rsidRPr="009A7163">
        <w:rPr>
          <w:rFonts w:eastAsia="MS Mincho"/>
          <w:bCs/>
        </w:rPr>
        <w:t>(</w:t>
      </w:r>
      <w:r w:rsidR="00B8621F" w:rsidRPr="009A7163">
        <w:rPr>
          <w:rFonts w:eastAsia="MS Mincho"/>
          <w:bCs/>
        </w:rPr>
        <w:t>2010)</w:t>
      </w:r>
      <w:r w:rsidR="008B238A" w:rsidRPr="009A7163">
        <w:rPr>
          <w:rFonts w:eastAsia="MS Mincho"/>
          <w:bCs/>
        </w:rPr>
        <w:t xml:space="preserve"> </w:t>
      </w:r>
      <w:r w:rsidR="00467F76" w:rsidRPr="009A7163">
        <w:rPr>
          <w:rFonts w:eastAsia="MS Mincho"/>
          <w:bCs/>
        </w:rPr>
        <w:t xml:space="preserve">uses is that if it takes </w:t>
      </w:r>
      <w:r w:rsidR="00B0417F" w:rsidRPr="009A7163">
        <w:rPr>
          <w:rFonts w:eastAsia="MS Mincho"/>
          <w:bCs/>
        </w:rPr>
        <w:t>four</w:t>
      </w:r>
      <w:r w:rsidR="00467F76" w:rsidRPr="009A7163">
        <w:rPr>
          <w:rFonts w:eastAsia="MS Mincho"/>
          <w:bCs/>
        </w:rPr>
        <w:t xml:space="preserve"> hours for a woman to collect water daily, rather than working out the dollar cost</w:t>
      </w:r>
      <w:r w:rsidR="008B238A" w:rsidRPr="009A7163">
        <w:rPr>
          <w:rFonts w:eastAsia="MS Mincho"/>
          <w:bCs/>
        </w:rPr>
        <w:t>,</w:t>
      </w:r>
      <w:r w:rsidR="00467F76" w:rsidRPr="009A7163">
        <w:rPr>
          <w:rFonts w:eastAsia="MS Mincho"/>
          <w:bCs/>
        </w:rPr>
        <w:t xml:space="preserve"> would it not be better to improve the water infrastructure regardless of how much their time is worth</w:t>
      </w:r>
      <w:r w:rsidR="008B238A" w:rsidRPr="009A7163">
        <w:rPr>
          <w:rFonts w:eastAsia="MS Mincho"/>
          <w:bCs/>
        </w:rPr>
        <w:t>?</w:t>
      </w:r>
      <w:r w:rsidR="0067405A" w:rsidRPr="009A7163">
        <w:rPr>
          <w:rFonts w:eastAsia="MS Mincho"/>
          <w:bCs/>
        </w:rPr>
        <w:t xml:space="preserve"> This becomes an issue of directing time use surveys to</w:t>
      </w:r>
      <w:r w:rsidR="008B238A" w:rsidRPr="009A7163">
        <w:rPr>
          <w:rFonts w:eastAsia="MS Mincho"/>
          <w:bCs/>
        </w:rPr>
        <w:t>wards the objective of</w:t>
      </w:r>
      <w:r w:rsidR="0067405A" w:rsidRPr="009A7163">
        <w:rPr>
          <w:rFonts w:eastAsia="MS Mincho"/>
          <w:bCs/>
        </w:rPr>
        <w:t xml:space="preserve"> inform</w:t>
      </w:r>
      <w:r w:rsidR="008B238A" w:rsidRPr="009A7163">
        <w:rPr>
          <w:rFonts w:eastAsia="MS Mincho"/>
          <w:bCs/>
        </w:rPr>
        <w:t>ing</w:t>
      </w:r>
      <w:r w:rsidR="0067405A" w:rsidRPr="009A7163">
        <w:rPr>
          <w:rFonts w:eastAsia="MS Mincho"/>
          <w:bCs/>
        </w:rPr>
        <w:t xml:space="preserve"> policy.</w:t>
      </w:r>
    </w:p>
    <w:p w14:paraId="76E39421" w14:textId="42E6E3A9" w:rsidR="0004022E" w:rsidRPr="009A7163" w:rsidRDefault="007C1DFF" w:rsidP="004F6B63">
      <w:pPr>
        <w:spacing w:after="240" w:line="360" w:lineRule="auto"/>
        <w:ind w:firstLine="720"/>
        <w:jc w:val="both"/>
        <w:rPr>
          <w:rFonts w:eastAsia="MS Mincho"/>
          <w:bCs/>
        </w:rPr>
      </w:pPr>
      <w:r w:rsidRPr="009A7163">
        <w:rPr>
          <w:rFonts w:eastAsia="MS Mincho"/>
          <w:bCs/>
        </w:rPr>
        <w:t xml:space="preserve">Thus </w:t>
      </w:r>
      <w:r w:rsidR="0004022E" w:rsidRPr="009A7163">
        <w:rPr>
          <w:rFonts w:eastAsia="MS Mincho"/>
          <w:bCs/>
        </w:rPr>
        <w:t xml:space="preserve">the question about defining and valuing work is in part to do with what categories women’s work is placed under </w:t>
      </w:r>
      <w:r w:rsidRPr="009A7163">
        <w:rPr>
          <w:rFonts w:eastAsia="MS Mincho"/>
          <w:bCs/>
        </w:rPr>
        <w:t xml:space="preserve">but also the categories and measurement tools as well. </w:t>
      </w:r>
      <w:r w:rsidR="0004022E" w:rsidRPr="009A7163">
        <w:rPr>
          <w:rFonts w:eastAsia="MS Mincho"/>
          <w:bCs/>
        </w:rPr>
        <w:t xml:space="preserve">As mentioned in </w:t>
      </w:r>
      <w:r w:rsidR="00B44AC2" w:rsidRPr="009A7163">
        <w:rPr>
          <w:rFonts w:eastAsia="MS Mincho"/>
          <w:bCs/>
        </w:rPr>
        <w:t>Chapter Two</w:t>
      </w:r>
      <w:r w:rsidR="0004022E" w:rsidRPr="009A7163">
        <w:rPr>
          <w:rFonts w:eastAsia="MS Mincho"/>
          <w:bCs/>
        </w:rPr>
        <w:t xml:space="preserve">, at first the problem of valuing was the reason </w:t>
      </w:r>
      <w:r w:rsidR="0004022E" w:rsidRPr="009A7163">
        <w:rPr>
          <w:rFonts w:eastAsia="MS Mincho"/>
          <w:bCs/>
        </w:rPr>
        <w:lastRenderedPageBreak/>
        <w:t xml:space="preserve">not to include women’s work into national accounts; however, some scholars have argued this is outdated and </w:t>
      </w:r>
      <w:r w:rsidR="0067405A" w:rsidRPr="009A7163">
        <w:rPr>
          <w:rFonts w:eastAsia="MS Mincho"/>
          <w:bCs/>
        </w:rPr>
        <w:t>no longer the case</w:t>
      </w:r>
      <w:r w:rsidR="00B0417F" w:rsidRPr="009A7163">
        <w:rPr>
          <w:rFonts w:eastAsia="MS Mincho"/>
          <w:bCs/>
        </w:rPr>
        <w:t>,</w:t>
      </w:r>
      <w:r w:rsidR="0067405A" w:rsidRPr="009A7163">
        <w:rPr>
          <w:rFonts w:eastAsia="MS Mincho"/>
          <w:bCs/>
        </w:rPr>
        <w:t xml:space="preserve"> and that </w:t>
      </w:r>
      <w:r w:rsidR="0004022E" w:rsidRPr="009A7163">
        <w:rPr>
          <w:rFonts w:eastAsia="MS Mincho"/>
          <w:bCs/>
        </w:rPr>
        <w:t>definitions such as those of the SNA</w:t>
      </w:r>
      <w:r w:rsidR="0067405A" w:rsidRPr="009A7163">
        <w:rPr>
          <w:rFonts w:eastAsia="MS Mincho"/>
          <w:bCs/>
        </w:rPr>
        <w:t xml:space="preserve"> should be challenged</w:t>
      </w:r>
      <w:r w:rsidR="0004022E" w:rsidRPr="009A7163">
        <w:rPr>
          <w:rFonts w:eastAsia="MS Mincho"/>
          <w:bCs/>
        </w:rPr>
        <w:t xml:space="preserve">. </w:t>
      </w:r>
    </w:p>
    <w:p w14:paraId="13B6BAD7" w14:textId="77777777" w:rsidR="0004022E" w:rsidRPr="009A7163" w:rsidRDefault="0004022E" w:rsidP="00293176">
      <w:pPr>
        <w:pStyle w:val="Heading3"/>
        <w:rPr>
          <w:rFonts w:eastAsia="MS Mincho"/>
        </w:rPr>
      </w:pPr>
      <w:bookmarkStart w:id="102" w:name="_Toc526819320"/>
      <w:r w:rsidRPr="009A7163">
        <w:rPr>
          <w:rFonts w:eastAsia="MS Mincho"/>
        </w:rPr>
        <w:t>5.2.1  Household Stability</w:t>
      </w:r>
      <w:bookmarkEnd w:id="102"/>
    </w:p>
    <w:p w14:paraId="642A7F87" w14:textId="0B4E406A" w:rsidR="0004022E" w:rsidRPr="009A7163" w:rsidRDefault="0004022E" w:rsidP="008C041F">
      <w:pPr>
        <w:spacing w:line="360" w:lineRule="auto"/>
        <w:ind w:firstLine="720"/>
        <w:jc w:val="both"/>
        <w:rPr>
          <w:rFonts w:eastAsia="MS Mincho"/>
        </w:rPr>
      </w:pPr>
      <w:r w:rsidRPr="009A7163">
        <w:rPr>
          <w:rFonts w:eastAsia="MS Mincho"/>
        </w:rPr>
        <w:t>The blurred lines around definitions of unpaid work</w:t>
      </w:r>
      <w:r w:rsidR="00B0417F" w:rsidRPr="009A7163">
        <w:rPr>
          <w:rFonts w:eastAsia="MS Mincho"/>
        </w:rPr>
        <w:t xml:space="preserve"> show</w:t>
      </w:r>
      <w:r w:rsidRPr="009A7163">
        <w:rPr>
          <w:rFonts w:eastAsia="MS Mincho"/>
        </w:rPr>
        <w:t xml:space="preserve"> a very different viewpoint from how Catherine Hoskyns presented the pricing model and the innovative nature of how it defines unpaid wor</w:t>
      </w:r>
      <w:r w:rsidR="00B0417F" w:rsidRPr="009A7163">
        <w:rPr>
          <w:rFonts w:eastAsia="MS Mincho"/>
        </w:rPr>
        <w:t>k, which Hoskyns describes in the following</w:t>
      </w:r>
      <w:r w:rsidRPr="009A7163">
        <w:rPr>
          <w:rFonts w:eastAsia="MS Mincho"/>
        </w:rPr>
        <w:t xml:space="preserve">:  </w:t>
      </w:r>
    </w:p>
    <w:p w14:paraId="4D6B4B70" w14:textId="77777777" w:rsidR="0004022E" w:rsidRPr="009A7163" w:rsidRDefault="0004022E" w:rsidP="008C041F">
      <w:pPr>
        <w:spacing w:after="160"/>
        <w:ind w:left="720"/>
        <w:jc w:val="both"/>
        <w:rPr>
          <w:rFonts w:eastAsia="MS Mincho"/>
          <w:bCs/>
          <w:i/>
          <w:iCs/>
        </w:rPr>
      </w:pPr>
      <w:r w:rsidRPr="009A7163">
        <w:rPr>
          <w:rFonts w:eastAsia="MS Mincho"/>
          <w:bCs/>
          <w:iCs/>
        </w:rPr>
        <w:t>The innovation of the CJFPS and BSI initiative is that it includes payment not only for work that is part of actual production yet unpaid (fetching water and fuel) and work that contributes to production, but also domestic and other work in the home that generally contributes to the household and community stability. (Butler, 2014, p. 536)</w:t>
      </w:r>
      <w:r w:rsidRPr="009A7163">
        <w:rPr>
          <w:rFonts w:eastAsia="MS Mincho"/>
          <w:bCs/>
          <w:i/>
          <w:iCs/>
        </w:rPr>
        <w:t xml:space="preserve"> </w:t>
      </w:r>
    </w:p>
    <w:p w14:paraId="2839E905" w14:textId="5409DC20" w:rsidR="0004022E" w:rsidRPr="009A7163" w:rsidRDefault="0004022E">
      <w:pPr>
        <w:spacing w:line="360" w:lineRule="auto"/>
        <w:jc w:val="both"/>
        <w:rPr>
          <w:rFonts w:eastAsia="MS Mincho"/>
          <w:bCs/>
          <w:iCs/>
        </w:rPr>
      </w:pPr>
      <w:r w:rsidRPr="009A7163">
        <w:rPr>
          <w:rFonts w:eastAsia="MS Mincho"/>
          <w:bCs/>
          <w:iCs/>
        </w:rPr>
        <w:t>Here she extended unpaid work to not only community work but also to creating household and community stability. This is not a common feature of definitions of unpaid work and is closer to concepts of unpaid care, which in general focus on unpaid care work supporting human well-being (Mar et al., 2016) and sustaining the general standard of living (Folbre, 2009). The idea that by recognising unpaid work and paying for it can lead to more resilient households is an argument that BSI has frequently made when talking about this initiative, yet there is currently no clear evidence that their theory has proven correct. Patricia Orozco, a prominent Nicaraguan feminist and human rights defender (who worked for La Onda local radio station at the time of the interview) connected women’s work to food security for the household:</w:t>
      </w:r>
    </w:p>
    <w:p w14:paraId="50AD3CC8" w14:textId="7A1A86C4" w:rsidR="0004022E" w:rsidRPr="009A7163" w:rsidRDefault="0004022E">
      <w:pPr>
        <w:spacing w:after="160"/>
        <w:ind w:left="720"/>
        <w:jc w:val="both"/>
        <w:rPr>
          <w:rFonts w:eastAsia="MS Mincho"/>
          <w:bCs/>
          <w:iCs/>
        </w:rPr>
      </w:pPr>
      <w:r w:rsidRPr="009A7163">
        <w:rPr>
          <w:rFonts w:eastAsia="MS Mincho"/>
          <w:bCs/>
          <w:iCs/>
        </w:rPr>
        <w:t>I would establish [unpaid work] as: One, the activities that women perform to reproduce life; two, household chores; and three, care work. But there is also work that women do that is not necessarily domestic</w:t>
      </w:r>
      <w:r w:rsidR="00B0417F" w:rsidRPr="009A7163">
        <w:rPr>
          <w:rFonts w:eastAsia="MS Mincho"/>
          <w:bCs/>
          <w:iCs/>
        </w:rPr>
        <w:t>,</w:t>
      </w:r>
      <w:r w:rsidRPr="009A7163">
        <w:rPr>
          <w:rFonts w:eastAsia="MS Mincho"/>
          <w:bCs/>
          <w:iCs/>
        </w:rPr>
        <w:t xml:space="preserve"> but is additional. For example, many women grow tomatoes and peppers. They grow a number of products that contribute to their family’s survival</w:t>
      </w:r>
      <w:r w:rsidR="00FE5EB3" w:rsidRPr="009A7163">
        <w:rPr>
          <w:rFonts w:eastAsia="MS Mincho"/>
          <w:bCs/>
          <w:iCs/>
        </w:rPr>
        <w:t>…</w:t>
      </w:r>
      <w:r w:rsidRPr="009A7163">
        <w:rPr>
          <w:rFonts w:eastAsia="MS Mincho"/>
          <w:bCs/>
          <w:iCs/>
        </w:rPr>
        <w:t>All of these vegetables, this food, helps the family’s nutrition</w:t>
      </w:r>
      <w:r w:rsidR="00FE5EB3" w:rsidRPr="009A7163">
        <w:rPr>
          <w:rFonts w:eastAsia="MS Mincho"/>
          <w:bCs/>
          <w:iCs/>
        </w:rPr>
        <w:t>…</w:t>
      </w:r>
      <w:r w:rsidRPr="009A7163">
        <w:rPr>
          <w:rFonts w:eastAsia="MS Mincho"/>
          <w:bCs/>
          <w:iCs/>
        </w:rPr>
        <w:t>and contributes to food security. (Expert Interview, May 4, 2016)</w:t>
      </w:r>
    </w:p>
    <w:p w14:paraId="2101A7F0" w14:textId="2E7961D7" w:rsidR="0004022E" w:rsidRPr="009A7163" w:rsidRDefault="00335490">
      <w:pPr>
        <w:spacing w:line="360" w:lineRule="auto"/>
        <w:jc w:val="both"/>
        <w:rPr>
          <w:rFonts w:eastAsia="MS Mincho"/>
        </w:rPr>
      </w:pPr>
      <w:r w:rsidRPr="009A7163">
        <w:rPr>
          <w:rFonts w:eastAsia="MS Mincho"/>
        </w:rPr>
        <w:t xml:space="preserve">Whilst Orozco raises the point of women’s role </w:t>
      </w:r>
      <w:r w:rsidR="00B0417F" w:rsidRPr="009A7163">
        <w:rPr>
          <w:rFonts w:eastAsia="MS Mincho"/>
        </w:rPr>
        <w:t xml:space="preserve">in </w:t>
      </w:r>
      <w:r w:rsidRPr="009A7163">
        <w:rPr>
          <w:rFonts w:eastAsia="MS Mincho"/>
        </w:rPr>
        <w:t xml:space="preserve">securing food security for the house, no mention is made of women’s work and its related to production or the productive work that women carry out other than the food grown for </w:t>
      </w:r>
      <w:r w:rsidR="00064EC0" w:rsidRPr="009A7163">
        <w:rPr>
          <w:rFonts w:eastAsia="MS Mincho"/>
        </w:rPr>
        <w:t>self-consumption</w:t>
      </w:r>
      <w:r w:rsidRPr="009A7163">
        <w:rPr>
          <w:rFonts w:eastAsia="MS Mincho"/>
        </w:rPr>
        <w:t>.</w:t>
      </w:r>
      <w:r w:rsidR="00064EC0" w:rsidRPr="009A7163">
        <w:rPr>
          <w:rFonts w:eastAsia="MS Mincho"/>
        </w:rPr>
        <w:t xml:space="preserve"> Her definition stays close to home.</w:t>
      </w:r>
      <w:r w:rsidR="003E045B" w:rsidRPr="009A7163">
        <w:rPr>
          <w:rFonts w:eastAsia="MS Mincho"/>
        </w:rPr>
        <w:t xml:space="preserve"> </w:t>
      </w:r>
      <w:r w:rsidR="00064EC0" w:rsidRPr="009A7163">
        <w:rPr>
          <w:rFonts w:eastAsia="MS Mincho"/>
        </w:rPr>
        <w:t xml:space="preserve">Other definitions of </w:t>
      </w:r>
      <w:r w:rsidR="003A2C87" w:rsidRPr="009A7163">
        <w:rPr>
          <w:rFonts w:eastAsia="MS Mincho"/>
        </w:rPr>
        <w:t>UCW</w:t>
      </w:r>
      <w:r w:rsidR="00064EC0" w:rsidRPr="009A7163">
        <w:rPr>
          <w:rFonts w:eastAsia="MS Mincho"/>
        </w:rPr>
        <w:t xml:space="preserve"> focus on the work that women do </w:t>
      </w:r>
      <w:r w:rsidR="00B0417F" w:rsidRPr="009A7163">
        <w:rPr>
          <w:rFonts w:eastAsia="MS Mincho"/>
        </w:rPr>
        <w:t xml:space="preserve">to </w:t>
      </w:r>
      <w:r w:rsidR="0004022E" w:rsidRPr="009A7163">
        <w:rPr>
          <w:rFonts w:eastAsia="MS Mincho"/>
        </w:rPr>
        <w:t xml:space="preserve">sustain life </w:t>
      </w:r>
      <w:r w:rsidR="001201CA" w:rsidRPr="009A7163">
        <w:rPr>
          <w:rFonts w:eastAsia="MS Mincho"/>
        </w:rPr>
        <w:t>and their</w:t>
      </w:r>
      <w:r w:rsidR="00064EC0" w:rsidRPr="009A7163">
        <w:rPr>
          <w:rFonts w:eastAsia="MS Mincho"/>
        </w:rPr>
        <w:t xml:space="preserve"> </w:t>
      </w:r>
      <w:r w:rsidR="0004022E" w:rsidRPr="009A7163">
        <w:rPr>
          <w:rFonts w:eastAsia="MS Mincho"/>
        </w:rPr>
        <w:t>contribution to the economy.</w:t>
      </w:r>
      <w:r w:rsidR="00064EC0" w:rsidRPr="009A7163">
        <w:rPr>
          <w:rFonts w:eastAsia="MS Mincho"/>
        </w:rPr>
        <w:t xml:space="preserve"> Another expert interviewee goes a step further and links women’s unpaid work to the political and economic system maintaining the status quo. In </w:t>
      </w:r>
      <w:r w:rsidR="0004022E" w:rsidRPr="009A7163">
        <w:rPr>
          <w:rFonts w:eastAsia="MS Mincho"/>
        </w:rPr>
        <w:t xml:space="preserve">an expert interview with Juana Villareyna, the gender </w:t>
      </w:r>
      <w:r w:rsidR="0004022E" w:rsidRPr="009A7163">
        <w:rPr>
          <w:rFonts w:eastAsia="MS Mincho"/>
        </w:rPr>
        <w:lastRenderedPageBreak/>
        <w:t>coordinator, agronomist, and General Director of Foundation Between Women (FEM</w:t>
      </w:r>
      <w:r w:rsidR="0004022E" w:rsidRPr="009A7163">
        <w:rPr>
          <w:rFonts w:eastAsia="MS Mincho"/>
          <w:vertAlign w:val="superscript"/>
        </w:rPr>
        <w:footnoteReference w:id="90"/>
      </w:r>
      <w:r w:rsidR="0004022E" w:rsidRPr="009A7163">
        <w:rPr>
          <w:rFonts w:eastAsia="MS Mincho"/>
        </w:rPr>
        <w:t>), a feminist civil society organization, state</w:t>
      </w:r>
      <w:r w:rsidR="00064EC0" w:rsidRPr="009A7163">
        <w:rPr>
          <w:rFonts w:eastAsia="MS Mincho"/>
        </w:rPr>
        <w:t>s</w:t>
      </w:r>
      <w:r w:rsidR="0004022E" w:rsidRPr="009A7163">
        <w:rPr>
          <w:rFonts w:eastAsia="MS Mincho"/>
        </w:rPr>
        <w:t>:</w:t>
      </w:r>
    </w:p>
    <w:p w14:paraId="57946F83" w14:textId="58665912" w:rsidR="0004022E" w:rsidRPr="009A7163" w:rsidRDefault="0004022E">
      <w:pPr>
        <w:spacing w:after="160"/>
        <w:ind w:left="720"/>
        <w:jc w:val="both"/>
        <w:rPr>
          <w:rFonts w:eastAsia="MS Mincho"/>
        </w:rPr>
      </w:pPr>
      <w:r w:rsidRPr="009A7163">
        <w:rPr>
          <w:rFonts w:eastAsia="MS Mincho"/>
        </w:rPr>
        <w:t>For us, women’s unpaid work is all the care work we do and that is absolutely necessary for this patriarchal, capitalist and neoliberal system to function. Women make a great contribution to the economy of the country, but it is invisible and that has to do with all the work that women do. Domestic work, for example, has to do with everything: washing, ironing, childcare and also care of the elderly, which is also invisible and unpaid. But there is also everything that we women do in terms of affection – all the affection we give to our husbands and the children, which is necessary but it is something that is not visible and that no one pays for. So here it’s worth reflecting: in order for that man to be able to go to work in the fields, with food in his belly, his thirst quenched, having received affection and to go happy to work, there is a woman behind that doing all the unpaid work and care work so that this man can go off to work peacefully. All of this, so that the man can earn his days labour and then spend that money on drinking and going out and meeting other women. This unpaid women’s work allowed this man to go out and enjoy all of these freedoms but it remains invisible, unrecognised and unpaid.</w:t>
      </w:r>
      <w:r w:rsidRPr="009A7163" w:rsidDel="0048442D">
        <w:rPr>
          <w:rFonts w:eastAsia="MS Mincho"/>
        </w:rPr>
        <w:t xml:space="preserve"> </w:t>
      </w:r>
      <w:r w:rsidRPr="009A7163">
        <w:rPr>
          <w:rFonts w:eastAsia="MS Mincho"/>
        </w:rPr>
        <w:t>(Expert Interview, February 29, 2016)</w:t>
      </w:r>
    </w:p>
    <w:p w14:paraId="7486DFCF" w14:textId="3D3CC8E2" w:rsidR="0004022E" w:rsidRPr="009A7163" w:rsidRDefault="0004022E">
      <w:pPr>
        <w:spacing w:line="360" w:lineRule="auto"/>
        <w:ind w:firstLine="720"/>
        <w:jc w:val="both"/>
        <w:rPr>
          <w:rFonts w:eastAsia="MS Mincho"/>
          <w:bCs/>
          <w:iCs/>
        </w:rPr>
      </w:pPr>
      <w:r w:rsidRPr="009A7163">
        <w:rPr>
          <w:rFonts w:eastAsia="MS Mincho"/>
          <w:bCs/>
          <w:iCs/>
        </w:rPr>
        <w:t xml:space="preserve">Whilst the representative of FEM mentioned that women’s affection is not valued, men’s affection is neither valued too, which highlights the problematic nature of what to value and put a price on. In her quote, there is also a subtext of resentment at the unequal freedom and lack of recognition that women receive as well as the philandering of men. This is something that came up a number of times in focus groups and interviews. So as long as roles remain gendered, women will stay home and men will go ‘off to work’. However, going back to the argument of unpaid work sustaining life, the idea of </w:t>
      </w:r>
      <w:r w:rsidR="003A2C87" w:rsidRPr="009A7163">
        <w:rPr>
          <w:rFonts w:eastAsia="MS Mincho"/>
          <w:bCs/>
          <w:iCs/>
        </w:rPr>
        <w:t>UCW</w:t>
      </w:r>
      <w:r w:rsidRPr="009A7163">
        <w:rPr>
          <w:rFonts w:eastAsia="MS Mincho"/>
          <w:bCs/>
          <w:iCs/>
        </w:rPr>
        <w:t xml:space="preserve"> supporting human well-being is something that Juan Bravo, the manager and president of the sesame cooperative, CJFPS, alluded to when he made the connection between emotional stability, higher productivity and unpaid work: </w:t>
      </w:r>
    </w:p>
    <w:p w14:paraId="754505A0" w14:textId="5A643A46" w:rsidR="0004022E" w:rsidRPr="009A7163" w:rsidRDefault="0004022E">
      <w:pPr>
        <w:spacing w:after="180"/>
        <w:ind w:left="720"/>
        <w:jc w:val="both"/>
        <w:rPr>
          <w:rFonts w:eastAsia="MS Mincho"/>
          <w:bCs/>
          <w:iCs/>
        </w:rPr>
      </w:pPr>
      <w:r w:rsidRPr="009A7163">
        <w:rPr>
          <w:rFonts w:eastAsia="MS Mincho"/>
          <w:bCs/>
          <w:iCs/>
        </w:rPr>
        <w:t>[Evaluating the initiative] is going to be interesting because we have to take into account the emotional issues which we are not doing</w:t>
      </w:r>
      <w:r w:rsidR="00FE5EB3" w:rsidRPr="009A7163">
        <w:rPr>
          <w:rFonts w:eastAsia="MS Mincho"/>
          <w:bCs/>
          <w:iCs/>
        </w:rPr>
        <w:t>…</w:t>
      </w:r>
      <w:r w:rsidRPr="009A7163">
        <w:rPr>
          <w:rFonts w:eastAsia="MS Mincho"/>
          <w:bCs/>
          <w:iCs/>
        </w:rPr>
        <w:t>I am not sure if you have put a price on emotional life, but it’s important. If I have a wife who treats me well, I will probably have more energy to work. But if I have a wife who treats me badly, I will have less ability to work. So, this is a contribution and a very valuable one. I’m not sure if it can be calculated but it should be considered</w:t>
      </w:r>
      <w:r w:rsidR="006B0BC9" w:rsidRPr="009A7163">
        <w:rPr>
          <w:rFonts w:eastAsia="MS Mincho"/>
          <w:bCs/>
          <w:iCs/>
        </w:rPr>
        <w:t>…</w:t>
      </w:r>
      <w:r w:rsidRPr="009A7163">
        <w:rPr>
          <w:rFonts w:eastAsia="MS Mincho"/>
          <w:bCs/>
          <w:iCs/>
        </w:rPr>
        <w:t>If I am in a stable house</w:t>
      </w:r>
      <w:r w:rsidR="006B0BC9" w:rsidRPr="009A7163">
        <w:rPr>
          <w:rFonts w:eastAsia="MS Mincho"/>
          <w:bCs/>
          <w:iCs/>
        </w:rPr>
        <w:t>…</w:t>
      </w:r>
      <w:r w:rsidRPr="009A7163">
        <w:rPr>
          <w:rFonts w:eastAsia="MS Mincho"/>
          <w:bCs/>
          <w:iCs/>
        </w:rPr>
        <w:t>or in a family that has emotional stability, this means that I will have greater productive capacity, I go to the fields to work, and I have no worries because I have my right arm that is the woman. (Expert Interview, January 8, 2015)</w:t>
      </w:r>
    </w:p>
    <w:p w14:paraId="73F5CE06" w14:textId="2BFCC40A" w:rsidR="0004022E" w:rsidRPr="009A7163" w:rsidRDefault="00064EC0">
      <w:pPr>
        <w:spacing w:line="360" w:lineRule="auto"/>
        <w:ind w:firstLine="720"/>
        <w:jc w:val="both"/>
        <w:rPr>
          <w:rFonts w:eastAsia="MS Mincho"/>
          <w:bCs/>
          <w:iCs/>
        </w:rPr>
      </w:pPr>
      <w:r w:rsidRPr="009A7163">
        <w:rPr>
          <w:rFonts w:eastAsia="MS Mincho"/>
          <w:bCs/>
          <w:iCs/>
        </w:rPr>
        <w:lastRenderedPageBreak/>
        <w:t xml:space="preserve">Whilst Juan Bravo mentioned the </w:t>
      </w:r>
      <w:r w:rsidR="00AD31FD" w:rsidRPr="009A7163">
        <w:rPr>
          <w:rFonts w:eastAsia="MS Mincho"/>
          <w:bCs/>
          <w:iCs/>
        </w:rPr>
        <w:t>‘</w:t>
      </w:r>
      <w:r w:rsidRPr="009A7163">
        <w:rPr>
          <w:rFonts w:eastAsia="MS Mincho"/>
          <w:bCs/>
          <w:iCs/>
        </w:rPr>
        <w:t>right arm</w:t>
      </w:r>
      <w:r w:rsidR="00AD31FD" w:rsidRPr="009A7163">
        <w:rPr>
          <w:rFonts w:eastAsia="MS Mincho"/>
          <w:bCs/>
          <w:iCs/>
        </w:rPr>
        <w:t>’</w:t>
      </w:r>
      <w:r w:rsidRPr="009A7163">
        <w:rPr>
          <w:rFonts w:eastAsia="MS Mincho"/>
          <w:bCs/>
          <w:iCs/>
        </w:rPr>
        <w:t xml:space="preserve"> of the farmers</w:t>
      </w:r>
      <w:r w:rsidR="00AD31FD" w:rsidRPr="009A7163">
        <w:rPr>
          <w:rFonts w:eastAsia="MS Mincho"/>
          <w:bCs/>
          <w:iCs/>
        </w:rPr>
        <w:t>,</w:t>
      </w:r>
      <w:r w:rsidR="00097B91" w:rsidRPr="009A7163">
        <w:rPr>
          <w:rFonts w:eastAsia="MS Mincho"/>
          <w:bCs/>
          <w:iCs/>
        </w:rPr>
        <w:t xml:space="preserve"> e.g.</w:t>
      </w:r>
      <w:r w:rsidR="00AD31FD" w:rsidRPr="009A7163">
        <w:rPr>
          <w:rFonts w:eastAsia="MS Mincho"/>
          <w:bCs/>
          <w:iCs/>
        </w:rPr>
        <w:t>,</w:t>
      </w:r>
      <w:r w:rsidR="00097B91" w:rsidRPr="009A7163">
        <w:rPr>
          <w:rFonts w:eastAsia="MS Mincho"/>
          <w:bCs/>
          <w:iCs/>
        </w:rPr>
        <w:t xml:space="preserve"> the women</w:t>
      </w:r>
      <w:r w:rsidR="00AD31FD" w:rsidRPr="009A7163">
        <w:rPr>
          <w:rFonts w:eastAsia="MS Mincho"/>
          <w:bCs/>
          <w:iCs/>
        </w:rPr>
        <w:t>,</w:t>
      </w:r>
      <w:r w:rsidRPr="009A7163">
        <w:rPr>
          <w:rFonts w:eastAsia="MS Mincho"/>
          <w:bCs/>
          <w:iCs/>
        </w:rPr>
        <w:t xml:space="preserve"> providing critical emotional su</w:t>
      </w:r>
      <w:r w:rsidR="00005E2A" w:rsidRPr="009A7163">
        <w:rPr>
          <w:rFonts w:eastAsia="MS Mincho"/>
          <w:bCs/>
          <w:iCs/>
        </w:rPr>
        <w:t>pport, he did not reflect on the organization</w:t>
      </w:r>
      <w:r w:rsidR="00AD31FD" w:rsidRPr="009A7163">
        <w:rPr>
          <w:rFonts w:eastAsia="MS Mincho"/>
          <w:bCs/>
          <w:iCs/>
        </w:rPr>
        <w:t>’</w:t>
      </w:r>
      <w:r w:rsidR="00005E2A" w:rsidRPr="009A7163">
        <w:rPr>
          <w:rFonts w:eastAsia="MS Mincho"/>
          <w:bCs/>
          <w:iCs/>
        </w:rPr>
        <w:t xml:space="preserve">s part in firstly the design of the pricing initiative or practices within the organization whereby women workers provide and care for the workers. In the sesame cooperative, one employee and leader cooks special meals for the manager and cares for him. The emotional and physical care that women provide </w:t>
      </w:r>
      <w:r w:rsidR="00AD31FD" w:rsidRPr="009A7163">
        <w:rPr>
          <w:rFonts w:eastAsia="MS Mincho"/>
          <w:bCs/>
          <w:iCs/>
        </w:rPr>
        <w:t xml:space="preserve">also </w:t>
      </w:r>
      <w:r w:rsidR="00005E2A" w:rsidRPr="009A7163">
        <w:rPr>
          <w:rFonts w:eastAsia="MS Mincho"/>
          <w:bCs/>
          <w:iCs/>
        </w:rPr>
        <w:t xml:space="preserve">continues into their work environment. </w:t>
      </w:r>
      <w:r w:rsidR="0004022E" w:rsidRPr="009A7163">
        <w:rPr>
          <w:rFonts w:eastAsia="MS Mincho"/>
          <w:bCs/>
          <w:iCs/>
        </w:rPr>
        <w:t>The emotional unpaid work of women was also highlighted in a workshop warm up activity whereby couples were asked to physically demonstrate how they felt at the end of the day</w:t>
      </w:r>
      <w:r w:rsidR="0004022E" w:rsidRPr="009A7163">
        <w:rPr>
          <w:rFonts w:ascii="Cambria" w:eastAsia="MS Mincho" w:hAnsi="Cambria"/>
          <w:sz w:val="18"/>
          <w:szCs w:val="18"/>
        </w:rPr>
        <w:t xml:space="preserve">. </w:t>
      </w:r>
      <w:r w:rsidR="0004022E" w:rsidRPr="009A7163">
        <w:rPr>
          <w:rFonts w:eastAsia="MS Mincho"/>
        </w:rPr>
        <w:t>I</w:t>
      </w:r>
      <w:r w:rsidR="0004022E" w:rsidRPr="009A7163">
        <w:t>n the physical theatre images that the men and women created about the end of the day, the men physically supported themselves on the women’s body in many cases. In the discussions after this workshop exercise, they acknowledged that they looked for support from their partners and in particular emotional support</w:t>
      </w:r>
      <w:r w:rsidR="0004022E" w:rsidRPr="009A7163">
        <w:rPr>
          <w:rFonts w:eastAsia="MS Mincho"/>
          <w:bCs/>
          <w:iCs/>
        </w:rPr>
        <w:t xml:space="preserve"> (Fieldwork Journal, January 19-20, 2015).</w:t>
      </w:r>
    </w:p>
    <w:p w14:paraId="534EC7D6" w14:textId="77777777" w:rsidR="00171CF0" w:rsidRPr="009A7163" w:rsidRDefault="00171CF0">
      <w:pPr>
        <w:jc w:val="both"/>
        <w:rPr>
          <w:rFonts w:eastAsia="MS Mincho"/>
          <w:b/>
          <w:bCs/>
          <w:iCs/>
        </w:rPr>
      </w:pPr>
    </w:p>
    <w:p w14:paraId="74640F5B" w14:textId="3DB986CC" w:rsidR="008C041F" w:rsidRPr="009A7163" w:rsidRDefault="008C041F" w:rsidP="00293176">
      <w:pPr>
        <w:pStyle w:val="NoSpacing"/>
        <w:spacing w:after="120"/>
        <w:rPr>
          <w:rFonts w:eastAsiaTheme="majorEastAsia"/>
          <w:i/>
        </w:rPr>
      </w:pPr>
      <w:bookmarkStart w:id="103" w:name="_Toc526710040"/>
      <w:r w:rsidRPr="009A7163">
        <w:rPr>
          <w:rStyle w:val="PlateTOCChar"/>
        </w:rPr>
        <w:t>Plate 5.1. Men Resting on W</w:t>
      </w:r>
      <w:r w:rsidR="00F30E43" w:rsidRPr="009A7163">
        <w:rPr>
          <w:rStyle w:val="PlateTOCChar"/>
        </w:rPr>
        <w:t>omen, Physical Theatre Imagery</w:t>
      </w:r>
      <w:bookmarkEnd w:id="103"/>
      <w:r w:rsidR="00F30E43" w:rsidRPr="009A7163">
        <w:rPr>
          <w:rStyle w:val="PlateTOCChar"/>
        </w:rPr>
        <w:t xml:space="preserve"> </w:t>
      </w:r>
      <w:r w:rsidR="00F30E43" w:rsidRPr="009A7163">
        <w:rPr>
          <w:rFonts w:eastAsiaTheme="majorEastAsia"/>
          <w:i/>
        </w:rPr>
        <w:t>(</w:t>
      </w:r>
      <w:r w:rsidRPr="009A7163">
        <w:rPr>
          <w:rFonts w:eastAsiaTheme="majorEastAsia"/>
          <w:i/>
        </w:rPr>
        <w:t>Focus Group, Achuapa, February 6, 2015</w:t>
      </w:r>
      <w:r w:rsidR="00F30E43" w:rsidRPr="009A7163">
        <w:rPr>
          <w:rFonts w:eastAsiaTheme="majorEastAsia"/>
          <w:i/>
        </w:rPr>
        <w:t xml:space="preserve">, </w:t>
      </w:r>
      <w:r w:rsidRPr="009A7163">
        <w:rPr>
          <w:rFonts w:eastAsiaTheme="majorEastAsia"/>
        </w:rPr>
        <w:t>my photo)</w:t>
      </w:r>
    </w:p>
    <w:p w14:paraId="057F1DA8" w14:textId="77777777" w:rsidR="0004022E" w:rsidRPr="009A7163" w:rsidRDefault="0004022E" w:rsidP="008C041F">
      <w:pPr>
        <w:spacing w:line="360" w:lineRule="auto"/>
        <w:jc w:val="both"/>
      </w:pPr>
      <w:r w:rsidRPr="009A7163">
        <w:rPr>
          <w:noProof/>
          <w:lang w:eastAsia="en-GB"/>
        </w:rPr>
        <w:drawing>
          <wp:inline distT="0" distB="0" distL="0" distR="0" wp14:anchorId="0D2F840F" wp14:editId="72E9E3C6">
            <wp:extent cx="2197100" cy="2933700"/>
            <wp:effectExtent l="0" t="0" r="12700" b="12700"/>
            <wp:docPr id="2" name="Picture 2" descr="Description: Macintosh HD:Users:owner:Desktop:men resting on wom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owner:Desktop:men resting on women.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7100" cy="2933700"/>
                    </a:xfrm>
                    <a:prstGeom prst="rect">
                      <a:avLst/>
                    </a:prstGeom>
                    <a:noFill/>
                    <a:ln>
                      <a:noFill/>
                    </a:ln>
                  </pic:spPr>
                </pic:pic>
              </a:graphicData>
            </a:graphic>
          </wp:inline>
        </w:drawing>
      </w:r>
      <w:r w:rsidRPr="009A7163">
        <w:rPr>
          <w:noProof/>
          <w:lang w:eastAsia="en-GB"/>
        </w:rPr>
        <w:drawing>
          <wp:inline distT="0" distB="0" distL="0" distR="0" wp14:anchorId="11D42934" wp14:editId="133D768D">
            <wp:extent cx="2197100" cy="2933700"/>
            <wp:effectExtent l="0" t="0" r="12700" b="12700"/>
            <wp:docPr id="4" name="Picture 4" descr="Description: Macintosh HD:Users:owner:Desktop:men resting on wome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owner:Desktop:men resting on women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2933700"/>
                    </a:xfrm>
                    <a:prstGeom prst="rect">
                      <a:avLst/>
                    </a:prstGeom>
                    <a:noFill/>
                    <a:ln>
                      <a:noFill/>
                    </a:ln>
                  </pic:spPr>
                </pic:pic>
              </a:graphicData>
            </a:graphic>
          </wp:inline>
        </w:drawing>
      </w:r>
    </w:p>
    <w:p w14:paraId="26881BAA" w14:textId="146D0AE7" w:rsidR="0004022E" w:rsidRPr="009A7163" w:rsidRDefault="0004022E" w:rsidP="00293176">
      <w:pPr>
        <w:spacing w:before="360" w:line="360" w:lineRule="auto"/>
        <w:ind w:firstLine="720"/>
        <w:jc w:val="both"/>
        <w:rPr>
          <w:rFonts w:eastAsia="MS Mincho"/>
          <w:bCs/>
          <w:iCs/>
        </w:rPr>
      </w:pPr>
      <w:r w:rsidRPr="009A7163">
        <w:rPr>
          <w:rFonts w:eastAsia="MS Mincho"/>
          <w:bCs/>
          <w:iCs/>
        </w:rPr>
        <w:t xml:space="preserve">A number of women in individual interviews and focus groups mentioned the strain of unpaid work and how it caused them mental and emotional stress as well as a number of physical ailments. Many of the women stated that they suffered from headaches, arthritis and high blood pressure associated with the tasks they performed (e.g., washing heavy clothes, exposing themselves to fire and caring for the whole family). In the focus group with women from Achuapa, they extended the meaning of </w:t>
      </w:r>
      <w:r w:rsidRPr="009A7163">
        <w:rPr>
          <w:rFonts w:eastAsia="MS Mincho"/>
          <w:bCs/>
          <w:iCs/>
        </w:rPr>
        <w:lastRenderedPageBreak/>
        <w:t>unpaid work to include the fulfilment of sexual duties to their partners despite feeling tired after a day’s work (Focus Group Women, Achuapa, February 6, 2015). This echoes Castell (2000), who discussed the four shifts that women workers undertake – paid work in the office, house chores, child care and night shift for the husband’s sexual needs. It is important to add that when the women discussed this in the focus group, they were not using this as an argument to claim compensation</w:t>
      </w:r>
      <w:r w:rsidR="00AD31FD" w:rsidRPr="009A7163">
        <w:rPr>
          <w:rFonts w:eastAsia="MS Mincho"/>
          <w:bCs/>
          <w:iCs/>
        </w:rPr>
        <w:t>,</w:t>
      </w:r>
      <w:r w:rsidRPr="009A7163">
        <w:rPr>
          <w:rFonts w:eastAsia="MS Mincho"/>
          <w:bCs/>
          <w:iCs/>
        </w:rPr>
        <w:t xml:space="preserve"> but were rather sharing the burdens of work that they experience.</w:t>
      </w:r>
    </w:p>
    <w:p w14:paraId="4E9A21EC" w14:textId="6E24897C" w:rsidR="0004022E" w:rsidRPr="009A7163" w:rsidRDefault="0004022E" w:rsidP="008C041F">
      <w:pPr>
        <w:spacing w:line="360" w:lineRule="auto"/>
        <w:ind w:firstLine="720"/>
        <w:jc w:val="both"/>
        <w:rPr>
          <w:rFonts w:eastAsia="MS Mincho"/>
          <w:bCs/>
          <w:iCs/>
        </w:rPr>
      </w:pPr>
      <w:r w:rsidRPr="009A7163">
        <w:rPr>
          <w:rFonts w:eastAsia="MS Mincho"/>
          <w:bCs/>
          <w:iCs/>
        </w:rPr>
        <w:t>The effort and physical force related to unpaid work was another element that the women mentioned. Women perceived their work as less and viewed themselves as not having a paid job because their work does not require as much physical strength as men’s work</w:t>
      </w:r>
      <w:r w:rsidR="00AD31FD" w:rsidRPr="009A7163">
        <w:rPr>
          <w:rFonts w:eastAsia="MS Mincho"/>
          <w:bCs/>
          <w:iCs/>
        </w:rPr>
        <w:t>,</w:t>
      </w:r>
      <w:r w:rsidRPr="009A7163">
        <w:rPr>
          <w:rFonts w:eastAsia="MS Mincho"/>
          <w:bCs/>
          <w:iCs/>
        </w:rPr>
        <w:t xml:space="preserve"> even though it entails constant daily effort. This is what the women said:</w:t>
      </w:r>
    </w:p>
    <w:p w14:paraId="0A143A6C" w14:textId="3647E9CE" w:rsidR="0004022E" w:rsidRPr="009A7163" w:rsidRDefault="0004022E">
      <w:pPr>
        <w:spacing w:after="180"/>
        <w:ind w:left="720"/>
        <w:jc w:val="both"/>
        <w:rPr>
          <w:rFonts w:eastAsia="MS Mincho"/>
          <w:bCs/>
          <w:iCs/>
        </w:rPr>
      </w:pPr>
      <w:r w:rsidRPr="009A7163">
        <w:rPr>
          <w:rFonts w:eastAsia="MS Mincho"/>
          <w:bCs/>
          <w:iCs/>
        </w:rPr>
        <w:t>Maybe it's not a hard job, but we work all day. If we do not have firewood, we have to go and collect it and then prepare dinner</w:t>
      </w:r>
      <w:r w:rsidR="00FE5EB3" w:rsidRPr="009A7163">
        <w:rPr>
          <w:rFonts w:eastAsia="MS Mincho"/>
          <w:bCs/>
          <w:iCs/>
        </w:rPr>
        <w:t>…</w:t>
      </w:r>
      <w:r w:rsidRPr="009A7163">
        <w:rPr>
          <w:rFonts w:eastAsia="MS Mincho"/>
          <w:bCs/>
          <w:iCs/>
        </w:rPr>
        <w:t>By the time we go to sleep, we are tired. (Focus Group Women, Achuapa, February 6, 2015)</w:t>
      </w:r>
    </w:p>
    <w:p w14:paraId="4511F2FD" w14:textId="012A462D" w:rsidR="0004022E" w:rsidRPr="009A7163" w:rsidRDefault="0004022E">
      <w:pPr>
        <w:spacing w:after="180"/>
        <w:ind w:left="720"/>
        <w:jc w:val="both"/>
        <w:rPr>
          <w:rFonts w:eastAsia="MS Mincho"/>
          <w:bCs/>
          <w:iCs/>
        </w:rPr>
      </w:pPr>
      <w:r w:rsidRPr="009A7163">
        <w:rPr>
          <w:rFonts w:eastAsia="MS Mincho"/>
          <w:bCs/>
          <w:iCs/>
        </w:rPr>
        <w:t xml:space="preserve">Perhaps, it is </w:t>
      </w:r>
      <w:r w:rsidR="00AD31FD" w:rsidRPr="009A7163">
        <w:rPr>
          <w:rFonts w:eastAsia="MS Mincho"/>
          <w:bCs/>
          <w:iCs/>
        </w:rPr>
        <w:t xml:space="preserve">the family </w:t>
      </w:r>
      <w:r w:rsidRPr="009A7163">
        <w:rPr>
          <w:rFonts w:eastAsia="MS Mincho"/>
          <w:bCs/>
          <w:iCs/>
        </w:rPr>
        <w:t xml:space="preserve">work that </w:t>
      </w:r>
      <w:r w:rsidR="00AD31FD" w:rsidRPr="009A7163">
        <w:rPr>
          <w:rFonts w:eastAsia="MS Mincho"/>
          <w:bCs/>
          <w:iCs/>
        </w:rPr>
        <w:t>we do</w:t>
      </w:r>
      <w:r w:rsidRPr="009A7163">
        <w:rPr>
          <w:rFonts w:eastAsia="MS Mincho"/>
          <w:bCs/>
          <w:iCs/>
        </w:rPr>
        <w:t>, maybe the men do the harder work</w:t>
      </w:r>
      <w:r w:rsidR="00AD31FD" w:rsidRPr="009A7163">
        <w:rPr>
          <w:rFonts w:eastAsia="MS Mincho"/>
          <w:bCs/>
          <w:iCs/>
        </w:rPr>
        <w:t>,</w:t>
      </w:r>
      <w:r w:rsidRPr="009A7163">
        <w:rPr>
          <w:rFonts w:eastAsia="MS Mincho"/>
          <w:bCs/>
          <w:iCs/>
        </w:rPr>
        <w:t xml:space="preserve"> but we are always working, from the time we get up until we go to bed, and it takes a lot of effort. (Focus Group Women, Achuapa, February 6, 2015)</w:t>
      </w:r>
    </w:p>
    <w:p w14:paraId="5CA39EC3" w14:textId="2AB6D7CC" w:rsidR="0004022E" w:rsidRPr="009A7163" w:rsidRDefault="0004022E">
      <w:pPr>
        <w:spacing w:line="360" w:lineRule="auto"/>
        <w:ind w:firstLine="720"/>
        <w:jc w:val="both"/>
        <w:rPr>
          <w:rFonts w:eastAsia="MS Mincho"/>
          <w:bCs/>
          <w:iCs/>
        </w:rPr>
      </w:pPr>
      <w:r w:rsidRPr="009A7163">
        <w:rPr>
          <w:rFonts w:eastAsia="MS Mincho"/>
          <w:bCs/>
          <w:iCs/>
        </w:rPr>
        <w:t xml:space="preserve">One common category that </w:t>
      </w:r>
      <w:r w:rsidR="00AD31FD" w:rsidRPr="009A7163">
        <w:rPr>
          <w:rFonts w:eastAsia="MS Mincho"/>
          <w:bCs/>
          <w:iCs/>
        </w:rPr>
        <w:t xml:space="preserve">was </w:t>
      </w:r>
      <w:r w:rsidRPr="009A7163">
        <w:rPr>
          <w:rFonts w:eastAsia="MS Mincho"/>
          <w:bCs/>
          <w:iCs/>
        </w:rPr>
        <w:t xml:space="preserve">repeatedly mentioned when participants were asked to define ‘work’ was the fact that it is work that it is not paid for. One female coffee farmer </w:t>
      </w:r>
      <w:r w:rsidR="00AD31FD" w:rsidRPr="009A7163">
        <w:rPr>
          <w:rFonts w:eastAsia="MS Mincho"/>
          <w:bCs/>
          <w:iCs/>
        </w:rPr>
        <w:t xml:space="preserve">explains what </w:t>
      </w:r>
      <w:r w:rsidRPr="009A7163">
        <w:rPr>
          <w:rFonts w:eastAsia="MS Mincho"/>
          <w:bCs/>
          <w:iCs/>
        </w:rPr>
        <w:t>it means to work and not be paid for it. Some of the experts stated:</w:t>
      </w:r>
    </w:p>
    <w:p w14:paraId="0C0E8A4A" w14:textId="77777777" w:rsidR="0004022E" w:rsidRPr="009A7163" w:rsidRDefault="0004022E">
      <w:pPr>
        <w:spacing w:after="180"/>
        <w:ind w:left="720"/>
        <w:jc w:val="both"/>
        <w:rPr>
          <w:rFonts w:eastAsia="MS Mincho"/>
          <w:bCs/>
          <w:iCs/>
        </w:rPr>
      </w:pPr>
      <w:r w:rsidRPr="009A7163">
        <w:rPr>
          <w:rFonts w:eastAsia="MS Mincho"/>
          <w:bCs/>
          <w:iCs/>
        </w:rPr>
        <w:t>All the work that is done, to satisfy vital needs and that nobody pays for, work which does not have an economic remuneration, neither in money, or in exchange for something. For example, "In exchange for your work I will give you a sack of corn”. Unpaid work is everything that is done because it needs to be done, because if no one did it, no one could live, and no one would receive economic recognition. (Geni Gomez, Feminist Activist and Educator, March 19, 2016)</w:t>
      </w:r>
    </w:p>
    <w:p w14:paraId="24DBFE7E" w14:textId="77777777" w:rsidR="0004022E" w:rsidRPr="009A7163" w:rsidRDefault="0004022E">
      <w:pPr>
        <w:spacing w:after="180"/>
        <w:ind w:left="720"/>
        <w:jc w:val="both"/>
        <w:rPr>
          <w:rFonts w:eastAsia="MS Mincho"/>
          <w:bCs/>
          <w:iCs/>
        </w:rPr>
      </w:pPr>
      <w:r w:rsidRPr="009A7163">
        <w:rPr>
          <w:rFonts w:eastAsia="MS Mincho"/>
          <w:bCs/>
          <w:iCs/>
        </w:rPr>
        <w:t>Unpaid work is all those activities that contribute to quality of life, to the development of people and that do not involve remuneration or a payment. (Ana Victoria Portocarrero,</w:t>
      </w:r>
      <w:r w:rsidRPr="009A7163">
        <w:t xml:space="preserve"> </w:t>
      </w:r>
      <w:r w:rsidRPr="009A7163">
        <w:rPr>
          <w:rFonts w:eastAsia="MS Mincho"/>
          <w:bCs/>
          <w:iCs/>
        </w:rPr>
        <w:t>Academic Coordinator, Master’s Gender Program, Universidad de Centroamérica, March 14, 2016)</w:t>
      </w:r>
    </w:p>
    <w:p w14:paraId="26BEF7CC" w14:textId="6994242D" w:rsidR="0004022E" w:rsidRPr="009A7163" w:rsidRDefault="00AD31FD">
      <w:pPr>
        <w:spacing w:line="360" w:lineRule="auto"/>
        <w:jc w:val="both"/>
        <w:rPr>
          <w:rFonts w:eastAsia="MS Mincho"/>
          <w:bCs/>
          <w:iCs/>
        </w:rPr>
      </w:pPr>
      <w:r w:rsidRPr="009A7163">
        <w:rPr>
          <w:rFonts w:eastAsia="MS Mincho"/>
          <w:bCs/>
          <w:iCs/>
        </w:rPr>
        <w:t>T</w:t>
      </w:r>
      <w:r w:rsidR="00AD5FF3" w:rsidRPr="009A7163">
        <w:rPr>
          <w:rFonts w:eastAsia="MS Mincho"/>
          <w:bCs/>
          <w:iCs/>
        </w:rPr>
        <w:t>hese last two experts reference unpaid work in general terms and how it broadly sustains life. It is</w:t>
      </w:r>
      <w:r w:rsidRPr="009A7163">
        <w:rPr>
          <w:rFonts w:eastAsia="MS Mincho"/>
          <w:bCs/>
          <w:iCs/>
        </w:rPr>
        <w:t>,</w:t>
      </w:r>
      <w:r w:rsidR="00AD5FF3" w:rsidRPr="009A7163">
        <w:rPr>
          <w:rFonts w:eastAsia="MS Mincho"/>
          <w:bCs/>
          <w:iCs/>
        </w:rPr>
        <w:t xml:space="preserve"> however</w:t>
      </w:r>
      <w:r w:rsidRPr="009A7163">
        <w:rPr>
          <w:rFonts w:eastAsia="MS Mincho"/>
          <w:bCs/>
          <w:iCs/>
        </w:rPr>
        <w:t>,</w:t>
      </w:r>
      <w:r w:rsidR="00AD5FF3" w:rsidRPr="009A7163">
        <w:rPr>
          <w:rFonts w:eastAsia="MS Mincho"/>
          <w:bCs/>
          <w:iCs/>
        </w:rPr>
        <w:t xml:space="preserve"> perhaps useful to look in detail at the different areas of unpaid </w:t>
      </w:r>
      <w:r w:rsidRPr="009A7163">
        <w:rPr>
          <w:rFonts w:eastAsia="MS Mincho"/>
          <w:bCs/>
          <w:iCs/>
        </w:rPr>
        <w:t xml:space="preserve">work </w:t>
      </w:r>
      <w:r w:rsidR="00AD5FF3" w:rsidRPr="009A7163">
        <w:rPr>
          <w:rFonts w:eastAsia="MS Mincho"/>
          <w:bCs/>
          <w:iCs/>
        </w:rPr>
        <w:t xml:space="preserve">in order to visbilize and calculate the true costs to the women and the economy. Waring (2008) </w:t>
      </w:r>
      <w:r w:rsidRPr="009A7163">
        <w:rPr>
          <w:rFonts w:eastAsia="MS Mincho"/>
          <w:bCs/>
          <w:iCs/>
        </w:rPr>
        <w:t xml:space="preserve">explains </w:t>
      </w:r>
      <w:r w:rsidR="00AD5FF3" w:rsidRPr="009A7163">
        <w:rPr>
          <w:rFonts w:eastAsia="MS Mincho"/>
          <w:bCs/>
          <w:iCs/>
        </w:rPr>
        <w:t xml:space="preserve">that ‘unpaid work is the predominant form of labour in four sectors: subsistence production; the household economy, which includes unpaid </w:t>
      </w:r>
      <w:r w:rsidR="00AD5FF3" w:rsidRPr="009A7163">
        <w:rPr>
          <w:rFonts w:eastAsia="MS Mincho"/>
          <w:bCs/>
          <w:iCs/>
        </w:rPr>
        <w:lastRenderedPageBreak/>
        <w:t>productive, reproductive, and service work; the informal sector; and voluntary and community work’</w:t>
      </w:r>
      <w:r w:rsidRPr="009A7163">
        <w:rPr>
          <w:rFonts w:eastAsia="MS Mincho"/>
          <w:bCs/>
          <w:iCs/>
        </w:rPr>
        <w:t xml:space="preserve"> (p. 225)</w:t>
      </w:r>
      <w:r w:rsidR="00AD5FF3" w:rsidRPr="009A7163">
        <w:rPr>
          <w:rFonts w:eastAsia="MS Mincho"/>
          <w:bCs/>
          <w:iCs/>
        </w:rPr>
        <w:t>. It is these different areas that make up the double</w:t>
      </w:r>
      <w:r w:rsidRPr="009A7163">
        <w:rPr>
          <w:rFonts w:eastAsia="MS Mincho"/>
          <w:bCs/>
          <w:iCs/>
        </w:rPr>
        <w:t xml:space="preserve"> or </w:t>
      </w:r>
      <w:r w:rsidR="00AD5FF3" w:rsidRPr="009A7163">
        <w:rPr>
          <w:rFonts w:eastAsia="MS Mincho"/>
          <w:bCs/>
          <w:iCs/>
        </w:rPr>
        <w:t xml:space="preserve">triple burden for women. The </w:t>
      </w:r>
      <w:r w:rsidR="0004022E" w:rsidRPr="009A7163">
        <w:rPr>
          <w:rFonts w:eastAsia="MS Mincho"/>
          <w:bCs/>
          <w:iCs/>
        </w:rPr>
        <w:t>physical toil and burden on women’s bod</w:t>
      </w:r>
      <w:r w:rsidRPr="009A7163">
        <w:rPr>
          <w:rFonts w:eastAsia="MS Mincho"/>
          <w:bCs/>
          <w:iCs/>
        </w:rPr>
        <w:t>ies</w:t>
      </w:r>
      <w:r w:rsidR="0004022E" w:rsidRPr="009A7163">
        <w:rPr>
          <w:rFonts w:eastAsia="MS Mincho"/>
          <w:bCs/>
          <w:iCs/>
        </w:rPr>
        <w:t xml:space="preserve"> a</w:t>
      </w:r>
      <w:r w:rsidR="00AD5FF3" w:rsidRPr="009A7163">
        <w:rPr>
          <w:rFonts w:eastAsia="MS Mincho"/>
          <w:bCs/>
          <w:iCs/>
        </w:rPr>
        <w:t>s well as the</w:t>
      </w:r>
      <w:r w:rsidR="0004022E" w:rsidRPr="009A7163">
        <w:rPr>
          <w:rFonts w:eastAsia="MS Mincho"/>
          <w:bCs/>
          <w:iCs/>
        </w:rPr>
        <w:t xml:space="preserve"> fourth shift (see Castell, 2000) </w:t>
      </w:r>
      <w:r w:rsidR="00AD5FF3" w:rsidRPr="009A7163">
        <w:rPr>
          <w:rFonts w:eastAsia="MS Mincho"/>
          <w:bCs/>
          <w:iCs/>
        </w:rPr>
        <w:t xml:space="preserve">were </w:t>
      </w:r>
      <w:r w:rsidR="0004022E" w:rsidRPr="009A7163">
        <w:rPr>
          <w:rFonts w:eastAsia="MS Mincho"/>
          <w:bCs/>
          <w:iCs/>
        </w:rPr>
        <w:t>mentioned</w:t>
      </w:r>
      <w:r w:rsidR="00AD5FF3" w:rsidRPr="009A7163">
        <w:rPr>
          <w:rFonts w:eastAsia="MS Mincho"/>
          <w:bCs/>
          <w:iCs/>
        </w:rPr>
        <w:t xml:space="preserve"> by the interviewees when they spoke about their time </w:t>
      </w:r>
      <w:r w:rsidR="00CA5337" w:rsidRPr="009A7163">
        <w:rPr>
          <w:rFonts w:eastAsia="MS Mincho"/>
          <w:bCs/>
          <w:iCs/>
        </w:rPr>
        <w:t>use.</w:t>
      </w:r>
      <w:r w:rsidR="0004022E" w:rsidRPr="009A7163">
        <w:rPr>
          <w:rFonts w:eastAsia="MS Mincho"/>
          <w:bCs/>
          <w:iCs/>
        </w:rPr>
        <w:t xml:space="preserve"> </w:t>
      </w:r>
      <w:r w:rsidR="00AD5FF3" w:rsidRPr="009A7163">
        <w:rPr>
          <w:rFonts w:eastAsia="MS Mincho"/>
          <w:bCs/>
          <w:iCs/>
        </w:rPr>
        <w:t xml:space="preserve">The physical demands of these different types of unpaid work and the effects on the body may well be just as </w:t>
      </w:r>
      <w:r w:rsidR="005E7300" w:rsidRPr="009A7163">
        <w:rPr>
          <w:rFonts w:eastAsia="MS Mincho"/>
          <w:bCs/>
          <w:iCs/>
        </w:rPr>
        <w:t>an</w:t>
      </w:r>
      <w:r w:rsidR="00AD5FF3" w:rsidRPr="009A7163">
        <w:rPr>
          <w:rFonts w:eastAsia="MS Mincho"/>
          <w:bCs/>
          <w:iCs/>
        </w:rPr>
        <w:t xml:space="preserve"> urgent task as that of calculating the time spent on certain activities. </w:t>
      </w:r>
    </w:p>
    <w:p w14:paraId="073526A7" w14:textId="733CC942" w:rsidR="0004022E" w:rsidRPr="009A7163" w:rsidRDefault="0004022E">
      <w:pPr>
        <w:spacing w:after="240" w:line="360" w:lineRule="auto"/>
        <w:ind w:firstLine="720"/>
        <w:jc w:val="both"/>
        <w:rPr>
          <w:rFonts w:eastAsia="MS Mincho"/>
          <w:lang w:eastAsia="en-GB"/>
        </w:rPr>
      </w:pPr>
      <w:r w:rsidRPr="009A7163">
        <w:rPr>
          <w:rFonts w:eastAsia="MS Mincho"/>
          <w:lang w:eastAsia="en-GB"/>
        </w:rPr>
        <w:t xml:space="preserve">The common themes between the literature and the findings is how women’s bodies and their time are marked by competing powers </w:t>
      </w:r>
      <w:r w:rsidR="00AD31FD" w:rsidRPr="009A7163">
        <w:rPr>
          <w:rFonts w:eastAsia="MS Mincho"/>
          <w:lang w:eastAsia="en-GB"/>
        </w:rPr>
        <w:t>that</w:t>
      </w:r>
      <w:r w:rsidRPr="009A7163">
        <w:rPr>
          <w:rFonts w:eastAsia="MS Mincho"/>
          <w:lang w:eastAsia="en-GB"/>
        </w:rPr>
        <w:t xml:space="preserve"> limit access to symbolic and material resources and which ultimately takes a toll on their bodies and choices.</w:t>
      </w:r>
    </w:p>
    <w:p w14:paraId="1D188A78" w14:textId="77777777" w:rsidR="0004022E" w:rsidRPr="009A7163" w:rsidRDefault="0004022E" w:rsidP="00293176">
      <w:pPr>
        <w:pStyle w:val="Heading3"/>
        <w:rPr>
          <w:rFonts w:eastAsia="MS Mincho"/>
        </w:rPr>
      </w:pPr>
      <w:bookmarkStart w:id="104" w:name="_Toc526819321"/>
      <w:r w:rsidRPr="009A7163">
        <w:rPr>
          <w:rFonts w:eastAsia="MS Mincho"/>
        </w:rPr>
        <w:t>5.2.2  Unpaid Work and Male Oppression: ‘Rojo y Negro’ (Red and Black Work)</w:t>
      </w:r>
      <w:bookmarkEnd w:id="104"/>
    </w:p>
    <w:p w14:paraId="5184E11A" w14:textId="247A50B6" w:rsidR="0004022E" w:rsidRPr="009A7163" w:rsidRDefault="0004022E" w:rsidP="008C041F">
      <w:pPr>
        <w:spacing w:line="360" w:lineRule="auto"/>
        <w:contextualSpacing/>
        <w:jc w:val="both"/>
        <w:rPr>
          <w:rFonts w:eastAsia="MS Mincho"/>
        </w:rPr>
      </w:pPr>
      <w:r w:rsidRPr="009A7163">
        <w:rPr>
          <w:rFonts w:eastAsia="MS Mincho"/>
          <w:b/>
        </w:rPr>
        <w:tab/>
      </w:r>
      <w:r w:rsidRPr="009A7163">
        <w:rPr>
          <w:rFonts w:eastAsia="MS Mincho"/>
        </w:rPr>
        <w:t xml:space="preserve">A common agreement between those who were interviewed (experts and producers) was that unpaid work is work that is undertaken or performed without any monetary recognition and in general it corresponds to </w:t>
      </w:r>
      <w:r w:rsidR="003A2C87" w:rsidRPr="009A7163">
        <w:rPr>
          <w:rFonts w:eastAsia="MS Mincho"/>
        </w:rPr>
        <w:t>UCW</w:t>
      </w:r>
      <w:r w:rsidRPr="009A7163">
        <w:rPr>
          <w:rFonts w:eastAsia="MS Mincho"/>
        </w:rPr>
        <w:t>, which sustains life. It is important to note – as fieldwork results have highlighted – that in the rural, productive area, this division becomes less clear</w:t>
      </w:r>
      <w:r w:rsidR="00AD31FD" w:rsidRPr="009A7163">
        <w:rPr>
          <w:rFonts w:eastAsia="MS Mincho"/>
        </w:rPr>
        <w:t xml:space="preserve"> because</w:t>
      </w:r>
      <w:r w:rsidRPr="009A7163">
        <w:rPr>
          <w:rFonts w:eastAsia="MS Mincho"/>
        </w:rPr>
        <w:t xml:space="preserve"> there are ‘productive’ activities that are not remunerated. Furthermore, one finding shows that there is an undervaluation of labour in the rural areas in general.</w:t>
      </w:r>
      <w:r w:rsidRPr="009A7163">
        <w:rPr>
          <w:rFonts w:eastAsia="MS Mincho"/>
          <w:vertAlign w:val="superscript"/>
        </w:rPr>
        <w:footnoteReference w:id="91"/>
      </w:r>
      <w:r w:rsidRPr="009A7163">
        <w:rPr>
          <w:rFonts w:eastAsia="MS Mincho"/>
        </w:rPr>
        <w:t xml:space="preserve">  The men stated that they do not feel that their work is recognised, neither symbolically nor economically. Sometimes the discussion about the value of women's work in the focus groups with men led to conversations about the general devaluation of work and the conditions of exploitation of farmers. As one farmer explained, he does unpaid agricultural work related to sesame that is not recognised</w:t>
      </w:r>
      <w:r w:rsidR="00AD31FD" w:rsidRPr="009A7163">
        <w:rPr>
          <w:rFonts w:eastAsia="MS Mincho"/>
        </w:rPr>
        <w:t xml:space="preserve"> or </w:t>
      </w:r>
      <w:r w:rsidRPr="009A7163">
        <w:rPr>
          <w:rFonts w:eastAsia="MS Mincho"/>
        </w:rPr>
        <w:t xml:space="preserve">remunerated: </w:t>
      </w:r>
    </w:p>
    <w:p w14:paraId="71BC9588" w14:textId="2A3C90B1" w:rsidR="0004022E" w:rsidRPr="009A7163" w:rsidRDefault="0004022E" w:rsidP="008C041F">
      <w:pPr>
        <w:spacing w:after="180"/>
        <w:ind w:left="720"/>
        <w:jc w:val="both"/>
      </w:pPr>
      <w:r w:rsidRPr="009A7163">
        <w:t>Red and black [voluntary work] is not paid and this is the same with our crops when our work isn’t paid. At least, however, when we go to work with our crops, we are not hoping for a salary because nobody is going to pay us. We go to work voluntarily in order to see the results later on.</w:t>
      </w:r>
      <w:r w:rsidR="00AD31FD" w:rsidRPr="009A7163">
        <w:rPr>
          <w:vertAlign w:val="superscript"/>
        </w:rPr>
        <w:footnoteReference w:id="92"/>
      </w:r>
      <w:r w:rsidR="00AD31FD" w:rsidRPr="009A7163">
        <w:t xml:space="preserve"> </w:t>
      </w:r>
      <w:r w:rsidRPr="009A7163">
        <w:t xml:space="preserve">(Focus </w:t>
      </w:r>
      <w:r w:rsidR="00AD31FD" w:rsidRPr="009A7163">
        <w:t>G</w:t>
      </w:r>
      <w:r w:rsidRPr="009A7163">
        <w:t>roup, La Reina-San Ramón, March 19, 2015)</w:t>
      </w:r>
    </w:p>
    <w:p w14:paraId="6AC1829B" w14:textId="568BE402" w:rsidR="0004022E" w:rsidRPr="009A7163" w:rsidRDefault="0004022E">
      <w:pPr>
        <w:spacing w:line="360" w:lineRule="auto"/>
        <w:jc w:val="both"/>
        <w:rPr>
          <w:rFonts w:eastAsia="MS Mincho"/>
          <w:bCs/>
          <w:iCs/>
        </w:rPr>
      </w:pPr>
      <w:r w:rsidRPr="009A7163">
        <w:rPr>
          <w:rFonts w:eastAsia="MS Mincho"/>
        </w:rPr>
        <w:lastRenderedPageBreak/>
        <w:t xml:space="preserve">The reference to red and black work alludes to Sandinista Revolution (1979–1990) and the voluntary work that all were expected to do for the cause. The people wore red and black and went out to undertake different unpaid tasks. Another man from the same focus group mentioned volunteer work and another about the unpaid work of the community leader. </w:t>
      </w:r>
      <w:r w:rsidRPr="009A7163">
        <w:rPr>
          <w:rFonts w:eastAsia="MS Mincho"/>
          <w:bCs/>
          <w:iCs/>
        </w:rPr>
        <w:t>In a later publication, Butler et al. (2016) define unpaid work to not only include household maintenance (e.g., doing laundry, cooking food</w:t>
      </w:r>
      <w:r w:rsidR="00AD31FD" w:rsidRPr="009A7163">
        <w:rPr>
          <w:rFonts w:eastAsia="MS Mincho"/>
          <w:bCs/>
          <w:iCs/>
        </w:rPr>
        <w:t xml:space="preserve"> or</w:t>
      </w:r>
      <w:r w:rsidRPr="009A7163">
        <w:rPr>
          <w:rFonts w:eastAsia="MS Mincho"/>
          <w:bCs/>
          <w:iCs/>
        </w:rPr>
        <w:t xml:space="preserve"> care of children) and small-scale production (e.g., rearing of small animals</w:t>
      </w:r>
      <w:r w:rsidR="00AD31FD" w:rsidRPr="009A7163">
        <w:rPr>
          <w:rFonts w:eastAsia="MS Mincho"/>
          <w:bCs/>
          <w:iCs/>
        </w:rPr>
        <w:t xml:space="preserve"> or</w:t>
      </w:r>
      <w:r w:rsidRPr="009A7163">
        <w:rPr>
          <w:rFonts w:eastAsia="MS Mincho"/>
          <w:bCs/>
          <w:iCs/>
        </w:rPr>
        <w:t xml:space="preserve"> making cheese), but also cultural and solidarity work (e.g., meetings of women</w:t>
      </w:r>
      <w:r w:rsidR="00AD31FD" w:rsidRPr="009A7163">
        <w:rPr>
          <w:rFonts w:eastAsia="MS Mincho"/>
          <w:bCs/>
          <w:iCs/>
        </w:rPr>
        <w:t xml:space="preserve"> or</w:t>
      </w:r>
      <w:r w:rsidRPr="009A7163">
        <w:rPr>
          <w:rFonts w:eastAsia="MS Mincho"/>
          <w:bCs/>
          <w:iCs/>
        </w:rPr>
        <w:t xml:space="preserve"> pre-school education)</w:t>
      </w:r>
      <w:r w:rsidRPr="009A7163">
        <w:rPr>
          <w:rFonts w:eastAsia="MS Mincho"/>
          <w:bCs/>
          <w:i/>
          <w:iCs/>
        </w:rPr>
        <w:t>.</w:t>
      </w:r>
      <w:r w:rsidRPr="009A7163">
        <w:rPr>
          <w:rFonts w:eastAsia="MS Mincho"/>
          <w:bCs/>
          <w:iCs/>
        </w:rPr>
        <w:t xml:space="preserve"> This third element – cultural and solidarity work – is not commonly included in definitions of unpaid work. In this definition, the categories of cultural and solidarity work would include the work that the men mentioned that they do. Much of the literature on unpaid work includes the silent assumption that this is work done by women. The data shows that men also see their work as unpaid.</w:t>
      </w:r>
    </w:p>
    <w:p w14:paraId="1CBC6C6C" w14:textId="77777777" w:rsidR="0004022E" w:rsidRPr="009A7163" w:rsidRDefault="0004022E">
      <w:pPr>
        <w:spacing w:line="360" w:lineRule="auto"/>
        <w:jc w:val="both"/>
        <w:rPr>
          <w:rFonts w:eastAsia="MS Mincho"/>
          <w:bCs/>
          <w:iCs/>
        </w:rPr>
      </w:pPr>
      <w:r w:rsidRPr="009A7163">
        <w:rPr>
          <w:rFonts w:eastAsia="MS Mincho"/>
        </w:rPr>
        <w:tab/>
        <w:t xml:space="preserve">The Academic Coordinator for the Master’s Gender Program at the Universidad Centroamericana in Managua, Ana Victoria Portocarrero, </w:t>
      </w:r>
      <w:r w:rsidRPr="009A7163">
        <w:rPr>
          <w:rFonts w:eastAsia="MS Mincho"/>
          <w:bCs/>
          <w:iCs/>
        </w:rPr>
        <w:t xml:space="preserve">defined unpaid work by putting gender at the centre of its definition. This departs from the literature that does not specifically name unpaid work as gender specific. She stated: </w:t>
      </w:r>
    </w:p>
    <w:p w14:paraId="0398253C" w14:textId="77777777" w:rsidR="0004022E" w:rsidRPr="009A7163" w:rsidRDefault="0004022E">
      <w:pPr>
        <w:spacing w:after="180"/>
        <w:ind w:left="720"/>
        <w:jc w:val="both"/>
      </w:pPr>
      <w:r w:rsidRPr="009A7163">
        <w:rPr>
          <w:rFonts w:eastAsia="MS Mincho"/>
          <w:bCs/>
          <w:iCs/>
        </w:rPr>
        <w:t>Unpaid work, is, let's say, is part of the backbone of the entire gender system: sex, gender and the distribution of activities by sex</w:t>
      </w:r>
      <w:r w:rsidRPr="009A7163">
        <w:t xml:space="preserve">. (Expert Interview, March 14, 2016) </w:t>
      </w:r>
    </w:p>
    <w:p w14:paraId="7ED91289" w14:textId="39726174" w:rsidR="0004022E" w:rsidRPr="009A7163" w:rsidRDefault="0004022E">
      <w:pPr>
        <w:spacing w:after="240" w:line="360" w:lineRule="auto"/>
        <w:jc w:val="both"/>
        <w:rPr>
          <w:rFonts w:eastAsia="MS Mincho"/>
          <w:bCs/>
          <w:iCs/>
        </w:rPr>
      </w:pPr>
      <w:r w:rsidRPr="009A7163">
        <w:t xml:space="preserve">Rather than analysing unpaid work in purely economic terms, Portocarrero chooses to talk about unpaid work as outside of the economy and as an issue </w:t>
      </w:r>
      <w:r w:rsidR="001E55F2" w:rsidRPr="009A7163">
        <w:t>that</w:t>
      </w:r>
      <w:r w:rsidRPr="009A7163">
        <w:t xml:space="preserve"> is at the very core of gender</w:t>
      </w:r>
      <w:r w:rsidR="001E55F2" w:rsidRPr="009A7163">
        <w:t>,</w:t>
      </w:r>
      <w:r w:rsidRPr="009A7163">
        <w:t xml:space="preserve"> which was mentioned in </w:t>
      </w:r>
      <w:r w:rsidR="00B44AC2" w:rsidRPr="009A7163">
        <w:t>Chapter One</w:t>
      </w:r>
      <w:r w:rsidR="001E55F2" w:rsidRPr="009A7163">
        <w:t xml:space="preserve">, more speficially that </w:t>
      </w:r>
      <w:r w:rsidRPr="009A7163">
        <w:t>highly</w:t>
      </w:r>
      <w:r w:rsidR="001E55F2" w:rsidRPr="009A7163">
        <w:t xml:space="preserve"> the</w:t>
      </w:r>
      <w:r w:rsidRPr="009A7163">
        <w:t xml:space="preserve"> unequal distribution of unpaid work is at the root of power relations between men and women. </w:t>
      </w:r>
    </w:p>
    <w:p w14:paraId="68A90442" w14:textId="77777777" w:rsidR="0004022E" w:rsidRPr="009A7163" w:rsidRDefault="0004022E" w:rsidP="00293176">
      <w:pPr>
        <w:pStyle w:val="Heading3"/>
        <w:rPr>
          <w:rFonts w:eastAsia="MS Mincho"/>
          <w:bCs/>
          <w:iCs/>
        </w:rPr>
      </w:pPr>
      <w:bookmarkStart w:id="105" w:name="_Toc526819322"/>
      <w:r w:rsidRPr="009A7163">
        <w:rPr>
          <w:rFonts w:eastAsia="MS Mincho"/>
        </w:rPr>
        <w:t>5.2.3  Definition Moving towards a People-Centred Economy</w:t>
      </w:r>
      <w:bookmarkEnd w:id="105"/>
    </w:p>
    <w:p w14:paraId="371546CC" w14:textId="37068784" w:rsidR="0004022E" w:rsidRPr="009A7163" w:rsidRDefault="0004022E" w:rsidP="008C041F">
      <w:pPr>
        <w:spacing w:line="360" w:lineRule="auto"/>
        <w:ind w:firstLine="720"/>
        <w:jc w:val="both"/>
        <w:rPr>
          <w:rFonts w:eastAsia="MS Mincho"/>
        </w:rPr>
      </w:pPr>
      <w:r w:rsidRPr="009A7163">
        <w:rPr>
          <w:rFonts w:eastAsia="MS Mincho"/>
        </w:rPr>
        <w:t xml:space="preserve">An economy is not just about production, </w:t>
      </w:r>
      <w:r w:rsidRPr="009A7163">
        <w:rPr>
          <w:rFonts w:eastAsia="MS Mincho"/>
          <w:szCs w:val="20"/>
        </w:rPr>
        <w:t>as Patricia Orozco, prominent Nicaraguan</w:t>
      </w:r>
      <w:r w:rsidRPr="009A7163">
        <w:rPr>
          <w:rFonts w:eastAsia="MS Mincho"/>
        </w:rPr>
        <w:t xml:space="preserve"> feminist and human rights defender, argued, further stating that unpaid work is not just about what it is not as in unpaid and rather about positive values (e.g., it is work that is </w:t>
      </w:r>
      <w:r w:rsidRPr="009A7163">
        <w:rPr>
          <w:rFonts w:eastAsia="MS Mincho"/>
          <w:iCs/>
        </w:rPr>
        <w:t>not</w:t>
      </w:r>
      <w:r w:rsidRPr="009A7163">
        <w:rPr>
          <w:rFonts w:eastAsia="MS Mincho"/>
          <w:i/>
          <w:iCs/>
        </w:rPr>
        <w:t xml:space="preserve"> </w:t>
      </w:r>
      <w:r w:rsidRPr="009A7163">
        <w:rPr>
          <w:rFonts w:eastAsia="MS Mincho"/>
        </w:rPr>
        <w:t xml:space="preserve">remunerated or paid for </w:t>
      </w:r>
      <w:r w:rsidRPr="009A7163">
        <w:rPr>
          <w:rFonts w:eastAsia="MS Mincho"/>
          <w:i/>
          <w:iCs/>
        </w:rPr>
        <w:t xml:space="preserve">– </w:t>
      </w:r>
      <w:r w:rsidRPr="009A7163">
        <w:rPr>
          <w:rFonts w:eastAsia="MS Mincho"/>
        </w:rPr>
        <w:t xml:space="preserve">as opposed to the more positive definition of reproductive work, in which this work was defined based on the </w:t>
      </w:r>
      <w:r w:rsidRPr="009A7163">
        <w:rPr>
          <w:rFonts w:eastAsia="MS Mincho"/>
          <w:iCs/>
        </w:rPr>
        <w:t xml:space="preserve">function </w:t>
      </w:r>
      <w:r w:rsidRPr="009A7163">
        <w:rPr>
          <w:rFonts w:eastAsia="MS Mincho"/>
        </w:rPr>
        <w:t>it serves to the economic system as a whole). Unpaid work is also about positive values</w:t>
      </w:r>
      <w:r w:rsidR="001E55F2" w:rsidRPr="009A7163">
        <w:rPr>
          <w:rFonts w:eastAsia="MS Mincho"/>
        </w:rPr>
        <w:t>,</w:t>
      </w:r>
      <w:r w:rsidRPr="009A7163">
        <w:rPr>
          <w:rFonts w:eastAsia="MS Mincho"/>
        </w:rPr>
        <w:t xml:space="preserve"> such as love, according to Patricia Orozco:</w:t>
      </w:r>
    </w:p>
    <w:p w14:paraId="4649CC63" w14:textId="41EEFAC0" w:rsidR="0004022E" w:rsidRPr="009A7163" w:rsidRDefault="0004022E">
      <w:pPr>
        <w:spacing w:after="180"/>
        <w:ind w:left="720"/>
        <w:jc w:val="both"/>
        <w:rPr>
          <w:rFonts w:eastAsia="MS Mincho"/>
        </w:rPr>
      </w:pPr>
      <w:r w:rsidRPr="009A7163">
        <w:rPr>
          <w:rFonts w:eastAsia="MS Mincho"/>
        </w:rPr>
        <w:lastRenderedPageBreak/>
        <w:t>I think it is important for men to understand that there is a part of life that does not appear anywhere, but that exists. This thing that, for love, we as wo</w:t>
      </w:r>
      <w:r w:rsidR="00FB5FC3" w:rsidRPr="009A7163">
        <w:rPr>
          <w:rFonts w:eastAsia="MS Mincho"/>
        </w:rPr>
        <w:t>men assume responsibility for</w:t>
      </w:r>
      <w:r w:rsidR="00FE5EB3" w:rsidRPr="009A7163">
        <w:rPr>
          <w:rFonts w:eastAsia="MS Mincho"/>
        </w:rPr>
        <w:t>…</w:t>
      </w:r>
      <w:r w:rsidR="00FB5FC3" w:rsidRPr="009A7163">
        <w:rPr>
          <w:rFonts w:eastAsia="MS Mincho"/>
        </w:rPr>
        <w:t>r</w:t>
      </w:r>
      <w:r w:rsidRPr="009A7163">
        <w:rPr>
          <w:rFonts w:eastAsia="MS Mincho"/>
        </w:rPr>
        <w:t>esponsibility for the children, for the care of children, care of the family</w:t>
      </w:r>
      <w:r w:rsidR="00FE5EB3" w:rsidRPr="009A7163">
        <w:rPr>
          <w:rFonts w:eastAsia="MS Mincho"/>
        </w:rPr>
        <w:t>…</w:t>
      </w:r>
      <w:r w:rsidRPr="009A7163">
        <w:rPr>
          <w:rFonts w:eastAsia="MS Mincho"/>
        </w:rPr>
        <w:t>this is a positive part of unpaid work but that many times is not taken into account</w:t>
      </w:r>
      <w:r w:rsidR="00FE5EB3" w:rsidRPr="009A7163">
        <w:rPr>
          <w:rFonts w:eastAsia="MS Mincho"/>
        </w:rPr>
        <w:t>…</w:t>
      </w:r>
      <w:r w:rsidRPr="009A7163">
        <w:rPr>
          <w:rFonts w:eastAsia="MS Mincho"/>
        </w:rPr>
        <w:t>Because of this love, I want to and will undertake 20,000 things because I love</w:t>
      </w:r>
      <w:r w:rsidR="001E55F2" w:rsidRPr="009A7163">
        <w:rPr>
          <w:rFonts w:eastAsia="MS Mincho"/>
        </w:rPr>
        <w:t xml:space="preserve"> my</w:t>
      </w:r>
      <w:r w:rsidRPr="009A7163">
        <w:rPr>
          <w:rFonts w:eastAsia="MS Mincho"/>
        </w:rPr>
        <w:t xml:space="preserve"> children and I will do the rest [</w:t>
      </w:r>
      <w:r w:rsidR="001E55F2" w:rsidRPr="009A7163">
        <w:rPr>
          <w:rFonts w:eastAsia="MS Mincho"/>
        </w:rPr>
        <w:t>of the</w:t>
      </w:r>
      <w:r w:rsidRPr="009A7163">
        <w:rPr>
          <w:rFonts w:eastAsia="MS Mincho"/>
        </w:rPr>
        <w:t xml:space="preserve"> unpaid work] for the love of my family. This love is transcendent</w:t>
      </w:r>
      <w:r w:rsidR="001E55F2" w:rsidRPr="009A7163">
        <w:rPr>
          <w:rFonts w:eastAsia="MS Mincho"/>
        </w:rPr>
        <w:t>,</w:t>
      </w:r>
      <w:r w:rsidRPr="009A7163">
        <w:rPr>
          <w:rFonts w:eastAsia="MS Mincho"/>
        </w:rPr>
        <w:t xml:space="preserve"> but it’s also important that men take this into account</w:t>
      </w:r>
      <w:r w:rsidR="001E55F2" w:rsidRPr="009A7163">
        <w:rPr>
          <w:rFonts w:eastAsia="MS Mincho"/>
        </w:rPr>
        <w:t xml:space="preserve"> </w:t>
      </w:r>
      <w:r w:rsidR="00531923" w:rsidRPr="009A7163">
        <w:rPr>
          <w:rFonts w:eastAsia="MS Mincho"/>
        </w:rPr>
        <w:t xml:space="preserve">and </w:t>
      </w:r>
      <w:r w:rsidRPr="009A7163">
        <w:rPr>
          <w:rFonts w:eastAsia="MS Mincho"/>
        </w:rPr>
        <w:t>it is important to work with men so that they can understand that the economy is not only production, that the economy is not only the currency, but the economy includes this area of ​​reproduction. (Expert Interview, May 4, 2016)</w:t>
      </w:r>
    </w:p>
    <w:p w14:paraId="1832C85C" w14:textId="49421C2D" w:rsidR="0004022E" w:rsidRPr="009A7163" w:rsidRDefault="0004022E">
      <w:pPr>
        <w:spacing w:line="360" w:lineRule="auto"/>
        <w:jc w:val="both"/>
        <w:rPr>
          <w:rFonts w:eastAsia="MS Mincho"/>
          <w:lang w:eastAsia="en-GB"/>
        </w:rPr>
      </w:pPr>
      <w:r w:rsidRPr="009A7163">
        <w:rPr>
          <w:rFonts w:eastAsia="MS Mincho"/>
        </w:rPr>
        <w:t>In the quote above, the interviewed exper</w:t>
      </w:r>
      <w:r w:rsidR="00531923" w:rsidRPr="009A7163">
        <w:rPr>
          <w:rFonts w:eastAsia="MS Mincho"/>
        </w:rPr>
        <w:t>t speaks about</w:t>
      </w:r>
      <w:r w:rsidRPr="009A7163">
        <w:rPr>
          <w:rFonts w:eastAsia="MS Mincho"/>
        </w:rPr>
        <w:t xml:space="preserve"> emotional labour</w:t>
      </w:r>
      <w:r w:rsidRPr="009A7163">
        <w:rPr>
          <w:rFonts w:eastAsia="MS Mincho"/>
          <w:lang w:eastAsia="en-GB"/>
        </w:rPr>
        <w:t xml:space="preserve"> touched upon in </w:t>
      </w:r>
      <w:r w:rsidR="00B44AC2" w:rsidRPr="009A7163">
        <w:rPr>
          <w:rFonts w:eastAsia="MS Mincho"/>
          <w:lang w:eastAsia="en-GB"/>
        </w:rPr>
        <w:t>Chapter Two</w:t>
      </w:r>
      <w:r w:rsidRPr="009A7163">
        <w:rPr>
          <w:rFonts w:eastAsia="MS Mincho"/>
          <w:lang w:eastAsia="en-GB"/>
        </w:rPr>
        <w:t>. Whilst the interviewed expert</w:t>
      </w:r>
      <w:r w:rsidRPr="009A7163">
        <w:rPr>
          <w:rFonts w:eastAsia="MS Mincho"/>
        </w:rPr>
        <w:t xml:space="preserve"> claimed in the passage that love and care of children is women’s work (i.e., there is an assumption that men not doing any emotional labour), it can be argued that this is an essentialist position and rather offensive to</w:t>
      </w:r>
      <w:r w:rsidR="000320C1" w:rsidRPr="009A7163">
        <w:rPr>
          <w:rFonts w:eastAsia="MS Mincho"/>
        </w:rPr>
        <w:t xml:space="preserve"> men as the non-sentient beings. </w:t>
      </w:r>
      <w:r w:rsidR="00531923" w:rsidRPr="009A7163">
        <w:rPr>
          <w:rFonts w:eastAsia="MS Mincho"/>
        </w:rPr>
        <w:t>A</w:t>
      </w:r>
      <w:r w:rsidR="007A6511" w:rsidRPr="009A7163">
        <w:rPr>
          <w:rFonts w:eastAsia="MS Mincho"/>
        </w:rPr>
        <w:t>nother reading could be that</w:t>
      </w:r>
      <w:r w:rsidR="00BA00D5" w:rsidRPr="009A7163">
        <w:rPr>
          <w:rFonts w:eastAsia="MS Mincho"/>
        </w:rPr>
        <w:t xml:space="preserve"> this is more about the pervasiveness of patriarchal </w:t>
      </w:r>
      <w:r w:rsidR="00114453" w:rsidRPr="009A7163">
        <w:rPr>
          <w:rFonts w:eastAsia="MS Mincho"/>
        </w:rPr>
        <w:t>power</w:t>
      </w:r>
      <w:r w:rsidR="00114453" w:rsidRPr="009A7163">
        <w:rPr>
          <w:rStyle w:val="CommentReference"/>
          <w:rFonts w:asciiTheme="minorHAnsi" w:eastAsiaTheme="minorEastAsia" w:hAnsiTheme="minorHAnsi" w:cstheme="minorBidi"/>
        </w:rPr>
        <w:t xml:space="preserve"> </w:t>
      </w:r>
      <w:r w:rsidR="00114453" w:rsidRPr="009A7163">
        <w:rPr>
          <w:rFonts w:eastAsia="MS Mincho"/>
        </w:rPr>
        <w:t>determining this positive feeling</w:t>
      </w:r>
      <w:r w:rsidR="00BA00D5" w:rsidRPr="009A7163">
        <w:rPr>
          <w:rFonts w:eastAsia="MS Mincho"/>
        </w:rPr>
        <w:t>.</w:t>
      </w:r>
    </w:p>
    <w:p w14:paraId="6F3D3574" w14:textId="7B981EF7" w:rsidR="0004022E" w:rsidRPr="009A7163" w:rsidRDefault="00531923">
      <w:pPr>
        <w:spacing w:after="240" w:line="360" w:lineRule="auto"/>
        <w:ind w:firstLine="720"/>
        <w:jc w:val="both"/>
        <w:rPr>
          <w:rFonts w:eastAsia="MS Mincho"/>
          <w:bCs/>
          <w:iCs/>
        </w:rPr>
      </w:pPr>
      <w:r w:rsidRPr="009A7163">
        <w:rPr>
          <w:rFonts w:eastAsia="MS Mincho"/>
        </w:rPr>
        <w:t>The emphasis that th</w:t>
      </w:r>
      <w:r w:rsidR="0004022E" w:rsidRPr="009A7163">
        <w:rPr>
          <w:rFonts w:eastAsia="MS Mincho"/>
        </w:rPr>
        <w:t>e economy is about more than markets, as Patricia Orozco argued above</w:t>
      </w:r>
      <w:r w:rsidR="001E55F2" w:rsidRPr="009A7163">
        <w:rPr>
          <w:rFonts w:eastAsia="MS Mincho"/>
        </w:rPr>
        <w:t>,</w:t>
      </w:r>
      <w:r w:rsidRPr="009A7163">
        <w:rPr>
          <w:rFonts w:eastAsia="MS Mincho"/>
        </w:rPr>
        <w:t xml:space="preserve"> is an important one</w:t>
      </w:r>
      <w:r w:rsidR="0004022E" w:rsidRPr="009A7163">
        <w:rPr>
          <w:rFonts w:eastAsia="MS Mincho"/>
        </w:rPr>
        <w:t xml:space="preserve">. The market is just one element of a broader system of production, distribution and consumption of goods and services. Ana Victoria Portocarrero, </w:t>
      </w:r>
      <w:r w:rsidR="0004022E" w:rsidRPr="009A7163">
        <w:rPr>
          <w:rFonts w:eastAsia="MS Mincho"/>
          <w:bCs/>
          <w:iCs/>
        </w:rPr>
        <w:t xml:space="preserve">Academic Coordinator for the Masters Gender Program at the Universidad Centroamericana, also agreed that </w:t>
      </w:r>
      <w:r w:rsidR="003A2C87" w:rsidRPr="009A7163">
        <w:rPr>
          <w:rFonts w:eastAsia="MS Mincho"/>
          <w:bCs/>
          <w:iCs/>
        </w:rPr>
        <w:t>UCW</w:t>
      </w:r>
      <w:r w:rsidR="0004022E" w:rsidRPr="009A7163">
        <w:rPr>
          <w:rFonts w:eastAsia="MS Mincho"/>
          <w:bCs/>
          <w:iCs/>
        </w:rPr>
        <w:t xml:space="preserve"> has a positive value. She argued that </w:t>
      </w:r>
      <w:r w:rsidRPr="009A7163">
        <w:rPr>
          <w:rFonts w:eastAsia="MS Mincho"/>
          <w:bCs/>
          <w:iCs/>
        </w:rPr>
        <w:t>‘</w:t>
      </w:r>
      <w:r w:rsidR="0004022E" w:rsidRPr="009A7163">
        <w:rPr>
          <w:rFonts w:eastAsia="MS Mincho"/>
          <w:bCs/>
          <w:iCs/>
        </w:rPr>
        <w:t>women should not need to escape from it and that we should not devalue the work that women have historically done, but rather we should give it importance</w:t>
      </w:r>
      <w:r w:rsidRPr="009A7163">
        <w:rPr>
          <w:rFonts w:eastAsia="MS Mincho"/>
          <w:bCs/>
          <w:iCs/>
        </w:rPr>
        <w:t>’</w:t>
      </w:r>
      <w:r w:rsidR="0004022E" w:rsidRPr="009A7163">
        <w:rPr>
          <w:rFonts w:eastAsia="MS Mincho"/>
          <w:bCs/>
          <w:iCs/>
        </w:rPr>
        <w:t>.</w:t>
      </w:r>
      <w:r w:rsidRPr="009A7163">
        <w:rPr>
          <w:rFonts w:eastAsia="MS Mincho"/>
          <w:bCs/>
          <w:iCs/>
        </w:rPr>
        <w:t xml:space="preserve"> Whilst the argument that valuing unpaid work is more than just about calculating a cost or seeing it in its economic value is important</w:t>
      </w:r>
      <w:r w:rsidR="00B2403C" w:rsidRPr="009A7163">
        <w:rPr>
          <w:rFonts w:eastAsia="MS Mincho"/>
          <w:bCs/>
          <w:iCs/>
        </w:rPr>
        <w:t>,</w:t>
      </w:r>
      <w:r w:rsidRPr="009A7163">
        <w:rPr>
          <w:rFonts w:eastAsia="MS Mincho"/>
          <w:bCs/>
          <w:iCs/>
        </w:rPr>
        <w:t xml:space="preserve"> </w:t>
      </w:r>
      <w:r w:rsidR="00B2403C" w:rsidRPr="009A7163">
        <w:rPr>
          <w:rFonts w:eastAsia="MS Mincho"/>
          <w:bCs/>
          <w:iCs/>
        </w:rPr>
        <w:t>i</w:t>
      </w:r>
      <w:r w:rsidRPr="009A7163">
        <w:rPr>
          <w:rFonts w:eastAsia="MS Mincho"/>
          <w:bCs/>
          <w:iCs/>
        </w:rPr>
        <w:t xml:space="preserve">t must also be </w:t>
      </w:r>
      <w:r w:rsidR="00263DE3" w:rsidRPr="009A7163">
        <w:rPr>
          <w:rFonts w:eastAsia="MS Mincho"/>
          <w:bCs/>
          <w:iCs/>
        </w:rPr>
        <w:t>remembered</w:t>
      </w:r>
      <w:r w:rsidRPr="009A7163">
        <w:rPr>
          <w:rFonts w:eastAsia="MS Mincho"/>
          <w:bCs/>
          <w:iCs/>
        </w:rPr>
        <w:t xml:space="preserve"> that </w:t>
      </w:r>
      <w:r w:rsidR="003A2C87" w:rsidRPr="009A7163">
        <w:rPr>
          <w:rFonts w:eastAsia="MS Mincho"/>
          <w:bCs/>
          <w:iCs/>
        </w:rPr>
        <w:t>UCW</w:t>
      </w:r>
      <w:r w:rsidR="0004022E" w:rsidRPr="009A7163">
        <w:rPr>
          <w:rFonts w:eastAsia="MS Mincho"/>
          <w:bCs/>
          <w:iCs/>
        </w:rPr>
        <w:t xml:space="preserve"> is costly</w:t>
      </w:r>
      <w:r w:rsidRPr="009A7163">
        <w:rPr>
          <w:rFonts w:eastAsia="MS Mincho"/>
          <w:bCs/>
          <w:iCs/>
        </w:rPr>
        <w:t xml:space="preserve"> and </w:t>
      </w:r>
      <w:r w:rsidR="0004022E" w:rsidRPr="009A7163">
        <w:rPr>
          <w:rFonts w:eastAsia="MS Mincho"/>
          <w:bCs/>
          <w:iCs/>
        </w:rPr>
        <w:t>is not always ‘lovely’, even if it is performed ‘out of love’ (Elson, 2005). It might involve drudgery and overwork, and it might not be the result of autonomous individual choices</w:t>
      </w:r>
      <w:r w:rsidR="00FF4E13" w:rsidRPr="009A7163">
        <w:rPr>
          <w:rFonts w:eastAsia="MS Mincho"/>
          <w:bCs/>
          <w:iCs/>
        </w:rPr>
        <w:t>,</w:t>
      </w:r>
      <w:r w:rsidR="0004022E" w:rsidRPr="009A7163">
        <w:rPr>
          <w:rFonts w:eastAsia="MS Mincho"/>
          <w:bCs/>
          <w:iCs/>
        </w:rPr>
        <w:t xml:space="preserve"> but</w:t>
      </w:r>
      <w:r w:rsidR="00FF4E13" w:rsidRPr="009A7163">
        <w:rPr>
          <w:rFonts w:eastAsia="MS Mincho"/>
          <w:bCs/>
          <w:iCs/>
        </w:rPr>
        <w:t xml:space="preserve"> rather the result of</w:t>
      </w:r>
      <w:r w:rsidR="0004022E" w:rsidRPr="009A7163">
        <w:rPr>
          <w:rFonts w:eastAsia="MS Mincho"/>
          <w:bCs/>
          <w:iCs/>
        </w:rPr>
        <w:t xml:space="preserve"> social pressures</w:t>
      </w:r>
      <w:r w:rsidR="00FF4E13" w:rsidRPr="009A7163">
        <w:rPr>
          <w:rFonts w:eastAsia="MS Mincho"/>
          <w:bCs/>
          <w:iCs/>
        </w:rPr>
        <w:t xml:space="preserve"> that</w:t>
      </w:r>
      <w:r w:rsidR="0004022E" w:rsidRPr="009A7163">
        <w:rPr>
          <w:rFonts w:eastAsia="MS Mincho"/>
          <w:bCs/>
          <w:iCs/>
        </w:rPr>
        <w:t xml:space="preserve"> oppress women and girls. </w:t>
      </w:r>
      <w:r w:rsidR="000320C1" w:rsidRPr="009A7163">
        <w:rPr>
          <w:rFonts w:eastAsia="MS Mincho"/>
          <w:bCs/>
          <w:iCs/>
        </w:rPr>
        <w:t>Furthermore,</w:t>
      </w:r>
      <w:r w:rsidR="0004022E" w:rsidRPr="009A7163">
        <w:rPr>
          <w:rFonts w:eastAsia="MS Mincho"/>
          <w:bCs/>
          <w:iCs/>
        </w:rPr>
        <w:t xml:space="preserve"> the type of essentialism</w:t>
      </w:r>
      <w:r w:rsidR="00FF4E13" w:rsidRPr="009A7163">
        <w:rPr>
          <w:rFonts w:eastAsia="MS Mincho"/>
          <w:bCs/>
          <w:iCs/>
        </w:rPr>
        <w:t xml:space="preserve"> that</w:t>
      </w:r>
      <w:r w:rsidR="0004022E" w:rsidRPr="009A7163">
        <w:rPr>
          <w:rFonts w:eastAsia="MS Mincho"/>
          <w:bCs/>
          <w:iCs/>
        </w:rPr>
        <w:t xml:space="preserve"> talks of women doing </w:t>
      </w:r>
      <w:r w:rsidR="00FF4E13" w:rsidRPr="009A7163">
        <w:rPr>
          <w:rFonts w:eastAsia="MS Mincho"/>
          <w:bCs/>
          <w:iCs/>
        </w:rPr>
        <w:t>unpaid</w:t>
      </w:r>
      <w:r w:rsidR="0004022E" w:rsidRPr="009A7163">
        <w:rPr>
          <w:rFonts w:eastAsia="MS Mincho"/>
          <w:bCs/>
          <w:iCs/>
        </w:rPr>
        <w:t xml:space="preserve"> work out of love idealises a very narrow interpretation of what it means to be a woman (</w:t>
      </w:r>
      <w:r w:rsidR="00FF4E13" w:rsidRPr="009A7163">
        <w:rPr>
          <w:rFonts w:eastAsia="MS Mincho"/>
          <w:bCs/>
          <w:iCs/>
        </w:rPr>
        <w:t xml:space="preserve">e.g., </w:t>
      </w:r>
      <w:r w:rsidR="0004022E" w:rsidRPr="009A7163">
        <w:rPr>
          <w:rFonts w:eastAsia="MS Mincho"/>
          <w:bCs/>
          <w:iCs/>
        </w:rPr>
        <w:t>nuclear family, woman as mother, one dad, one mum</w:t>
      </w:r>
      <w:r w:rsidR="00FF4E13" w:rsidRPr="009A7163">
        <w:rPr>
          <w:rFonts w:eastAsia="MS Mincho"/>
          <w:bCs/>
          <w:iCs/>
        </w:rPr>
        <w:t>)</w:t>
      </w:r>
      <w:r w:rsidR="0004022E" w:rsidRPr="009A7163">
        <w:rPr>
          <w:rFonts w:eastAsia="MS Mincho"/>
          <w:bCs/>
          <w:iCs/>
        </w:rPr>
        <w:t>. What about single women (with or without children), non-heterosexual women, or professional women who have paid childcare</w:t>
      </w:r>
      <w:r w:rsidR="000320C1" w:rsidRPr="009A7163">
        <w:rPr>
          <w:rFonts w:eastAsia="MS Mincho"/>
          <w:bCs/>
          <w:iCs/>
        </w:rPr>
        <w:t>?</w:t>
      </w:r>
    </w:p>
    <w:p w14:paraId="1A38A0A6" w14:textId="3BCFD78B" w:rsidR="0004022E" w:rsidRPr="009A7163" w:rsidRDefault="0004022E" w:rsidP="00293176">
      <w:pPr>
        <w:pStyle w:val="Heading2"/>
      </w:pPr>
      <w:bookmarkStart w:id="106" w:name="_Toc526819323"/>
      <w:r w:rsidRPr="009A7163">
        <w:lastRenderedPageBreak/>
        <w:t>5.3  Measuring Unpaid Work</w:t>
      </w:r>
      <w:bookmarkEnd w:id="106"/>
    </w:p>
    <w:p w14:paraId="0977BD60" w14:textId="214F7F93" w:rsidR="0004022E" w:rsidRPr="009A7163" w:rsidRDefault="0004022E" w:rsidP="008C041F">
      <w:pPr>
        <w:spacing w:after="240" w:line="360" w:lineRule="auto"/>
        <w:ind w:firstLine="720"/>
        <w:jc w:val="both"/>
        <w:rPr>
          <w:rFonts w:eastAsia="MS Mincho"/>
        </w:rPr>
      </w:pPr>
      <w:r w:rsidRPr="009A7163">
        <w:rPr>
          <w:rFonts w:eastAsia="MS Mincho"/>
        </w:rPr>
        <w:t xml:space="preserve">There is not only a broad ongoing discussion on how to define unpaid work, but there is also an interesting debate on how to measure it. First, there is the question of what can be considered work, as outlined in the section above. Findings showed that the participants on the whole agreed that work is any activity in which physical or intellectual effort is invested, whether it is paid or not. Leisure activities, including sports, are not included. Following on from this is the argument is that the amount of work undertaken can be measured </w:t>
      </w:r>
      <w:r w:rsidR="00FF4E13" w:rsidRPr="009A7163">
        <w:rPr>
          <w:rFonts w:eastAsia="MS Mincho"/>
        </w:rPr>
        <w:t>by</w:t>
      </w:r>
      <w:r w:rsidRPr="009A7163">
        <w:rPr>
          <w:rFonts w:eastAsia="MS Mincho"/>
        </w:rPr>
        <w:t xml:space="preserve"> the number of hours devoted to an activity. Time use surveys (TUSs) are the most common way to measure this, even though this method has a number of limitations</w:t>
      </w:r>
      <w:r w:rsidR="00FF4E13" w:rsidRPr="009A7163">
        <w:rPr>
          <w:rFonts w:eastAsia="MS Mincho"/>
        </w:rPr>
        <w:t>, which were</w:t>
      </w:r>
      <w:r w:rsidRPr="009A7163">
        <w:rPr>
          <w:rFonts w:eastAsia="MS Mincho"/>
        </w:rPr>
        <w:t xml:space="preserve"> outlined in </w:t>
      </w:r>
      <w:r w:rsidR="00B44AC2" w:rsidRPr="009A7163">
        <w:rPr>
          <w:rFonts w:eastAsia="MS Mincho"/>
        </w:rPr>
        <w:t>Chapter Four</w:t>
      </w:r>
      <w:r w:rsidRPr="009A7163">
        <w:rPr>
          <w:rFonts w:eastAsia="MS Mincho"/>
        </w:rPr>
        <w:t>. This section will add to discussions on measuring time with reflections from participant fieldwork and in some cases from the fieldwork process itself.</w:t>
      </w:r>
    </w:p>
    <w:p w14:paraId="51A8C0C6" w14:textId="77777777" w:rsidR="0004022E" w:rsidRPr="009A7163" w:rsidRDefault="0004022E" w:rsidP="00293176">
      <w:pPr>
        <w:pStyle w:val="Heading3"/>
        <w:rPr>
          <w:rFonts w:eastAsia="MS Mincho"/>
        </w:rPr>
      </w:pPr>
      <w:bookmarkStart w:id="107" w:name="_Toc526819324"/>
      <w:r w:rsidRPr="009A7163">
        <w:rPr>
          <w:rFonts w:eastAsia="MS Mincho"/>
        </w:rPr>
        <w:t>5.3.1  Measuring from the Beginning</w:t>
      </w:r>
      <w:bookmarkEnd w:id="107"/>
    </w:p>
    <w:p w14:paraId="51F84EE9" w14:textId="01DDE680" w:rsidR="0004022E" w:rsidRPr="009A7163" w:rsidRDefault="0004022E" w:rsidP="008C041F">
      <w:pPr>
        <w:spacing w:line="360" w:lineRule="auto"/>
        <w:ind w:firstLine="720"/>
        <w:jc w:val="both"/>
        <w:rPr>
          <w:rFonts w:eastAsia="MS Mincho"/>
        </w:rPr>
      </w:pPr>
      <w:r w:rsidRPr="009A7163">
        <w:rPr>
          <w:rFonts w:eastAsia="MS Mincho"/>
        </w:rPr>
        <w:t xml:space="preserve">The initial scoping exercise, which was the foundation of the pricing mechanism, measured unpaid work by grouping </w:t>
      </w:r>
      <w:r w:rsidR="003A2C87" w:rsidRPr="009A7163">
        <w:rPr>
          <w:rFonts w:eastAsia="MS Mincho"/>
        </w:rPr>
        <w:t>UCW</w:t>
      </w:r>
      <w:r w:rsidRPr="009A7163">
        <w:rPr>
          <w:rFonts w:eastAsia="MS Mincho"/>
        </w:rPr>
        <w:t xml:space="preserve"> activities undertaken throughout the year into one category. An explanation of this process according to Hoskyns et al. (2012, p. 29) is as follows:</w:t>
      </w:r>
    </w:p>
    <w:p w14:paraId="3DF81876" w14:textId="77777777" w:rsidR="0004022E" w:rsidRPr="009A7163" w:rsidRDefault="0004022E" w:rsidP="008C041F">
      <w:pPr>
        <w:ind w:left="720"/>
        <w:jc w:val="both"/>
        <w:rPr>
          <w:rFonts w:eastAsia="MS Mincho"/>
        </w:rPr>
      </w:pPr>
      <w:r w:rsidRPr="009A7163">
        <w:rPr>
          <w:rFonts w:eastAsia="MS Mincho"/>
        </w:rPr>
        <w:t>The scoping exercise showed six to eight hours of unpaid work being undertaken per day, depending upon definition. This seemed to be fairly consistent across the year, although the balance of tasks changed. The main activities were:</w:t>
      </w:r>
    </w:p>
    <w:p w14:paraId="71CF3C35" w14:textId="77777777" w:rsidR="0004022E" w:rsidRPr="009A7163" w:rsidRDefault="0004022E" w:rsidP="00293176">
      <w:pPr>
        <w:ind w:left="720" w:firstLine="720"/>
        <w:jc w:val="both"/>
        <w:rPr>
          <w:rFonts w:eastAsia="MS Mincho"/>
        </w:rPr>
      </w:pPr>
      <w:r w:rsidRPr="009A7163">
        <w:rPr>
          <w:rFonts w:eastAsia="MS Mincho"/>
        </w:rPr>
        <w:t>− grinding maize and making tortillas,</w:t>
      </w:r>
    </w:p>
    <w:p w14:paraId="3645B930" w14:textId="77777777" w:rsidR="0004022E" w:rsidRPr="009A7163" w:rsidRDefault="0004022E" w:rsidP="00293176">
      <w:pPr>
        <w:ind w:left="720" w:firstLine="720"/>
        <w:jc w:val="both"/>
        <w:rPr>
          <w:rFonts w:eastAsia="MS Mincho"/>
        </w:rPr>
      </w:pPr>
      <w:r w:rsidRPr="009A7163">
        <w:rPr>
          <w:rFonts w:eastAsia="MS Mincho"/>
        </w:rPr>
        <w:t>− fetching water and fuel,</w:t>
      </w:r>
    </w:p>
    <w:p w14:paraId="2BDE2AB3" w14:textId="77777777" w:rsidR="0004022E" w:rsidRPr="009A7163" w:rsidRDefault="0004022E" w:rsidP="00293176">
      <w:pPr>
        <w:ind w:left="720" w:firstLine="720"/>
        <w:jc w:val="both"/>
        <w:rPr>
          <w:rFonts w:eastAsia="MS Mincho"/>
        </w:rPr>
      </w:pPr>
      <w:r w:rsidRPr="009A7163">
        <w:rPr>
          <w:rFonts w:eastAsia="MS Mincho"/>
        </w:rPr>
        <w:t>− milking cows and making cheese,</w:t>
      </w:r>
    </w:p>
    <w:p w14:paraId="0518DAB7" w14:textId="77777777" w:rsidR="0004022E" w:rsidRPr="009A7163" w:rsidRDefault="0004022E" w:rsidP="00293176">
      <w:pPr>
        <w:ind w:left="720" w:firstLine="720"/>
        <w:jc w:val="both"/>
        <w:rPr>
          <w:rFonts w:eastAsia="MS Mincho"/>
        </w:rPr>
      </w:pPr>
      <w:r w:rsidRPr="009A7163">
        <w:rPr>
          <w:rFonts w:eastAsia="MS Mincho"/>
        </w:rPr>
        <w:t>− preparing, serving and clearing away meals</w:t>
      </w:r>
    </w:p>
    <w:p w14:paraId="258B4F1C" w14:textId="77777777" w:rsidR="0004022E" w:rsidRPr="009A7163" w:rsidRDefault="0004022E" w:rsidP="00293176">
      <w:pPr>
        <w:ind w:left="720" w:firstLine="720"/>
        <w:jc w:val="both"/>
        <w:rPr>
          <w:rFonts w:eastAsia="MS Mincho"/>
        </w:rPr>
      </w:pPr>
      <w:r w:rsidRPr="009A7163">
        <w:rPr>
          <w:rFonts w:eastAsia="MS Mincho"/>
        </w:rPr>
        <w:t>− doing laundry</w:t>
      </w:r>
    </w:p>
    <w:p w14:paraId="6C66BA96" w14:textId="77777777" w:rsidR="0004022E" w:rsidRPr="009A7163" w:rsidRDefault="0004022E" w:rsidP="00293176">
      <w:pPr>
        <w:ind w:left="720" w:firstLine="720"/>
        <w:jc w:val="both"/>
        <w:rPr>
          <w:rFonts w:eastAsia="MS Mincho"/>
        </w:rPr>
      </w:pPr>
      <w:r w:rsidRPr="009A7163">
        <w:rPr>
          <w:rFonts w:eastAsia="MS Mincho"/>
        </w:rPr>
        <w:t>− growing and preparing vegetables</w:t>
      </w:r>
    </w:p>
    <w:p w14:paraId="32CE5437" w14:textId="1D544838" w:rsidR="00171CF0" w:rsidRPr="009A7163" w:rsidRDefault="0004022E" w:rsidP="00293176">
      <w:pPr>
        <w:ind w:left="720" w:firstLine="720"/>
        <w:jc w:val="both"/>
        <w:rPr>
          <w:rFonts w:eastAsia="MS Mincho"/>
        </w:rPr>
      </w:pPr>
      <w:r w:rsidRPr="009A7163">
        <w:rPr>
          <w:rFonts w:eastAsia="MS Mincho"/>
        </w:rPr>
        <w:t>− caring for small livestock</w:t>
      </w:r>
    </w:p>
    <w:p w14:paraId="758855C1" w14:textId="77777777" w:rsidR="0004022E" w:rsidRPr="009A7163" w:rsidRDefault="0004022E" w:rsidP="00293176">
      <w:pPr>
        <w:spacing w:after="240"/>
        <w:ind w:left="1710" w:hanging="270"/>
        <w:jc w:val="both"/>
        <w:rPr>
          <w:rFonts w:eastAsia="MS Mincho"/>
        </w:rPr>
      </w:pPr>
      <w:r w:rsidRPr="009A7163">
        <w:rPr>
          <w:rFonts w:eastAsia="MS Mincho"/>
        </w:rPr>
        <w:t>− caring for children and the elderly (these were for the most part ‘passive, simultaneous activities’ carried on throughout the day)</w:t>
      </w:r>
    </w:p>
    <w:p w14:paraId="0A4EB292" w14:textId="77777777" w:rsidR="0004022E" w:rsidRPr="009A7163" w:rsidRDefault="0004022E" w:rsidP="008C041F">
      <w:pPr>
        <w:spacing w:line="360" w:lineRule="auto"/>
        <w:jc w:val="both"/>
        <w:rPr>
          <w:rFonts w:eastAsia="MS Mincho"/>
        </w:rPr>
      </w:pPr>
      <w:r w:rsidRPr="009A7163">
        <w:rPr>
          <w:rFonts w:eastAsia="MS Mincho"/>
        </w:rPr>
        <w:t>In this report of the initial scoping exercise described by the person who undertook it, no unpaid work related to the production of sesame was highlighted, yet the commercial argument was always that the recognition was for the unpaid work of women in the sesame supply chain in activities related to sesame.</w:t>
      </w:r>
      <w:r w:rsidRPr="009A7163">
        <w:rPr>
          <w:rFonts w:eastAsia="MS Mincho"/>
          <w:vertAlign w:val="superscript"/>
        </w:rPr>
        <w:footnoteReference w:id="93"/>
      </w:r>
    </w:p>
    <w:p w14:paraId="08253C6C" w14:textId="77777777" w:rsidR="0004022E" w:rsidRPr="009A7163" w:rsidRDefault="0004022E">
      <w:pPr>
        <w:spacing w:line="360" w:lineRule="auto"/>
        <w:ind w:firstLine="720"/>
        <w:jc w:val="both"/>
        <w:rPr>
          <w:rFonts w:eastAsia="MS Mincho"/>
        </w:rPr>
      </w:pPr>
      <w:r w:rsidRPr="009A7163">
        <w:rPr>
          <w:rFonts w:eastAsia="MS Mincho"/>
        </w:rPr>
        <w:lastRenderedPageBreak/>
        <w:t>The president and manager of the CJFPS cooperative, Juan Bravo, reported a slightly different version of this scoping exercise and highlighted the difficulty of measuring the different activities and calculating what is related directly to sesame production and what is not:</w:t>
      </w:r>
    </w:p>
    <w:p w14:paraId="178BA340" w14:textId="3B02A4FB" w:rsidR="0004022E" w:rsidRPr="009A7163" w:rsidRDefault="0004022E">
      <w:pPr>
        <w:spacing w:after="180"/>
        <w:ind w:left="720"/>
        <w:jc w:val="both"/>
      </w:pPr>
      <w:r w:rsidRPr="009A7163">
        <w:t xml:space="preserve">When we did the scoping exercise, we didn’t use a methodology or a calculation. We visited one family and we observed the time that it took them to prepare a tortilla, a plate of food, how long it took to wash a day’s worth of clothes and all the housework. Then we also looked at their work looking after the animals, the pigs and chickens. We tried to evaluate the time distributed between all of this unpaid work. So how much of this is in relation to the production of sesame? Well we decided to distribute and calculate the production of a </w:t>
      </w:r>
      <w:r w:rsidRPr="009A7163">
        <w:rPr>
          <w:i/>
        </w:rPr>
        <w:t xml:space="preserve">manzana </w:t>
      </w:r>
      <w:r w:rsidRPr="009A7163">
        <w:t>[1</w:t>
      </w:r>
      <w:r w:rsidRPr="009A7163">
        <w:rPr>
          <w:sz w:val="22"/>
        </w:rPr>
        <w:t>.74 hectare]</w:t>
      </w:r>
      <w:r w:rsidRPr="009A7163">
        <w:t xml:space="preserve"> of sesame and we came out with the sum that women invest 12 days of work per year. It’s a calculation that we plucked out of thin air, as the expression goes</w:t>
      </w:r>
      <w:r w:rsidR="00FE5EB3" w:rsidRPr="009A7163">
        <w:t>…</w:t>
      </w:r>
      <w:r w:rsidRPr="009A7163">
        <w:t>it is not a profound or detailed calculation but this is what we came to</w:t>
      </w:r>
      <w:r w:rsidR="00FE5EB3" w:rsidRPr="009A7163">
        <w:t>…</w:t>
      </w:r>
      <w:r w:rsidRPr="009A7163">
        <w:t xml:space="preserve">12 days per </w:t>
      </w:r>
      <w:r w:rsidRPr="009A7163">
        <w:rPr>
          <w:i/>
        </w:rPr>
        <w:t>manzana</w:t>
      </w:r>
      <w:r w:rsidRPr="009A7163">
        <w:t>. Per year, the work harvesting sesame totals about three months of work from preparing the land until harvest time. In terms of how you can distinguish between what does or does not contribute to sesame production</w:t>
      </w:r>
      <w:r w:rsidR="00FE5EB3" w:rsidRPr="009A7163">
        <w:t>…</w:t>
      </w:r>
      <w:r w:rsidRPr="009A7163">
        <w:t>this is still a really difficult question to answer and we still don’t have a formula or a methodology</w:t>
      </w:r>
      <w:r w:rsidR="00FE5EB3" w:rsidRPr="009A7163">
        <w:t>…</w:t>
      </w:r>
      <w:r w:rsidRPr="009A7163">
        <w:t>if you say that on an average working day, a male farmer will work on average 5–6 hours and a women 12–13 hours and of those hours maybe you could say that 2 of those go directly to sesame but you’d have to measure the hours per activity such as how much time she spends washing clothes, looking after children, washing dishes, etc. (Expert interview, January 8, 2015)</w:t>
      </w:r>
    </w:p>
    <w:p w14:paraId="63028193" w14:textId="1D08C44E" w:rsidR="0004022E" w:rsidRPr="009A7163" w:rsidRDefault="00D92860">
      <w:pPr>
        <w:spacing w:line="360" w:lineRule="auto"/>
        <w:jc w:val="both"/>
      </w:pPr>
      <w:r w:rsidRPr="009A7163">
        <w:rPr>
          <w:rFonts w:eastAsia="MS Mincho"/>
        </w:rPr>
        <w:t xml:space="preserve">Here the president draws attention to the lack of methodology and the issue of only doing one scoping exercise in order to </w:t>
      </w:r>
      <w:r w:rsidR="008B1EE5" w:rsidRPr="009A7163">
        <w:rPr>
          <w:rFonts w:eastAsia="MS Mincho"/>
        </w:rPr>
        <w:t>calculate</w:t>
      </w:r>
      <w:r w:rsidRPr="009A7163">
        <w:rPr>
          <w:rFonts w:eastAsia="MS Mincho"/>
        </w:rPr>
        <w:t xml:space="preserve"> the cost of women’s unpaid work </w:t>
      </w:r>
      <w:r w:rsidR="00FF4E13" w:rsidRPr="009A7163">
        <w:rPr>
          <w:rFonts w:eastAsia="MS Mincho"/>
        </w:rPr>
        <w:t>‘</w:t>
      </w:r>
      <w:r w:rsidRPr="009A7163">
        <w:rPr>
          <w:rFonts w:eastAsia="MS Mincho"/>
        </w:rPr>
        <w:t>plucked out of thin air</w:t>
      </w:r>
      <w:r w:rsidR="00FF4E13" w:rsidRPr="009A7163">
        <w:rPr>
          <w:rFonts w:eastAsia="MS Mincho"/>
        </w:rPr>
        <w:t>’</w:t>
      </w:r>
      <w:r w:rsidRPr="009A7163">
        <w:rPr>
          <w:rFonts w:eastAsia="MS Mincho"/>
        </w:rPr>
        <w:t xml:space="preserve"> and mentions the difficulty of separating what does or does not contribute to sesame production. </w:t>
      </w:r>
      <w:r w:rsidR="007A6781" w:rsidRPr="009A7163">
        <w:rPr>
          <w:rFonts w:eastAsia="MS Mincho"/>
        </w:rPr>
        <w:t>He infers that he would only count direct work related to sesame production</w:t>
      </w:r>
      <w:r w:rsidR="00FF4E13" w:rsidRPr="009A7163">
        <w:rPr>
          <w:rFonts w:eastAsia="MS Mincho"/>
        </w:rPr>
        <w:t>,</w:t>
      </w:r>
      <w:r w:rsidR="007A6781" w:rsidRPr="009A7163">
        <w:rPr>
          <w:rFonts w:eastAsia="MS Mincho"/>
        </w:rPr>
        <w:t xml:space="preserve"> but </w:t>
      </w:r>
      <w:r w:rsidR="001201CA" w:rsidRPr="009A7163">
        <w:rPr>
          <w:rFonts w:eastAsia="MS Mincho"/>
        </w:rPr>
        <w:t>Hoskyns</w:t>
      </w:r>
      <w:r w:rsidR="007A6781" w:rsidRPr="009A7163">
        <w:rPr>
          <w:rFonts w:eastAsia="MS Mincho"/>
        </w:rPr>
        <w:t xml:space="preserve"> TUS and subsequent proposal to BSI included indirect and direct unpaid work. </w:t>
      </w:r>
      <w:r w:rsidR="0004022E" w:rsidRPr="009A7163">
        <w:rPr>
          <w:rFonts w:eastAsia="MS Mincho"/>
        </w:rPr>
        <w:t xml:space="preserve">As was discussed earlier in this chapter, the blurred lines of different types of work makes the subject of measuring these activities challenging from the onset. In the case of BSI, they were happy to accept this estimated measurement that led to the new pricing model. The Senior Buyer for the Community Trade program at the time said:  </w:t>
      </w:r>
    </w:p>
    <w:p w14:paraId="7231CE80" w14:textId="745F9E1A" w:rsidR="0004022E" w:rsidRPr="009A7163" w:rsidRDefault="0004022E">
      <w:pPr>
        <w:spacing w:after="240"/>
        <w:ind w:left="720"/>
        <w:jc w:val="both"/>
        <w:rPr>
          <w:rFonts w:eastAsia="MS Mincho"/>
        </w:rPr>
      </w:pPr>
      <w:r w:rsidRPr="009A7163">
        <w:rPr>
          <w:rFonts w:eastAsia="MS Mincho"/>
        </w:rPr>
        <w:t>There was a percentage paid as a premium</w:t>
      </w:r>
      <w:r w:rsidR="00FF4E13" w:rsidRPr="009A7163">
        <w:rPr>
          <w:rFonts w:eastAsia="MS Mincho"/>
        </w:rPr>
        <w:t>,</w:t>
      </w:r>
      <w:r w:rsidRPr="009A7163">
        <w:rPr>
          <w:rFonts w:eastAsia="MS Mincho"/>
        </w:rPr>
        <w:t xml:space="preserve"> but BSI never had insight into the methodology of how it was calculated. It was % on farm gate price. They told us that some work had been done locally to measure and calculate this. BSI was confident in the cooperative and their ability to calculate a fair price. And in terms of the usual pricing, they had 20 years of doing it and BSI was assured that they could figure out this amount, at least to start the pilot off. So we went with the figure that they gave us and it also worked with our finances. But how </w:t>
      </w:r>
      <w:r w:rsidRPr="009A7163">
        <w:rPr>
          <w:rFonts w:eastAsia="MS Mincho"/>
        </w:rPr>
        <w:lastRenderedPageBreak/>
        <w:t>they determined it, I can’t remember the exact methodology. I think it was a set amount rather than a methodology. (Expert Interview, February 23, 2017)</w:t>
      </w:r>
    </w:p>
    <w:p w14:paraId="6AE84D0E" w14:textId="6DB5095C" w:rsidR="00D721E2" w:rsidRPr="009A7163" w:rsidRDefault="00D721E2" w:rsidP="00100C2B">
      <w:pPr>
        <w:spacing w:after="240" w:line="360" w:lineRule="auto"/>
        <w:jc w:val="both"/>
        <w:rPr>
          <w:rFonts w:eastAsia="MS Mincho"/>
        </w:rPr>
      </w:pPr>
      <w:r w:rsidRPr="009A7163">
        <w:rPr>
          <w:rFonts w:eastAsia="MS Mincho"/>
        </w:rPr>
        <w:t>The confirmation by the BSI buyer that the methodology was left to the farmers and that they trusted them shows the strength of the relationship and the trust. It also resonates with Waring’s (2008) argument that TUS do not always have to be extensive or costly</w:t>
      </w:r>
      <w:r w:rsidR="00FF4E13" w:rsidRPr="009A7163">
        <w:rPr>
          <w:rFonts w:eastAsia="MS Mincho"/>
        </w:rPr>
        <w:t>,</w:t>
      </w:r>
      <w:r w:rsidRPr="009A7163">
        <w:rPr>
          <w:rFonts w:eastAsia="MS Mincho"/>
        </w:rPr>
        <w:t xml:space="preserve"> but rather serve policy. In the case of the C</w:t>
      </w:r>
      <w:r w:rsidR="00FF4E13" w:rsidRPr="009A7163">
        <w:rPr>
          <w:rFonts w:eastAsia="MS Mincho"/>
        </w:rPr>
        <w:t>J</w:t>
      </w:r>
      <w:r w:rsidRPr="009A7163">
        <w:rPr>
          <w:rFonts w:eastAsia="MS Mincho"/>
        </w:rPr>
        <w:t>FPS pricing model, evidence from one TUS was enough to demonstrate a well-known reality that women spent a significant p</w:t>
      </w:r>
      <w:r w:rsidR="00C42812" w:rsidRPr="009A7163">
        <w:rPr>
          <w:rFonts w:eastAsia="MS Mincho"/>
        </w:rPr>
        <w:t>art of their day undertaking unp</w:t>
      </w:r>
      <w:r w:rsidRPr="009A7163">
        <w:rPr>
          <w:rFonts w:eastAsia="MS Mincho"/>
        </w:rPr>
        <w:t xml:space="preserve">aid work. </w:t>
      </w:r>
    </w:p>
    <w:p w14:paraId="7BCBE621" w14:textId="6CE1100A" w:rsidR="0004022E" w:rsidRPr="009A7163" w:rsidRDefault="0004022E" w:rsidP="00293176">
      <w:pPr>
        <w:pStyle w:val="Heading3"/>
        <w:rPr>
          <w:rFonts w:eastAsia="MS Mincho"/>
        </w:rPr>
      </w:pPr>
      <w:bookmarkStart w:id="108" w:name="_Toc526819325"/>
      <w:r w:rsidRPr="009A7163">
        <w:rPr>
          <w:rFonts w:eastAsia="MS Mincho"/>
        </w:rPr>
        <w:t>5.3.2  Time Use Surveys and What Is Left Out</w:t>
      </w:r>
      <w:bookmarkEnd w:id="108"/>
    </w:p>
    <w:p w14:paraId="584873E7" w14:textId="515CDC64" w:rsidR="0004022E" w:rsidRPr="009A7163" w:rsidRDefault="0004022E" w:rsidP="008C041F">
      <w:pPr>
        <w:spacing w:line="360" w:lineRule="auto"/>
        <w:ind w:firstLine="720"/>
        <w:jc w:val="both"/>
        <w:rPr>
          <w:rFonts w:eastAsia="MS Mincho"/>
        </w:rPr>
      </w:pPr>
      <w:r w:rsidRPr="009A7163">
        <w:rPr>
          <w:rFonts w:eastAsia="MS Mincho"/>
        </w:rPr>
        <w:t xml:space="preserve">The initial TUS was with one family and </w:t>
      </w:r>
      <w:r w:rsidR="00FF4E13" w:rsidRPr="009A7163">
        <w:rPr>
          <w:rFonts w:eastAsia="MS Mincho"/>
        </w:rPr>
        <w:t>consisted of observing the amount of</w:t>
      </w:r>
      <w:r w:rsidRPr="009A7163">
        <w:rPr>
          <w:rFonts w:eastAsia="MS Mincho"/>
        </w:rPr>
        <w:t xml:space="preserve"> time distributed between tasks. However, going forth, the manager of the sesame cooperative stated in the interview it would be important to review this methodology and its exactness. As some of the experts interviewed argued, measuring time with TUSs is not always accurate (see discussion of TUS limitations in </w:t>
      </w:r>
      <w:r w:rsidR="00B44AC2" w:rsidRPr="009A7163">
        <w:rPr>
          <w:rFonts w:eastAsia="MS Mincho"/>
        </w:rPr>
        <w:t>Chapter Four</w:t>
      </w:r>
      <w:r w:rsidRPr="009A7163">
        <w:rPr>
          <w:rFonts w:eastAsia="MS Mincho"/>
        </w:rPr>
        <w:t>). For example, Geni Gomez, a feminist activist and educator at Grupo Venancia (GV</w:t>
      </w:r>
      <w:r w:rsidRPr="009A7163">
        <w:rPr>
          <w:rFonts w:eastAsia="MS Mincho"/>
          <w:vertAlign w:val="superscript"/>
        </w:rPr>
        <w:footnoteReference w:id="94"/>
      </w:r>
      <w:r w:rsidRPr="009A7163">
        <w:rPr>
          <w:rFonts w:eastAsia="MS Mincho"/>
        </w:rPr>
        <w:t xml:space="preserve">), argued that TUS measure activities but do not always capture simultaneous work, which is both a methodological as well as linguistic issue. She explained: </w:t>
      </w:r>
    </w:p>
    <w:p w14:paraId="6E933EC1" w14:textId="77777777" w:rsidR="0004022E" w:rsidRPr="009A7163" w:rsidRDefault="0004022E">
      <w:pPr>
        <w:spacing w:after="180"/>
        <w:ind w:left="720"/>
        <w:jc w:val="both"/>
        <w:rPr>
          <w:rFonts w:eastAsia="MS Mincho"/>
        </w:rPr>
      </w:pPr>
      <w:r w:rsidRPr="009A7163">
        <w:rPr>
          <w:rFonts w:eastAsia="MS Mincho"/>
        </w:rPr>
        <w:t>Measuring time in minutes can be false as firstly women find it hard to identify and remember everything that they do. Women can forget what they did or not give you all the exact details. For example, they might just say “look after the house” instead of listing all the work that they did. Not everyone has the same way of valuing and talking about what they did. If you do not take these nuances into account and compare the work that the women and men did, for example, it could be misleading. (Expert Interview, March 19, 2016)</w:t>
      </w:r>
    </w:p>
    <w:p w14:paraId="21DB6A27" w14:textId="28377271" w:rsidR="0004022E" w:rsidRPr="009A7163" w:rsidRDefault="0004022E">
      <w:pPr>
        <w:spacing w:line="360" w:lineRule="auto"/>
        <w:jc w:val="both"/>
        <w:rPr>
          <w:rFonts w:eastAsia="MS Mincho"/>
        </w:rPr>
      </w:pPr>
      <w:r w:rsidRPr="009A7163">
        <w:rPr>
          <w:rFonts w:eastAsia="MS Mincho"/>
        </w:rPr>
        <w:t>The challenge of documenting care and ensuring that multitasking is not underreported are issues that were highlighted a number of times in differen</w:t>
      </w:r>
      <w:r w:rsidR="005D1389" w:rsidRPr="009A7163">
        <w:rPr>
          <w:rFonts w:eastAsia="MS Mincho"/>
        </w:rPr>
        <w:t>t interviews. Geni Gomez</w:t>
      </w:r>
      <w:r w:rsidRPr="009A7163">
        <w:rPr>
          <w:rFonts w:eastAsia="MS Mincho"/>
        </w:rPr>
        <w:t xml:space="preserve"> went on to explain:</w:t>
      </w:r>
    </w:p>
    <w:p w14:paraId="79840D57" w14:textId="2B3192D2" w:rsidR="0004022E" w:rsidRPr="009A7163" w:rsidRDefault="0004022E">
      <w:pPr>
        <w:spacing w:after="180"/>
        <w:ind w:left="720"/>
        <w:jc w:val="both"/>
        <w:rPr>
          <w:rFonts w:eastAsia="MS Mincho"/>
        </w:rPr>
      </w:pPr>
      <w:r w:rsidRPr="009A7163">
        <w:rPr>
          <w:rFonts w:eastAsia="MS Mincho"/>
        </w:rPr>
        <w:t>So, the woman is at home because she is responsible for looking after the house, but at the same time she is probably cooking, looking after young children and also elderly people who co-habit the space as they cannot be left alone, and at the same time she is cooking beans; in reality, she’s doing a lot of simultaneous activities which measured in time takes up that same time. However, not all of these activities require the same energy, concentration, difficulty</w:t>
      </w:r>
      <w:r w:rsidR="006B0BC9" w:rsidRPr="009A7163">
        <w:rPr>
          <w:rFonts w:eastAsia="MS Mincho"/>
        </w:rPr>
        <w:t>…</w:t>
      </w:r>
      <w:r w:rsidRPr="009A7163">
        <w:rPr>
          <w:rFonts w:eastAsia="MS Mincho"/>
        </w:rPr>
        <w:t>So although the easiest thing is to measure activities by time. This is not so precise</w:t>
      </w:r>
      <w:r w:rsidR="00FE5EB3" w:rsidRPr="009A7163">
        <w:rPr>
          <w:rFonts w:eastAsia="MS Mincho"/>
        </w:rPr>
        <w:t>…</w:t>
      </w:r>
      <w:r w:rsidR="002F73E9" w:rsidRPr="009A7163">
        <w:rPr>
          <w:rFonts w:eastAsia="MS Mincho"/>
        </w:rPr>
        <w:t xml:space="preserve"> </w:t>
      </w:r>
      <w:r w:rsidRPr="009A7163">
        <w:rPr>
          <w:rFonts w:eastAsia="MS Mincho"/>
        </w:rPr>
        <w:t>(Expert Interview, March 19, 2016)</w:t>
      </w:r>
    </w:p>
    <w:p w14:paraId="5A00C521" w14:textId="1A7BA360" w:rsidR="0004022E" w:rsidRPr="009A7163" w:rsidRDefault="00160C2F">
      <w:pPr>
        <w:spacing w:line="360" w:lineRule="auto"/>
        <w:jc w:val="both"/>
        <w:rPr>
          <w:rFonts w:eastAsia="MS Mincho"/>
        </w:rPr>
      </w:pPr>
      <w:r w:rsidRPr="009A7163">
        <w:rPr>
          <w:rFonts w:eastAsia="MS Mincho"/>
        </w:rPr>
        <w:lastRenderedPageBreak/>
        <w:t>The point that Geni Gomez raises is an issue that has been discussed in other articles</w:t>
      </w:r>
      <w:r w:rsidR="00FF4E13" w:rsidRPr="009A7163">
        <w:rPr>
          <w:rFonts w:eastAsia="MS Mincho"/>
        </w:rPr>
        <w:t>.</w:t>
      </w:r>
      <w:r w:rsidRPr="009A7163">
        <w:rPr>
          <w:rFonts w:eastAsia="MS Mincho"/>
        </w:rPr>
        <w:t xml:space="preserve"> </w:t>
      </w:r>
      <w:r w:rsidR="00FF4E13" w:rsidRPr="009A7163">
        <w:rPr>
          <w:rFonts w:eastAsia="MS Mincho"/>
        </w:rPr>
        <w:t>S</w:t>
      </w:r>
      <w:r w:rsidRPr="009A7163">
        <w:rPr>
          <w:rFonts w:eastAsia="MS Mincho"/>
        </w:rPr>
        <w:t xml:space="preserve">imultaneous work is one of the greatest challenges </w:t>
      </w:r>
      <w:r w:rsidR="00FF4E13" w:rsidRPr="009A7163">
        <w:rPr>
          <w:rFonts w:eastAsia="MS Mincho"/>
        </w:rPr>
        <w:t>when using</w:t>
      </w:r>
      <w:r w:rsidRPr="009A7163">
        <w:rPr>
          <w:rFonts w:eastAsia="MS Mincho"/>
        </w:rPr>
        <w:t xml:space="preserve"> TUS and the other points she raises about TUS not capturing the other details on work</w:t>
      </w:r>
      <w:r w:rsidR="00FF4E13" w:rsidRPr="009A7163">
        <w:rPr>
          <w:rFonts w:eastAsia="MS Mincho"/>
        </w:rPr>
        <w:t>,</w:t>
      </w:r>
      <w:r w:rsidRPr="009A7163">
        <w:rPr>
          <w:rFonts w:eastAsia="MS Mincho"/>
        </w:rPr>
        <w:t xml:space="preserve"> such as difficulty</w:t>
      </w:r>
      <w:r w:rsidR="00FF4E13" w:rsidRPr="009A7163">
        <w:rPr>
          <w:rFonts w:eastAsia="MS Mincho"/>
        </w:rPr>
        <w:t xml:space="preserve">, </w:t>
      </w:r>
      <w:r w:rsidRPr="009A7163">
        <w:rPr>
          <w:rFonts w:eastAsia="MS Mincho"/>
        </w:rPr>
        <w:t>is valid but can be addressed in the observation notes taken by the interviewer and also in focus groups where tasks are discussed – both of which I did in my research.</w:t>
      </w:r>
      <w:r w:rsidR="00783B52" w:rsidRPr="009A7163">
        <w:rPr>
          <w:rFonts w:eastAsia="MS Mincho"/>
        </w:rPr>
        <w:t xml:space="preserve"> The issue of reporting extends to other areas such as memory. T</w:t>
      </w:r>
      <w:r w:rsidR="0004022E" w:rsidRPr="009A7163">
        <w:rPr>
          <w:rFonts w:eastAsia="MS Mincho"/>
        </w:rPr>
        <w:t>he Director of Research at the Nitlapan Research and Development Institute, Universidad Centroamericana, Selmira Flores, added that TUSs are complicated as women forget what they did and do</w:t>
      </w:r>
      <w:r w:rsidR="00FF4E13" w:rsidRPr="009A7163">
        <w:rPr>
          <w:rFonts w:eastAsia="MS Mincho"/>
        </w:rPr>
        <w:t xml:space="preserve"> not</w:t>
      </w:r>
      <w:r w:rsidR="0004022E" w:rsidRPr="009A7163">
        <w:rPr>
          <w:rFonts w:eastAsia="MS Mincho"/>
        </w:rPr>
        <w:t xml:space="preserve"> always consider it ‘work’, and this influences their answers (Expert Interview, May 19, 2016). An interesting observation in the research process itself was how asking questions about women’s time and asking women to recall their time use led them to change the way they viewed what they did and who they were: </w:t>
      </w:r>
    </w:p>
    <w:p w14:paraId="6A976D02" w14:textId="143767BA" w:rsidR="0004022E" w:rsidRPr="009A7163" w:rsidRDefault="0004022E">
      <w:pPr>
        <w:spacing w:after="180"/>
        <w:ind w:left="720"/>
        <w:jc w:val="both"/>
        <w:rPr>
          <w:rFonts w:eastAsia="MS Mincho"/>
          <w:i/>
        </w:rPr>
      </w:pPr>
      <w:r w:rsidRPr="009A7163">
        <w:rPr>
          <w:rFonts w:eastAsia="MS Mincho"/>
        </w:rPr>
        <w:t>It’s like you did a valuation of what we do and this made us think because we work daily but don’t even think about it and so when you came to interview, well it made us think. We began to ask “How long have we been working” and we began to wonder why we always say “it’s only our husbands who work” and we didn’t even realise that we work too and so I think [this process] has been important because it’s going stay in our minds and we now value our work, all the work we do, we are now valuing it, every part</w:t>
      </w:r>
      <w:r w:rsidR="00FE5EB3" w:rsidRPr="009A7163">
        <w:rPr>
          <w:rFonts w:eastAsia="MS Mincho"/>
        </w:rPr>
        <w:t>…</w:t>
      </w:r>
      <w:r w:rsidR="002F73E9" w:rsidRPr="009A7163">
        <w:rPr>
          <w:rFonts w:eastAsia="MS Mincho"/>
        </w:rPr>
        <w:t xml:space="preserve"> </w:t>
      </w:r>
      <w:r w:rsidRPr="009A7163">
        <w:rPr>
          <w:rFonts w:eastAsia="MS Mincho"/>
        </w:rPr>
        <w:t>(Focus group women La Pita, March 4, 2015)</w:t>
      </w:r>
    </w:p>
    <w:p w14:paraId="4E3DE6C1" w14:textId="77777777" w:rsidR="0004022E" w:rsidRPr="009A7163" w:rsidRDefault="0004022E">
      <w:pPr>
        <w:spacing w:after="180"/>
        <w:ind w:left="720"/>
        <w:jc w:val="both"/>
      </w:pPr>
      <w:r w:rsidRPr="009A7163">
        <w:t>On my behalf, I want to say that often we work a great deal and normally we don’t analyse what we do but with your work, with what you came to do and through the interviews [time use] I began to value what I did…often, you yourself don’t value yourself or your work and so one should have knowledge about the work that you do, the value it has and that it should be recognised in the household. In this instance, you need to know the value of your work and tell your family, them must see and acknowledge this hard work. (Individual interview Achuapa female, 45-54 years old, married, non-member, producer, less than 3 years in the initiative, February 8, 2015)</w:t>
      </w:r>
    </w:p>
    <w:p w14:paraId="37CA4BB6" w14:textId="18448856" w:rsidR="0004022E" w:rsidRPr="009A7163" w:rsidRDefault="00854D64" w:rsidP="002F73E9">
      <w:pPr>
        <w:spacing w:line="360" w:lineRule="auto"/>
        <w:jc w:val="both"/>
        <w:rPr>
          <w:rFonts w:eastAsia="MS Mincho"/>
        </w:rPr>
      </w:pPr>
      <w:r w:rsidRPr="009A7163">
        <w:t>The</w:t>
      </w:r>
      <w:r w:rsidR="00EA25CD" w:rsidRPr="009A7163">
        <w:t xml:space="preserve"> quotes above show that conscious </w:t>
      </w:r>
      <w:r w:rsidR="00FF4E13" w:rsidRPr="009A7163">
        <w:t>awareness raising,</w:t>
      </w:r>
      <w:r w:rsidR="00EA25CD" w:rsidRPr="009A7163">
        <w:t xml:space="preserve"> whic</w:t>
      </w:r>
      <w:r w:rsidR="00FF4E13" w:rsidRPr="009A7163">
        <w:t>h</w:t>
      </w:r>
      <w:r w:rsidRPr="009A7163">
        <w:t xml:space="preserve"> incidentally</w:t>
      </w:r>
      <w:r w:rsidR="00FF4E13" w:rsidRPr="009A7163">
        <w:t xml:space="preserve"> happened</w:t>
      </w:r>
      <w:r w:rsidRPr="009A7163">
        <w:t xml:space="preserve"> through the research</w:t>
      </w:r>
      <w:r w:rsidR="00FF4E13" w:rsidRPr="009A7163">
        <w:t>,</w:t>
      </w:r>
      <w:r w:rsidRPr="009A7163">
        <w:t xml:space="preserve"> led to changes in the women’s perceptions of their roles. </w:t>
      </w:r>
      <w:r w:rsidR="00EA25CD" w:rsidRPr="009A7163">
        <w:t xml:space="preserve">Specific work around gender roles and time use </w:t>
      </w:r>
      <w:r w:rsidRPr="009A7163">
        <w:t xml:space="preserve">was not </w:t>
      </w:r>
      <w:r w:rsidR="00EA25CD" w:rsidRPr="009A7163">
        <w:t xml:space="preserve">included in the </w:t>
      </w:r>
      <w:r w:rsidRPr="009A7163">
        <w:t>WEE model</w:t>
      </w:r>
      <w:r w:rsidR="00FF4E13" w:rsidRPr="009A7163">
        <w:t>,</w:t>
      </w:r>
      <w:r w:rsidRPr="009A7163">
        <w:t xml:space="preserve"> but is crucial to contributing to a broader definition of </w:t>
      </w:r>
      <w:r w:rsidR="00EA25CD" w:rsidRPr="009A7163">
        <w:t>empowerment.</w:t>
      </w:r>
      <w:r w:rsidR="0004022E" w:rsidRPr="009A7163">
        <w:rPr>
          <w:rFonts w:eastAsia="MS Mincho"/>
        </w:rPr>
        <w:t xml:space="preserve"> The importance of the research process as a facilitator of change</w:t>
      </w:r>
      <w:r w:rsidR="00550024" w:rsidRPr="009A7163">
        <w:rPr>
          <w:rFonts w:eastAsia="MS Mincho"/>
        </w:rPr>
        <w:t>,</w:t>
      </w:r>
      <w:r w:rsidR="0004022E" w:rsidRPr="009A7163">
        <w:rPr>
          <w:rFonts w:eastAsia="MS Mincho"/>
        </w:rPr>
        <w:t xml:space="preserve"> </w:t>
      </w:r>
      <w:r w:rsidR="00EA25CD" w:rsidRPr="009A7163">
        <w:rPr>
          <w:rFonts w:eastAsia="MS Mincho"/>
        </w:rPr>
        <w:t xml:space="preserve">as </w:t>
      </w:r>
      <w:r w:rsidR="0004022E" w:rsidRPr="009A7163">
        <w:rPr>
          <w:rFonts w:eastAsia="MS Mincho"/>
        </w:rPr>
        <w:t>highlighted above</w:t>
      </w:r>
      <w:r w:rsidR="00550024" w:rsidRPr="009A7163">
        <w:rPr>
          <w:rFonts w:eastAsia="MS Mincho"/>
        </w:rPr>
        <w:t>,</w:t>
      </w:r>
      <w:r w:rsidR="00EA25CD" w:rsidRPr="009A7163">
        <w:rPr>
          <w:rFonts w:eastAsia="MS Mincho"/>
        </w:rPr>
        <w:t xml:space="preserve"> is important</w:t>
      </w:r>
      <w:r w:rsidR="00550024" w:rsidRPr="009A7163">
        <w:rPr>
          <w:rFonts w:eastAsia="MS Mincho"/>
        </w:rPr>
        <w:t>,</w:t>
      </w:r>
      <w:r w:rsidR="00EA25CD" w:rsidRPr="009A7163">
        <w:rPr>
          <w:rFonts w:eastAsia="MS Mincho"/>
        </w:rPr>
        <w:t xml:space="preserve"> </w:t>
      </w:r>
      <w:r w:rsidR="0004022E" w:rsidRPr="009A7163">
        <w:rPr>
          <w:rFonts w:eastAsia="MS Mincho"/>
        </w:rPr>
        <w:t xml:space="preserve">but it can also be problematic. </w:t>
      </w:r>
      <w:r w:rsidR="00EA25CD" w:rsidRPr="009A7163">
        <w:rPr>
          <w:rFonts w:eastAsia="MS Mincho"/>
        </w:rPr>
        <w:t xml:space="preserve">However just as the research process can bring to women’s attention their roles, TUS can also invisibilize roles if the interviewer/interviewee undercount </w:t>
      </w:r>
      <w:r w:rsidR="003A2C87" w:rsidRPr="009A7163">
        <w:rPr>
          <w:rFonts w:eastAsia="MS Mincho"/>
        </w:rPr>
        <w:t>UCW</w:t>
      </w:r>
      <w:r w:rsidR="00EA25CD" w:rsidRPr="009A7163">
        <w:rPr>
          <w:rFonts w:eastAsia="MS Mincho"/>
        </w:rPr>
        <w:t xml:space="preserve">. </w:t>
      </w:r>
      <w:r w:rsidR="0004022E" w:rsidRPr="009A7163">
        <w:rPr>
          <w:rFonts w:eastAsia="MS Mincho"/>
        </w:rPr>
        <w:t xml:space="preserve">The </w:t>
      </w:r>
      <w:r w:rsidR="0004022E" w:rsidRPr="009A7163">
        <w:rPr>
          <w:rFonts w:eastAsia="MS Mincho"/>
          <w:bCs/>
          <w:iCs/>
        </w:rPr>
        <w:t xml:space="preserve">Academic Coordinator for the Masters Gender Program at the Universidad Centroamericana, Ana Victoria Portocarrero, </w:t>
      </w:r>
      <w:r w:rsidR="0004022E" w:rsidRPr="009A7163">
        <w:rPr>
          <w:rFonts w:eastAsia="MS Mincho"/>
        </w:rPr>
        <w:t xml:space="preserve">warned that when measuring </w:t>
      </w:r>
      <w:r w:rsidR="0004022E" w:rsidRPr="009A7163">
        <w:rPr>
          <w:rFonts w:eastAsia="MS Mincho"/>
        </w:rPr>
        <w:lastRenderedPageBreak/>
        <w:t xml:space="preserve">it is important to ask the right questions and in the right ways so that the interviewer does not further invisibilise </w:t>
      </w:r>
      <w:r w:rsidR="00CA5337" w:rsidRPr="009A7163">
        <w:rPr>
          <w:rFonts w:eastAsia="MS Mincho"/>
        </w:rPr>
        <w:t>work (</w:t>
      </w:r>
      <w:r w:rsidR="0004022E" w:rsidRPr="009A7163">
        <w:rPr>
          <w:rFonts w:eastAsia="MS Mincho"/>
        </w:rPr>
        <w:t>Expert Interview, March 14, 2016)</w:t>
      </w:r>
      <w:r w:rsidR="00EA25CD" w:rsidRPr="009A7163">
        <w:rPr>
          <w:rFonts w:eastAsia="MS Mincho"/>
        </w:rPr>
        <w:t>.</w:t>
      </w:r>
      <w:r w:rsidR="002F73E9" w:rsidRPr="009A7163">
        <w:rPr>
          <w:rFonts w:eastAsia="MS Mincho"/>
        </w:rPr>
        <w:t xml:space="preserve"> </w:t>
      </w:r>
      <w:r w:rsidR="00EA25CD" w:rsidRPr="009A7163">
        <w:rPr>
          <w:rFonts w:eastAsia="MS Mincho"/>
        </w:rPr>
        <w:t>If women’s simultaneous work is not captured</w:t>
      </w:r>
      <w:r w:rsidR="00550024" w:rsidRPr="009A7163">
        <w:rPr>
          <w:rFonts w:eastAsia="MS Mincho"/>
        </w:rPr>
        <w:t>,</w:t>
      </w:r>
      <w:r w:rsidR="00EA25CD" w:rsidRPr="009A7163">
        <w:rPr>
          <w:rFonts w:eastAsia="MS Mincho"/>
        </w:rPr>
        <w:t xml:space="preserve"> such as childcare</w:t>
      </w:r>
      <w:r w:rsidR="00550024" w:rsidRPr="009A7163">
        <w:rPr>
          <w:rFonts w:eastAsia="MS Mincho"/>
        </w:rPr>
        <w:t>,</w:t>
      </w:r>
      <w:r w:rsidR="00EA25CD" w:rsidRPr="009A7163">
        <w:rPr>
          <w:rFonts w:eastAsia="MS Mincho"/>
        </w:rPr>
        <w:t xml:space="preserve"> it prevents us from knowing not only the amount of time and energy it takes to do this task</w:t>
      </w:r>
      <w:r w:rsidR="00550024" w:rsidRPr="009A7163">
        <w:rPr>
          <w:rFonts w:eastAsia="MS Mincho"/>
        </w:rPr>
        <w:t>,</w:t>
      </w:r>
      <w:r w:rsidR="00EA25CD" w:rsidRPr="009A7163">
        <w:rPr>
          <w:rFonts w:eastAsia="MS Mincho"/>
        </w:rPr>
        <w:t xml:space="preserve"> but also what the women </w:t>
      </w:r>
      <w:r w:rsidR="00550024" w:rsidRPr="009A7163">
        <w:rPr>
          <w:rFonts w:eastAsia="MS Mincho"/>
        </w:rPr>
        <w:t>are</w:t>
      </w:r>
      <w:r w:rsidR="00EA25CD" w:rsidRPr="009A7163">
        <w:rPr>
          <w:rFonts w:eastAsia="MS Mincho"/>
        </w:rPr>
        <w:t xml:space="preserve"> prevented from doing because of this cost. This value or cost is not always recorded.</w:t>
      </w:r>
    </w:p>
    <w:p w14:paraId="66C75789" w14:textId="4832A227" w:rsidR="0004022E" w:rsidRPr="009A7163" w:rsidRDefault="0004022E" w:rsidP="00F14ED1">
      <w:pPr>
        <w:spacing w:line="360" w:lineRule="auto"/>
        <w:ind w:firstLine="720"/>
        <w:jc w:val="both"/>
        <w:rPr>
          <w:rFonts w:eastAsia="MS Mincho"/>
        </w:rPr>
      </w:pPr>
      <w:r w:rsidRPr="009A7163">
        <w:rPr>
          <w:rFonts w:eastAsia="MS Mincho"/>
        </w:rPr>
        <w:t xml:space="preserve">Another issue raised by two of the interviewed experts is that TUSs do not measure, show or distinguish the energy expended doing tasks, </w:t>
      </w:r>
      <w:r w:rsidR="00550024" w:rsidRPr="009A7163">
        <w:rPr>
          <w:rFonts w:eastAsia="MS Mincho"/>
        </w:rPr>
        <w:t xml:space="preserve">or show </w:t>
      </w:r>
      <w:r w:rsidRPr="009A7163">
        <w:rPr>
          <w:rFonts w:eastAsia="MS Mincho"/>
        </w:rPr>
        <w:t>the difficulty experienced doing them, the motives for doing them, the intensity of undertaking them</w:t>
      </w:r>
      <w:r w:rsidR="00550024" w:rsidRPr="009A7163">
        <w:rPr>
          <w:rFonts w:eastAsia="MS Mincho"/>
        </w:rPr>
        <w:t xml:space="preserve"> </w:t>
      </w:r>
      <w:r w:rsidRPr="009A7163">
        <w:rPr>
          <w:rFonts w:eastAsia="MS Mincho"/>
        </w:rPr>
        <w:t>or the fatigue that the women experience whilst doing unpaid work. However, the salary that someone gets for remunerated work</w:t>
      </w:r>
      <w:r w:rsidR="00E16049" w:rsidRPr="009A7163">
        <w:rPr>
          <w:rFonts w:eastAsia="MS Mincho"/>
        </w:rPr>
        <w:t xml:space="preserve"> </w:t>
      </w:r>
      <w:r w:rsidR="002F73E9" w:rsidRPr="009A7163">
        <w:rPr>
          <w:rFonts w:eastAsia="MS Mincho"/>
        </w:rPr>
        <w:t>does not take the aforementioned factors into consideration either</w:t>
      </w:r>
      <w:r w:rsidRPr="009A7163">
        <w:rPr>
          <w:rFonts w:eastAsia="MS Mincho"/>
        </w:rPr>
        <w:t>. Furthermore, TUS neglect to reveal how unpaid work affects the person in th</w:t>
      </w:r>
      <w:r w:rsidR="00DD6B2E" w:rsidRPr="009A7163">
        <w:rPr>
          <w:rFonts w:eastAsia="MS Mincho"/>
        </w:rPr>
        <w:t xml:space="preserve">e </w:t>
      </w:r>
      <w:r w:rsidRPr="009A7163">
        <w:rPr>
          <w:rFonts w:eastAsia="MS Mincho"/>
        </w:rPr>
        <w:t>moment</w:t>
      </w:r>
      <w:r w:rsidR="00DD6B2E" w:rsidRPr="009A7163">
        <w:rPr>
          <w:rFonts w:eastAsia="MS Mincho"/>
        </w:rPr>
        <w:t xml:space="preserve"> they are undertaking the task </w:t>
      </w:r>
      <w:r w:rsidRPr="009A7163">
        <w:rPr>
          <w:rFonts w:eastAsia="MS Mincho"/>
        </w:rPr>
        <w:t>or their overall well-being and health over a period of time</w:t>
      </w:r>
      <w:r w:rsidR="00550024" w:rsidRPr="009A7163">
        <w:rPr>
          <w:rFonts w:eastAsia="MS Mincho"/>
        </w:rPr>
        <w:t xml:space="preserve"> –</w:t>
      </w:r>
      <w:r w:rsidRPr="009A7163">
        <w:rPr>
          <w:rFonts w:eastAsia="MS Mincho"/>
        </w:rPr>
        <w:t xml:space="preserve"> or even a life-time. Finally, TUS do not show the conditions of where women are undertaking tasks</w:t>
      </w:r>
      <w:r w:rsidR="00550024" w:rsidRPr="009A7163">
        <w:rPr>
          <w:rFonts w:eastAsia="MS Mincho"/>
        </w:rPr>
        <w:t>,</w:t>
      </w:r>
      <w:r w:rsidRPr="009A7163">
        <w:rPr>
          <w:rFonts w:eastAsia="MS Mincho"/>
        </w:rPr>
        <w:t xml:space="preserve"> nor the quality of these conditions. For example, cooking over a wood stove is very different </w:t>
      </w:r>
      <w:r w:rsidR="00550024" w:rsidRPr="009A7163">
        <w:rPr>
          <w:rFonts w:eastAsia="MS Mincho"/>
        </w:rPr>
        <w:t>from</w:t>
      </w:r>
      <w:r w:rsidRPr="009A7163">
        <w:rPr>
          <w:rFonts w:eastAsia="MS Mincho"/>
        </w:rPr>
        <w:t xml:space="preserve"> a cooker. The quality and safety of the conditions depend on the availability of infrastructure and consumer buying power. As one participant explained:</w:t>
      </w:r>
    </w:p>
    <w:p w14:paraId="08761B7C" w14:textId="005A4A14" w:rsidR="0004022E" w:rsidRPr="009A7163" w:rsidRDefault="0004022E">
      <w:pPr>
        <w:spacing w:after="180"/>
        <w:ind w:left="720"/>
        <w:jc w:val="both"/>
        <w:rPr>
          <w:i/>
        </w:rPr>
      </w:pPr>
      <w:r w:rsidRPr="009A7163">
        <w:t>What happens is that women’s work is often not visible; you only feel its effects in the body but you don’t see what caused it</w:t>
      </w:r>
      <w:r w:rsidR="00FE5EB3" w:rsidRPr="009A7163">
        <w:t>…</w:t>
      </w:r>
      <w:r w:rsidRPr="009A7163">
        <w:t>your husband may come in and say to you: “What have you done?”</w:t>
      </w:r>
      <w:r w:rsidR="002F73E9" w:rsidRPr="009A7163">
        <w:t>…</w:t>
      </w:r>
      <w:r w:rsidRPr="009A7163">
        <w:t>Maybe the house has been cleaned numerous times and it’s still unclean because of the young children in the house. It was an effort, but only your body takes note. The energy of your body used up, exhausted</w:t>
      </w:r>
      <w:r w:rsidR="00FE5EB3" w:rsidRPr="009A7163">
        <w:t>…</w:t>
      </w:r>
      <w:r w:rsidRPr="009A7163">
        <w:t>so even though we worked all day, our work is not seen or noticed</w:t>
      </w:r>
      <w:r w:rsidRPr="009A7163">
        <w:rPr>
          <w:i/>
        </w:rPr>
        <w:t xml:space="preserve"> </w:t>
      </w:r>
      <w:r w:rsidRPr="009A7163">
        <w:t>(Focus Group women Achuapa, February 6, 2015)</w:t>
      </w:r>
    </w:p>
    <w:p w14:paraId="36090910" w14:textId="657064AE" w:rsidR="0004022E" w:rsidRPr="009A7163" w:rsidRDefault="007A6781">
      <w:pPr>
        <w:spacing w:line="360" w:lineRule="auto"/>
        <w:ind w:firstLine="720"/>
        <w:jc w:val="both"/>
        <w:rPr>
          <w:rFonts w:eastAsia="MS Mincho"/>
        </w:rPr>
      </w:pPr>
      <w:r w:rsidRPr="009A7163">
        <w:rPr>
          <w:rFonts w:eastAsia="MS Mincho"/>
        </w:rPr>
        <w:t xml:space="preserve">Taking into account this </w:t>
      </w:r>
      <w:r w:rsidR="00E16049" w:rsidRPr="009A7163">
        <w:rPr>
          <w:rFonts w:eastAsia="MS Mincho"/>
        </w:rPr>
        <w:t>view, a</w:t>
      </w:r>
      <w:r w:rsidR="0004022E" w:rsidRPr="009A7163">
        <w:rPr>
          <w:rFonts w:eastAsia="MS Mincho"/>
        </w:rPr>
        <w:t xml:space="preserve">n alternative approach to TUS </w:t>
      </w:r>
      <w:r w:rsidR="00E16049" w:rsidRPr="009A7163">
        <w:rPr>
          <w:rFonts w:eastAsia="MS Mincho"/>
        </w:rPr>
        <w:t xml:space="preserve">would be to </w:t>
      </w:r>
      <w:r w:rsidR="0004022E" w:rsidRPr="009A7163">
        <w:rPr>
          <w:rFonts w:eastAsia="MS Mincho"/>
        </w:rPr>
        <w:t xml:space="preserve">measure the amount of energy invested in a task, considering the effort expended and not just the time. Such a method should look at jobs and functions and also include the mental and emotional work. The proposal of Rai et al. (2010) </w:t>
      </w:r>
      <w:r w:rsidR="002F73E9" w:rsidRPr="009A7163">
        <w:rPr>
          <w:rFonts w:eastAsia="MS Mincho"/>
        </w:rPr>
        <w:t>to measure</w:t>
      </w:r>
      <w:r w:rsidR="0004022E" w:rsidRPr="009A7163">
        <w:rPr>
          <w:rFonts w:eastAsia="MS Mincho"/>
        </w:rPr>
        <w:t xml:space="preserve"> depletion touched upon in </w:t>
      </w:r>
      <w:r w:rsidR="00B44AC2" w:rsidRPr="009A7163">
        <w:rPr>
          <w:rFonts w:eastAsia="MS Mincho"/>
        </w:rPr>
        <w:t>Chapter Two</w:t>
      </w:r>
      <w:r w:rsidR="0004022E" w:rsidRPr="009A7163">
        <w:rPr>
          <w:rFonts w:eastAsia="MS Mincho"/>
        </w:rPr>
        <w:t xml:space="preserve"> becomes very relevant in this context. One aspect of </w:t>
      </w:r>
      <w:r w:rsidR="003A2C87" w:rsidRPr="009A7163">
        <w:rPr>
          <w:rFonts w:eastAsia="MS Mincho"/>
        </w:rPr>
        <w:t>UCW</w:t>
      </w:r>
      <w:r w:rsidR="0004022E" w:rsidRPr="009A7163">
        <w:rPr>
          <w:rFonts w:eastAsia="MS Mincho"/>
        </w:rPr>
        <w:t xml:space="preserve"> undertaken by women is the responsibility to sustain interpersonal relationships. Women expend a lot of time worrying about their families (‘</w:t>
      </w:r>
      <w:r w:rsidR="0004022E" w:rsidRPr="009A7163">
        <w:rPr>
          <w:rFonts w:eastAsia="MS Mincho"/>
          <w:i/>
        </w:rPr>
        <w:t>energia de estar pendiente</w:t>
      </w:r>
      <w:r w:rsidR="0004022E" w:rsidRPr="009A7163">
        <w:rPr>
          <w:rFonts w:eastAsia="MS Mincho"/>
        </w:rPr>
        <w:t>’) and often do not sleep. The men in the focus group (February 6, 2015) said the following:</w:t>
      </w:r>
    </w:p>
    <w:p w14:paraId="13AD7A50" w14:textId="23D349D2" w:rsidR="0004022E" w:rsidRPr="009A7163" w:rsidRDefault="0004022E">
      <w:pPr>
        <w:spacing w:after="180"/>
        <w:ind w:left="720"/>
        <w:jc w:val="both"/>
      </w:pPr>
      <w:r w:rsidRPr="009A7163">
        <w:t xml:space="preserve">My wife hardly sleeps. If one of my son goes out, she doesn’t sleep </w:t>
      </w:r>
      <w:r w:rsidR="00FF6D67" w:rsidRPr="009A7163">
        <w:t>because she is</w:t>
      </w:r>
      <w:r w:rsidRPr="009A7163">
        <w:t xml:space="preserve"> worrying about him or about the cattle. She gets up repeatedly.  I even snore. </w:t>
      </w:r>
    </w:p>
    <w:p w14:paraId="013A1E31" w14:textId="7BC3B243" w:rsidR="0004022E" w:rsidRPr="009A7163" w:rsidRDefault="0004022E">
      <w:pPr>
        <w:spacing w:after="180"/>
        <w:ind w:left="720"/>
        <w:jc w:val="both"/>
      </w:pPr>
      <w:r w:rsidRPr="009A7163">
        <w:t>Neither her body nor mind rest for her concern about everything</w:t>
      </w:r>
      <w:r w:rsidR="00A277E1" w:rsidRPr="009A7163">
        <w:t>…</w:t>
      </w:r>
    </w:p>
    <w:p w14:paraId="2DA4EA16" w14:textId="46A0D33A" w:rsidR="0004022E" w:rsidRPr="009A7163" w:rsidRDefault="0004022E">
      <w:pPr>
        <w:spacing w:line="360" w:lineRule="auto"/>
        <w:ind w:firstLine="720"/>
        <w:jc w:val="both"/>
        <w:rPr>
          <w:rFonts w:eastAsia="MS Mincho"/>
        </w:rPr>
      </w:pPr>
      <w:r w:rsidRPr="009A7163">
        <w:rPr>
          <w:rFonts w:eastAsia="MS Mincho"/>
        </w:rPr>
        <w:lastRenderedPageBreak/>
        <w:t xml:space="preserve">Mental work and stress were highlighted a number of times throughout the process of undertaking TUS and in focus group discussions. As highlighted in </w:t>
      </w:r>
      <w:r w:rsidR="00B44AC2" w:rsidRPr="009A7163">
        <w:rPr>
          <w:rFonts w:eastAsia="MS Mincho"/>
        </w:rPr>
        <w:t>Chapter Two</w:t>
      </w:r>
      <w:r w:rsidRPr="009A7163">
        <w:rPr>
          <w:rFonts w:eastAsia="MS Mincho"/>
        </w:rPr>
        <w:t>, mental management (or ‘mental load’) is an invisible burden that is often not acknowledged and the term has recently gained recognition in both the academic sphere and in online publications.</w:t>
      </w:r>
      <w:r w:rsidR="00F075E0" w:rsidRPr="009A7163">
        <w:rPr>
          <w:rFonts w:eastAsia="MS Mincho"/>
        </w:rPr>
        <w:t xml:space="preserve"> </w:t>
      </w:r>
      <w:r w:rsidRPr="009A7163">
        <w:rPr>
          <w:rFonts w:eastAsia="MS Mincho"/>
        </w:rPr>
        <w:t>This usually happens simultaneously with other activities, which makes them seem invisible to those carrying them out, those who benefit from these activities and the studies on time use. Another feature of this mental management and the work that goes into it is its flexibility and how the women adapt to different family needs based on health, age and income. One focus group participant explained:</w:t>
      </w:r>
    </w:p>
    <w:p w14:paraId="2AB50EE2" w14:textId="77777777" w:rsidR="0004022E" w:rsidRPr="009A7163" w:rsidRDefault="0004022E">
      <w:pPr>
        <w:spacing w:after="180"/>
        <w:ind w:left="720"/>
        <w:jc w:val="both"/>
      </w:pPr>
      <w:r w:rsidRPr="009A7163">
        <w:t>The men say, “You’re here, you work in the shade whilst I come from working in the heat” as if they don’t value our work. I value it because I know how much I work in the house and so I say to the man, “You may see us here in the shade but we work more because we also have to work with our minds and because we are administrators”. We have to be administrators of the household, we have to know how much we have of everything. (Focus Group Women Achuapa, February 6, 2015)</w:t>
      </w:r>
    </w:p>
    <w:p w14:paraId="7F08BE9D" w14:textId="77777777" w:rsidR="0004022E" w:rsidRPr="009A7163" w:rsidRDefault="0004022E">
      <w:pPr>
        <w:spacing w:after="240" w:line="360" w:lineRule="auto"/>
        <w:jc w:val="both"/>
      </w:pPr>
      <w:r w:rsidRPr="009A7163">
        <w:t>This quote highlights the work that women do in terms of managing work, including the mental work of organising and anticipating workloads. It raises the question as to whether this work should be included in the definition of unpaid work and raised as a feminist issue. These unpaid tasks fall into a continuum of unpaid work and whether there should be emphasis on paying for it or actively arguing for a re distribution of this responsibility within the family is a complex issue to deal with and particularly if the mandate is coming a voice outside of the household.</w:t>
      </w:r>
    </w:p>
    <w:p w14:paraId="0D8592AC" w14:textId="77777777" w:rsidR="0004022E" w:rsidRPr="009A7163" w:rsidRDefault="0004022E" w:rsidP="00293176">
      <w:pPr>
        <w:pStyle w:val="Heading3"/>
        <w:rPr>
          <w:rFonts w:eastAsia="MS Mincho"/>
          <w:highlight w:val="green"/>
        </w:rPr>
      </w:pPr>
      <w:bookmarkStart w:id="109" w:name="_Toc526819326"/>
      <w:r w:rsidRPr="009A7163">
        <w:rPr>
          <w:rFonts w:eastAsia="MS Mincho"/>
        </w:rPr>
        <w:t>5.3.3  What Should Be the Starting Point? Rethinking Values</w:t>
      </w:r>
      <w:bookmarkEnd w:id="109"/>
      <w:r w:rsidRPr="009A7163">
        <w:rPr>
          <w:rFonts w:eastAsia="MS Mincho"/>
        </w:rPr>
        <w:t xml:space="preserve">  </w:t>
      </w:r>
    </w:p>
    <w:p w14:paraId="5858957E" w14:textId="3F2464FE" w:rsidR="0004022E" w:rsidRPr="009A7163" w:rsidRDefault="0004022E" w:rsidP="008C041F">
      <w:pPr>
        <w:spacing w:line="360" w:lineRule="auto"/>
        <w:jc w:val="both"/>
        <w:rPr>
          <w:rFonts w:eastAsia="MS Mincho"/>
        </w:rPr>
      </w:pPr>
      <w:r w:rsidRPr="009A7163">
        <w:rPr>
          <w:rFonts w:eastAsia="MS Mincho"/>
        </w:rPr>
        <w:tab/>
        <w:t>Another debate related to measuring unpaid work is the difference in opinions about measuring the economic impact of unpaid work. From the viewpoint of the feminist economy, the proposal would be to rethink the indicators of the value of labour, taking as a central category the ‘sustainability of life’ (Fontana et al., 2009; Orozco, 2014, 2016; Portocarrero et al., 2016). Orozco (2016) argue</w:t>
      </w:r>
      <w:r w:rsidR="00FF6D67" w:rsidRPr="009A7163">
        <w:rPr>
          <w:rFonts w:eastAsia="MS Mincho"/>
        </w:rPr>
        <w:t>s</w:t>
      </w:r>
      <w:r w:rsidRPr="009A7163">
        <w:rPr>
          <w:rFonts w:eastAsia="MS Mincho"/>
        </w:rPr>
        <w:t xml:space="preserve"> that </w:t>
      </w:r>
      <w:r w:rsidR="00FF6D67" w:rsidRPr="009A7163">
        <w:rPr>
          <w:rFonts w:eastAsia="MS Mincho"/>
        </w:rPr>
        <w:t xml:space="preserve">the </w:t>
      </w:r>
      <w:r w:rsidRPr="009A7163">
        <w:rPr>
          <w:rFonts w:eastAsia="MS Mincho"/>
        </w:rPr>
        <w:t xml:space="preserve">sustainability of life </w:t>
      </w:r>
      <w:r w:rsidR="00FF6D67" w:rsidRPr="009A7163">
        <w:rPr>
          <w:rFonts w:eastAsia="MS Mincho"/>
        </w:rPr>
        <w:t>includes</w:t>
      </w:r>
      <w:r w:rsidRPr="009A7163">
        <w:rPr>
          <w:rFonts w:eastAsia="MS Mincho"/>
        </w:rPr>
        <w:t xml:space="preserve">: </w:t>
      </w:r>
    </w:p>
    <w:p w14:paraId="596BE7C7" w14:textId="2E714DFB" w:rsidR="0004022E" w:rsidRPr="009A7163" w:rsidRDefault="00FF6D67">
      <w:pPr>
        <w:spacing w:after="180"/>
        <w:ind w:left="720"/>
        <w:jc w:val="both"/>
        <w:rPr>
          <w:rFonts w:eastAsia="MS Mincho"/>
        </w:rPr>
      </w:pPr>
      <w:r w:rsidRPr="009A7163">
        <w:t>…</w:t>
      </w:r>
      <w:r w:rsidR="0004022E" w:rsidRPr="009A7163">
        <w:t>the processes that generate the resources that are required to satisfy our vital needs and expectations. This idea relates to the economy, whereby the economy is not just about what happens in the market and what moves money, but all of the women that create the conditions so that life is possible and not just any life but a good life – the life we want. (cited in Gomez, 2016, p. 65)</w:t>
      </w:r>
      <w:r w:rsidR="0004022E" w:rsidRPr="009A7163">
        <w:rPr>
          <w:rFonts w:eastAsia="MS Mincho"/>
        </w:rPr>
        <w:t xml:space="preserve"> </w:t>
      </w:r>
    </w:p>
    <w:p w14:paraId="1BA79171" w14:textId="6E973A15" w:rsidR="0004022E" w:rsidRPr="009A7163" w:rsidRDefault="0004022E">
      <w:pPr>
        <w:spacing w:line="360" w:lineRule="auto"/>
        <w:jc w:val="both"/>
        <w:rPr>
          <w:rFonts w:eastAsia="MS Mincho"/>
        </w:rPr>
      </w:pPr>
      <w:r w:rsidRPr="009A7163">
        <w:rPr>
          <w:rFonts w:eastAsia="MS Mincho"/>
        </w:rPr>
        <w:lastRenderedPageBreak/>
        <w:t xml:space="preserve">For example, any activity is more valuable if it contributes more to social reproduction. In this sense, care work (usually unpaid) becomes a highly valuable type of work. From this perspective, it is debatable whether a price should be placed on this work. The way that the cooperatives have measured and calculated the cost of unpaid labour takes as its starting point the ‘productive’ work. </w:t>
      </w:r>
      <w:r w:rsidR="00AA59FB" w:rsidRPr="009A7163">
        <w:rPr>
          <w:rFonts w:eastAsia="MS Mincho"/>
        </w:rPr>
        <w:t>So,</w:t>
      </w:r>
      <w:r w:rsidRPr="009A7163">
        <w:rPr>
          <w:rFonts w:eastAsia="MS Mincho"/>
        </w:rPr>
        <w:t xml:space="preserve"> the study answers the question about what activities are carried out in the domestic sphere that also contribute to the realization of productive activities. It was then considered that the cost of working hours is considered the same for both types of activities. The measurement and cost could actually be reversed to value what contrib</w:t>
      </w:r>
      <w:r w:rsidR="00481A51" w:rsidRPr="009A7163">
        <w:rPr>
          <w:rFonts w:eastAsia="MS Mincho"/>
        </w:rPr>
        <w:t>utes the most to sustainability:</w:t>
      </w:r>
    </w:p>
    <w:p w14:paraId="06834EDB" w14:textId="72433D36" w:rsidR="0004022E" w:rsidRPr="009A7163" w:rsidRDefault="0004022E">
      <w:pPr>
        <w:spacing w:after="180"/>
        <w:ind w:left="720"/>
        <w:jc w:val="both"/>
      </w:pPr>
      <w:r w:rsidRPr="009A7163">
        <w:t xml:space="preserve">It is to understand economics as all those mechanisms that people use to sustain life, human life, life of other species, life of the planet. So when we think of the economy in this light, the markets and money and the mechanisms through which they flow, it is just one mechanism among several and it is not the only one and it is not more important than another. So everything related to unpaid work in this perspective is of equal importance, just like paid work and there in its just a different way of providing us with goods and services that help sustain life, so to me what seems to me important of your work [this research, the PhD] is that it shows how completely all these different ties depend on one another, all the strategies of survival of the people, remunerated or not, or as we say are interdependent, as we are interdependent people too and in that sense I believe, gives us the guidelines that we need to begin to value all those spaces that – normally when we study economics or think about economics we do not consider all this work and the people that undertake it. By looking at the economy and putting the people in the centre, I think it dignifies them and values the work. (Expert Interview, Ana Victoria Portocarrero, </w:t>
      </w:r>
      <w:r w:rsidRPr="009A7163">
        <w:rPr>
          <w:rFonts w:eastAsia="MS Mincho"/>
          <w:bCs/>
          <w:iCs/>
        </w:rPr>
        <w:t>Academic Coordinator for the Masters Gender Program at the Universidad Centroamericana</w:t>
      </w:r>
      <w:r w:rsidRPr="009A7163">
        <w:t>, March 14, 2016)</w:t>
      </w:r>
    </w:p>
    <w:p w14:paraId="7674E0E0" w14:textId="6ED1C41A" w:rsidR="0004022E" w:rsidRPr="009A7163" w:rsidRDefault="0004022E" w:rsidP="00996063">
      <w:pPr>
        <w:spacing w:after="240" w:line="360" w:lineRule="auto"/>
        <w:ind w:firstLine="720"/>
        <w:jc w:val="both"/>
      </w:pPr>
      <w:r w:rsidRPr="009A7163">
        <w:t>These reflections from the participants on the definitions of unpaid work is important and whilst the definitions of unpaid work show variations, the act of asking people to define and reflect upon unpaid work led to a number of points</w:t>
      </w:r>
      <w:r w:rsidR="00FF6D67" w:rsidRPr="009A7163">
        <w:t>.</w:t>
      </w:r>
      <w:r w:rsidRPr="009A7163">
        <w:t xml:space="preserve"> First, the act of measuring unpaid work has rarely been done. In Nicaragua, there are only two national studies and very few local attempts to measure unpaid work, as mentioned in </w:t>
      </w:r>
      <w:r w:rsidR="00B44AC2" w:rsidRPr="009A7163">
        <w:t>Chapter Two</w:t>
      </w:r>
      <w:r w:rsidRPr="009A7163">
        <w:t xml:space="preserve">. The BSI initiative, whilst clearly a pilot and done in a somewhat broad-brush way, has been valuable as it demonstrates that the information needed to justify this payment did not at first need to be scientific. Rather, they were interested in starting a conversation and this led to discussions not only in the community, but also with other </w:t>
      </w:r>
      <w:r w:rsidRPr="009A7163">
        <w:lastRenderedPageBreak/>
        <w:t>industry players, as noted in the roundtable discussion.</w:t>
      </w:r>
      <w:r w:rsidRPr="009A7163">
        <w:rPr>
          <w:vertAlign w:val="superscript"/>
        </w:rPr>
        <w:footnoteReference w:id="95"/>
      </w:r>
      <w:r w:rsidRPr="009A7163">
        <w:t xml:space="preserve"> Through my own fieldwork for the PhD, I experienced the power of measuring also leading to important reflection and discussion.</w:t>
      </w:r>
    </w:p>
    <w:p w14:paraId="7CE3EFDA" w14:textId="4CF904FA" w:rsidR="0004022E" w:rsidRPr="009A7163" w:rsidRDefault="0004022E" w:rsidP="00293176">
      <w:pPr>
        <w:pStyle w:val="Heading2"/>
        <w:spacing w:after="240"/>
        <w:rPr>
          <w:rFonts w:eastAsia="MS Mincho"/>
          <w:lang w:val="en-GB"/>
        </w:rPr>
      </w:pPr>
      <w:bookmarkStart w:id="110" w:name="_Toc526819327"/>
      <w:r w:rsidRPr="009A7163">
        <w:rPr>
          <w:rFonts w:eastAsia="MS Mincho"/>
          <w:lang w:val="en-GB"/>
        </w:rPr>
        <w:t>5.4  Pricing Unpaid Work</w:t>
      </w:r>
      <w:bookmarkEnd w:id="110"/>
    </w:p>
    <w:p w14:paraId="4F756F69" w14:textId="005D177B" w:rsidR="0004022E" w:rsidRPr="009A7163" w:rsidRDefault="0004022E" w:rsidP="00293176">
      <w:pPr>
        <w:pStyle w:val="Heading3"/>
        <w:rPr>
          <w:rFonts w:eastAsia="MS Mincho"/>
        </w:rPr>
      </w:pPr>
      <w:bookmarkStart w:id="111" w:name="_Toc526819328"/>
      <w:r w:rsidRPr="009A7163">
        <w:rPr>
          <w:rFonts w:eastAsia="MS Mincho"/>
        </w:rPr>
        <w:t>5.4.1  How Men and Women Price</w:t>
      </w:r>
      <w:r w:rsidR="00FF6D67" w:rsidRPr="009A7163">
        <w:rPr>
          <w:rFonts w:eastAsia="MS Mincho"/>
        </w:rPr>
        <w:t xml:space="preserve"> and </w:t>
      </w:r>
      <w:r w:rsidRPr="009A7163">
        <w:rPr>
          <w:rFonts w:eastAsia="MS Mincho"/>
        </w:rPr>
        <w:t>Value Their Work</w:t>
      </w:r>
      <w:bookmarkEnd w:id="111"/>
    </w:p>
    <w:p w14:paraId="673FFAAA" w14:textId="0A36A690" w:rsidR="0004022E" w:rsidRPr="009A7163" w:rsidRDefault="0004022E" w:rsidP="008C041F">
      <w:pPr>
        <w:spacing w:line="360" w:lineRule="auto"/>
        <w:ind w:firstLine="720"/>
        <w:jc w:val="both"/>
        <w:rPr>
          <w:rFonts w:eastAsia="MS Mincho"/>
        </w:rPr>
      </w:pPr>
      <w:r w:rsidRPr="009A7163">
        <w:rPr>
          <w:rFonts w:eastAsia="MS Mincho"/>
        </w:rPr>
        <w:t>When the women and men participants in focus groups were asked to value the price of women’s unpaid work, the majority of the them gave a figure of between 100-200 Nicaraguan Cordobas (C$) per day, with the average citing C$150 (USD$5.08 a day</w:t>
      </w:r>
      <w:r w:rsidRPr="009A7163">
        <w:rPr>
          <w:rFonts w:eastAsia="MS Mincho"/>
          <w:vertAlign w:val="superscript"/>
        </w:rPr>
        <w:footnoteReference w:id="96"/>
      </w:r>
      <w:r w:rsidRPr="009A7163">
        <w:rPr>
          <w:rFonts w:eastAsia="MS Mincho"/>
        </w:rPr>
        <w:t>). Yolanda Arias Blas, leader of the women’s movement of the Asociación de Trabajadores del Campo (Rural Workers Association, or ATC) and the regional coordinator of the women’s commission for the Vía Campesina Central America, shared that generally an agricultural worker will earn C$100 a day with food being provided and C$150 without (Expert interview, May 9, 2016).The current monthly wage for an agricultural worker according to the Nicaraguan Ministry of Labor is C$3,480.74 (USD$118) plus food.</w:t>
      </w:r>
      <w:r w:rsidRPr="009A7163">
        <w:rPr>
          <w:rFonts w:eastAsia="MS Mincho"/>
          <w:vertAlign w:val="superscript"/>
        </w:rPr>
        <w:footnoteReference w:id="97"/>
      </w:r>
      <w:r w:rsidRPr="009A7163">
        <w:rPr>
          <w:rFonts w:eastAsia="MS Mincho"/>
        </w:rPr>
        <w:t xml:space="preserve"> This </w:t>
      </w:r>
      <w:r w:rsidR="00FF6D67" w:rsidRPr="009A7163">
        <w:rPr>
          <w:rFonts w:eastAsia="MS Mincho"/>
        </w:rPr>
        <w:t>is</w:t>
      </w:r>
      <w:r w:rsidRPr="009A7163">
        <w:rPr>
          <w:rFonts w:eastAsia="MS Mincho"/>
        </w:rPr>
        <w:t xml:space="preserve"> C$116.02 (USD$3.93) per day, which is lower than that of a domestic worker (C$4,879.62, or USD$164.38 per month, which is C$162.65, or USD$5.51, per day). Agricultural work is the lowest paid of all the jobs with minimum monthly wages in Nicaragua, whilst banking and finance is the highest at C$7,789.56 per month. Whilst it is interesting to note that the government allocates a higher minimum wage to domestic workers than agricultural labourers, in reality domestic workers can earn as little as between C$2,000–3,000 (USD$68–102) a month, significantly lower than the minimum wage of USD$164</w:t>
      </w:r>
      <w:r w:rsidR="00422F86" w:rsidRPr="009A7163">
        <w:rPr>
          <w:rFonts w:eastAsia="MS Mincho"/>
        </w:rPr>
        <w:t>.</w:t>
      </w:r>
      <w:r w:rsidR="00B172B8" w:rsidRPr="009A7163">
        <w:rPr>
          <w:rStyle w:val="FootnoteReference"/>
          <w:rFonts w:eastAsia="MS Mincho"/>
        </w:rPr>
        <w:footnoteReference w:id="98"/>
      </w:r>
    </w:p>
    <w:p w14:paraId="1C803EB3" w14:textId="77777777" w:rsidR="0004022E" w:rsidRPr="009A7163" w:rsidRDefault="0004022E" w:rsidP="008C041F">
      <w:pPr>
        <w:spacing w:line="360" w:lineRule="auto"/>
        <w:ind w:firstLine="720"/>
        <w:jc w:val="both"/>
        <w:rPr>
          <w:rFonts w:eastAsia="MS Mincho"/>
        </w:rPr>
      </w:pPr>
      <w:r w:rsidRPr="009A7163">
        <w:rPr>
          <w:rFonts w:eastAsia="MS Mincho"/>
        </w:rPr>
        <w:t xml:space="preserve">Citing the national minimum average as a reference point on how much to price the work of the women in their cooperative, one farmer suggested using the minimum salary table, but he went onto say that, </w:t>
      </w:r>
    </w:p>
    <w:p w14:paraId="7EF224ED" w14:textId="6DA089A6" w:rsidR="0004022E" w:rsidRPr="009A7163" w:rsidRDefault="0004022E">
      <w:pPr>
        <w:spacing w:after="180"/>
        <w:ind w:left="720"/>
        <w:jc w:val="both"/>
        <w:rPr>
          <w:rFonts w:eastAsia="MS Mincho"/>
        </w:rPr>
      </w:pPr>
      <w:r w:rsidRPr="009A7163">
        <w:rPr>
          <w:rFonts w:eastAsia="MS Mincho"/>
        </w:rPr>
        <w:lastRenderedPageBreak/>
        <w:t xml:space="preserve">[I]n reality that is not a legal wage. It wouldn’t cover all her work as her day is longer than the stipulated work hours as she works from early morning until late at night and the tasks are more labour intensive (Focus Group Men, La Reina-San Ramón, March 19, 2015). </w:t>
      </w:r>
    </w:p>
    <w:p w14:paraId="2A7F9860" w14:textId="42CD8D01" w:rsidR="0004022E" w:rsidRPr="009A7163" w:rsidRDefault="0004022E">
      <w:pPr>
        <w:spacing w:line="360" w:lineRule="auto"/>
        <w:jc w:val="both"/>
        <w:rPr>
          <w:rFonts w:eastAsia="MS Mincho"/>
        </w:rPr>
      </w:pPr>
      <w:r w:rsidRPr="009A7163">
        <w:rPr>
          <w:rFonts w:eastAsia="MS Mincho"/>
        </w:rPr>
        <w:t xml:space="preserve">In contrast, a male participant in a focus group suggested that </w:t>
      </w:r>
      <w:r w:rsidR="00FF6D67" w:rsidRPr="009A7163">
        <w:rPr>
          <w:rFonts w:eastAsia="MS Mincho"/>
        </w:rPr>
        <w:t>daily rate</w:t>
      </w:r>
      <w:r w:rsidRPr="009A7163">
        <w:rPr>
          <w:rFonts w:eastAsia="MS Mincho"/>
        </w:rPr>
        <w:t xml:space="preserve"> should be agreed upon for women’s unpaid work rather than divide it by hours and activities as the time use diary does (Focus Group Men, Achuapa, February 6, 2015).</w:t>
      </w:r>
    </w:p>
    <w:p w14:paraId="7C057383" w14:textId="77777777" w:rsidR="0004022E" w:rsidRPr="009A7163" w:rsidRDefault="0004022E">
      <w:pPr>
        <w:spacing w:line="360" w:lineRule="auto"/>
        <w:ind w:firstLine="720"/>
        <w:jc w:val="both"/>
        <w:rPr>
          <w:rFonts w:eastAsia="MS Mincho"/>
        </w:rPr>
      </w:pPr>
      <w:r w:rsidRPr="009A7163">
        <w:rPr>
          <w:rFonts w:eastAsia="MS Mincho"/>
        </w:rPr>
        <w:t xml:space="preserve">However, Isolda Espinosa Gonzalez, Nicaraguan Economist and gender expert, argued that: </w:t>
      </w:r>
    </w:p>
    <w:p w14:paraId="782D6438" w14:textId="468937B2" w:rsidR="0004022E" w:rsidRPr="009A7163" w:rsidRDefault="0004022E">
      <w:pPr>
        <w:spacing w:after="160"/>
        <w:ind w:left="720"/>
        <w:jc w:val="both"/>
        <w:rPr>
          <w:rFonts w:eastAsia="MS Mincho"/>
        </w:rPr>
      </w:pPr>
      <w:r w:rsidRPr="009A7163">
        <w:rPr>
          <w:rFonts w:eastAsia="MS Mincho"/>
        </w:rPr>
        <w:t>To give unpaid care work a value, to price it is to fall into the game of the system of commodifying everything</w:t>
      </w:r>
      <w:r w:rsidR="00FE5EB3" w:rsidRPr="009A7163">
        <w:rPr>
          <w:rFonts w:eastAsia="MS Mincho"/>
        </w:rPr>
        <w:t>…</w:t>
      </w:r>
      <w:r w:rsidRPr="009A7163">
        <w:rPr>
          <w:rFonts w:eastAsia="MS Mincho"/>
        </w:rPr>
        <w:t>In UNRISD, we did a number of different exercises using different values, the average income, what to allocate [to pricing unpaid work] and also whether you should use an average salary of a domestic worker because maybe not everyone has that level of training, skills or ability and so do you therefore have the right to assign a value</w:t>
      </w:r>
      <w:r w:rsidR="00FE5EB3" w:rsidRPr="009A7163">
        <w:rPr>
          <w:rFonts w:eastAsia="MS Mincho"/>
        </w:rPr>
        <w:t>…</w:t>
      </w:r>
      <w:r w:rsidRPr="009A7163">
        <w:rPr>
          <w:rFonts w:eastAsia="MS Mincho"/>
        </w:rPr>
        <w:t>so as you can see there are a lot of theoretical discussions that could be had around this subject and what methods and values to use. (Expert Interview, December 11, 2015)</w:t>
      </w:r>
    </w:p>
    <w:p w14:paraId="006AAD76" w14:textId="0C3909FD" w:rsidR="0004022E" w:rsidRPr="009A7163" w:rsidRDefault="002207A0" w:rsidP="00996063">
      <w:pPr>
        <w:spacing w:line="360" w:lineRule="auto"/>
        <w:jc w:val="both"/>
        <w:rPr>
          <w:rFonts w:eastAsia="MS Mincho"/>
        </w:rPr>
      </w:pPr>
      <w:r w:rsidRPr="009A7163">
        <w:rPr>
          <w:rFonts w:eastAsia="MS Mincho"/>
        </w:rPr>
        <w:t>The issue of what value to give unpaid</w:t>
      </w:r>
      <w:r w:rsidR="004754FE" w:rsidRPr="009A7163">
        <w:rPr>
          <w:rFonts w:eastAsia="MS Mincho"/>
        </w:rPr>
        <w:t xml:space="preserve"> work</w:t>
      </w:r>
      <w:r w:rsidRPr="009A7163">
        <w:rPr>
          <w:rFonts w:eastAsia="MS Mincho"/>
        </w:rPr>
        <w:t xml:space="preserve"> is challenging.</w:t>
      </w:r>
      <w:r w:rsidR="00996063" w:rsidRPr="009A7163">
        <w:rPr>
          <w:rFonts w:eastAsia="MS Mincho"/>
        </w:rPr>
        <w:t xml:space="preserve"> </w:t>
      </w:r>
      <w:r w:rsidR="0004022E" w:rsidRPr="009A7163">
        <w:rPr>
          <w:rFonts w:eastAsia="MS Mincho"/>
        </w:rPr>
        <w:t>It is worth noting that the Nicaraguan Labour Code defines the minimum wage in Article Two as</w:t>
      </w:r>
      <w:r w:rsidR="00996063" w:rsidRPr="009A7163">
        <w:rPr>
          <w:rFonts w:eastAsia="MS Mincho"/>
        </w:rPr>
        <w:t>:</w:t>
      </w:r>
      <w:r w:rsidR="0004022E" w:rsidRPr="009A7163">
        <w:rPr>
          <w:rFonts w:eastAsia="MS Mincho"/>
        </w:rPr>
        <w:t xml:space="preserve"> </w:t>
      </w:r>
    </w:p>
    <w:p w14:paraId="178D37C0" w14:textId="77777777" w:rsidR="0004022E" w:rsidRPr="009A7163" w:rsidRDefault="0004022E">
      <w:pPr>
        <w:spacing w:after="180"/>
        <w:ind w:left="720"/>
        <w:jc w:val="both"/>
        <w:rPr>
          <w:rFonts w:eastAsia="MS Mincho"/>
        </w:rPr>
      </w:pPr>
      <w:r w:rsidRPr="009A7163">
        <w:rPr>
          <w:rFonts w:eastAsia="MS Mincho"/>
        </w:rPr>
        <w:t>[T]he minimum remuneration to which every worker is entitled for the services rendered in a normal working day, providing the capacity to guarantee the satisfaction of the basic and vital needs of a family in the material, cultural, and moral order according to the cost of living in different regions of the country’.</w:t>
      </w:r>
      <w:r w:rsidRPr="009A7163">
        <w:rPr>
          <w:rFonts w:eastAsia="MS Mincho"/>
          <w:vertAlign w:val="superscript"/>
        </w:rPr>
        <w:footnoteReference w:id="99"/>
      </w:r>
      <w:r w:rsidRPr="009A7163">
        <w:rPr>
          <w:rFonts w:eastAsia="MS Mincho"/>
        </w:rPr>
        <w:t xml:space="preserve"> </w:t>
      </w:r>
    </w:p>
    <w:p w14:paraId="7123DC1C" w14:textId="17AFE227" w:rsidR="00614206" w:rsidRPr="009A7163" w:rsidRDefault="00996063" w:rsidP="007A3A29">
      <w:pPr>
        <w:spacing w:line="360" w:lineRule="auto"/>
        <w:jc w:val="both"/>
        <w:rPr>
          <w:rFonts w:eastAsia="MS Mincho"/>
        </w:rPr>
      </w:pPr>
      <w:r w:rsidRPr="009A7163">
        <w:rPr>
          <w:rFonts w:eastAsia="MS Mincho"/>
        </w:rPr>
        <w:t>Interestingly the definition of the minimum wage and reference</w:t>
      </w:r>
      <w:r w:rsidR="004754FE" w:rsidRPr="009A7163">
        <w:rPr>
          <w:rFonts w:eastAsia="MS Mincho"/>
        </w:rPr>
        <w:t>s t</w:t>
      </w:r>
      <w:r w:rsidRPr="009A7163">
        <w:rPr>
          <w:rFonts w:eastAsia="MS Mincho"/>
        </w:rPr>
        <w:t>o satisfying the basic needs of worker</w:t>
      </w:r>
      <w:r w:rsidR="004754FE" w:rsidRPr="009A7163">
        <w:rPr>
          <w:rFonts w:eastAsia="MS Mincho"/>
        </w:rPr>
        <w:t>s</w:t>
      </w:r>
      <w:r w:rsidRPr="009A7163">
        <w:rPr>
          <w:rFonts w:eastAsia="MS Mincho"/>
        </w:rPr>
        <w:t xml:space="preserve"> and the</w:t>
      </w:r>
      <w:r w:rsidR="004754FE" w:rsidRPr="009A7163">
        <w:rPr>
          <w:rFonts w:eastAsia="MS Mincho"/>
        </w:rPr>
        <w:t>ir</w:t>
      </w:r>
      <w:r w:rsidRPr="009A7163">
        <w:rPr>
          <w:rFonts w:eastAsia="MS Mincho"/>
        </w:rPr>
        <w:t xml:space="preserve"> f</w:t>
      </w:r>
      <w:r w:rsidR="00AA59FB" w:rsidRPr="009A7163">
        <w:rPr>
          <w:rFonts w:eastAsia="MS Mincho"/>
        </w:rPr>
        <w:t>amil</w:t>
      </w:r>
      <w:r w:rsidR="004754FE" w:rsidRPr="009A7163">
        <w:rPr>
          <w:rFonts w:eastAsia="MS Mincho"/>
        </w:rPr>
        <w:t>ies</w:t>
      </w:r>
      <w:r w:rsidR="00AA59FB" w:rsidRPr="009A7163">
        <w:rPr>
          <w:rFonts w:eastAsia="MS Mincho"/>
        </w:rPr>
        <w:t xml:space="preserve"> refers to </w:t>
      </w:r>
      <w:r w:rsidRPr="009A7163">
        <w:rPr>
          <w:rFonts w:eastAsia="MS Mincho"/>
        </w:rPr>
        <w:t xml:space="preserve">material, cultural and moral order </w:t>
      </w:r>
      <w:r w:rsidR="00AA59FB" w:rsidRPr="009A7163">
        <w:rPr>
          <w:rFonts w:eastAsia="MS Mincho"/>
        </w:rPr>
        <w:t>which</w:t>
      </w:r>
      <w:r w:rsidR="004754FE" w:rsidRPr="009A7163">
        <w:rPr>
          <w:rFonts w:eastAsia="MS Mincho"/>
        </w:rPr>
        <w:t xml:space="preserve">, </w:t>
      </w:r>
      <w:r w:rsidRPr="009A7163">
        <w:rPr>
          <w:rFonts w:eastAsia="MS Mincho"/>
        </w:rPr>
        <w:t>merits further analysis and exploration</w:t>
      </w:r>
      <w:r w:rsidR="004754FE" w:rsidRPr="009A7163">
        <w:rPr>
          <w:rFonts w:eastAsia="MS Mincho"/>
        </w:rPr>
        <w:t xml:space="preserve"> in a future study</w:t>
      </w:r>
      <w:r w:rsidRPr="009A7163">
        <w:rPr>
          <w:rFonts w:eastAsia="MS Mincho"/>
        </w:rPr>
        <w:t xml:space="preserve">. </w:t>
      </w:r>
      <w:r w:rsidR="0004022E" w:rsidRPr="009A7163">
        <w:rPr>
          <w:rFonts w:eastAsia="MS Mincho"/>
        </w:rPr>
        <w:t>Other factors considered in determining the minimum wage include the cost of living, the level of wages in the country, social security benefits, economic development, country productivity and the rate of official inflation provided by the Central Bank of Nicaragua.</w:t>
      </w:r>
      <w:r w:rsidR="0004022E" w:rsidRPr="009A7163">
        <w:rPr>
          <w:rFonts w:eastAsia="MS Mincho"/>
          <w:vertAlign w:val="superscript"/>
        </w:rPr>
        <w:footnoteReference w:id="100"/>
      </w:r>
      <w:r w:rsidR="0004022E" w:rsidRPr="009A7163">
        <w:rPr>
          <w:rFonts w:eastAsia="MS Mincho"/>
        </w:rPr>
        <w:t xml:space="preserve"> The cost of the basic food basket (</w:t>
      </w:r>
      <w:r w:rsidR="0004022E" w:rsidRPr="009A7163">
        <w:rPr>
          <w:rFonts w:eastAsia="MS Mincho"/>
          <w:i/>
        </w:rPr>
        <w:t>canasta básica</w:t>
      </w:r>
      <w:r w:rsidR="0004022E" w:rsidRPr="009A7163">
        <w:rPr>
          <w:rFonts w:eastAsia="MS Mincho"/>
        </w:rPr>
        <w:t>)</w:t>
      </w:r>
      <w:r w:rsidR="00B172B8" w:rsidRPr="009A7163">
        <w:rPr>
          <w:rFonts w:eastAsia="MS Mincho"/>
        </w:rPr>
        <w:t xml:space="preserve"> made up of 53 products</w:t>
      </w:r>
      <w:r w:rsidR="0004022E" w:rsidRPr="009A7163">
        <w:rPr>
          <w:rFonts w:eastAsia="MS Mincho"/>
        </w:rPr>
        <w:t xml:space="preserve"> </w:t>
      </w:r>
      <w:r w:rsidR="00B172B8" w:rsidRPr="009A7163">
        <w:rPr>
          <w:rFonts w:eastAsia="MS Mincho"/>
        </w:rPr>
        <w:t xml:space="preserve">which is for six people (4 adults and 2 children) </w:t>
      </w:r>
      <w:r w:rsidR="0004022E" w:rsidRPr="009A7163">
        <w:rPr>
          <w:rFonts w:eastAsia="MS Mincho"/>
        </w:rPr>
        <w:t>per month is at C$12,786.3 for June 2017.</w:t>
      </w:r>
      <w:r w:rsidR="0004022E" w:rsidRPr="009A7163">
        <w:rPr>
          <w:rFonts w:eastAsia="MS Mincho"/>
          <w:vertAlign w:val="superscript"/>
        </w:rPr>
        <w:footnoteReference w:id="101"/>
      </w:r>
      <w:r w:rsidR="0004022E" w:rsidRPr="009A7163">
        <w:rPr>
          <w:rFonts w:eastAsia="MS Mincho"/>
        </w:rPr>
        <w:t xml:space="preserve"> This is the equivalent of US$426,</w:t>
      </w:r>
      <w:r w:rsidR="0004022E" w:rsidRPr="009A7163">
        <w:rPr>
          <w:rFonts w:eastAsia="MS Mincho"/>
          <w:vertAlign w:val="superscript"/>
        </w:rPr>
        <w:footnoteReference w:id="102"/>
      </w:r>
      <w:r w:rsidR="0004022E" w:rsidRPr="009A7163">
        <w:rPr>
          <w:rFonts w:eastAsia="MS Mincho"/>
        </w:rPr>
        <w:t xml:space="preserve"> which no minimum salary alone meets.</w:t>
      </w:r>
      <w:r w:rsidR="00C23F14" w:rsidRPr="009A7163">
        <w:rPr>
          <w:rFonts w:eastAsia="MS Mincho"/>
        </w:rPr>
        <w:t xml:space="preserve"> </w:t>
      </w:r>
      <w:r w:rsidR="005E51B9" w:rsidRPr="009A7163">
        <w:rPr>
          <w:rFonts w:eastAsia="MS Mincho"/>
        </w:rPr>
        <w:t xml:space="preserve">Arguments for valuing </w:t>
      </w:r>
      <w:r w:rsidR="00ED0121" w:rsidRPr="009A7163">
        <w:rPr>
          <w:rFonts w:eastAsia="MS Mincho"/>
        </w:rPr>
        <w:t>women’s</w:t>
      </w:r>
      <w:r w:rsidR="005E51B9" w:rsidRPr="009A7163">
        <w:rPr>
          <w:rFonts w:eastAsia="MS Mincho"/>
        </w:rPr>
        <w:t xml:space="preserve"> </w:t>
      </w:r>
      <w:r w:rsidR="005E51B9" w:rsidRPr="009A7163">
        <w:rPr>
          <w:rFonts w:eastAsia="MS Mincho"/>
        </w:rPr>
        <w:lastRenderedPageBreak/>
        <w:t>u</w:t>
      </w:r>
      <w:r w:rsidR="00A64E54" w:rsidRPr="009A7163">
        <w:rPr>
          <w:rFonts w:eastAsia="MS Mincho"/>
        </w:rPr>
        <w:t>npaid work should therei</w:t>
      </w:r>
      <w:r w:rsidR="00614206" w:rsidRPr="009A7163">
        <w:rPr>
          <w:rFonts w:eastAsia="MS Mincho"/>
        </w:rPr>
        <w:t>n</w:t>
      </w:r>
      <w:r w:rsidR="00A64E54" w:rsidRPr="009A7163">
        <w:rPr>
          <w:rFonts w:eastAsia="MS Mincho"/>
        </w:rPr>
        <w:t xml:space="preserve"> be linked to</w:t>
      </w:r>
      <w:r w:rsidR="00C23F14" w:rsidRPr="009A7163">
        <w:rPr>
          <w:rFonts w:eastAsia="MS Mincho"/>
        </w:rPr>
        <w:t xml:space="preserve"> discussions around</w:t>
      </w:r>
      <w:r w:rsidR="005E51B9" w:rsidRPr="009A7163">
        <w:rPr>
          <w:rFonts w:eastAsia="MS Mincho"/>
        </w:rPr>
        <w:t xml:space="preserve"> living wage</w:t>
      </w:r>
      <w:r w:rsidR="00845311" w:rsidRPr="009A7163">
        <w:rPr>
          <w:rStyle w:val="FootnoteReference"/>
          <w:rFonts w:eastAsia="MS Mincho"/>
        </w:rPr>
        <w:footnoteReference w:id="103"/>
      </w:r>
      <w:r w:rsidR="00C23F14" w:rsidRPr="009A7163">
        <w:rPr>
          <w:rFonts w:eastAsia="MS Mincho"/>
        </w:rPr>
        <w:t xml:space="preserve"> </w:t>
      </w:r>
      <w:r w:rsidR="00845311" w:rsidRPr="009A7163">
        <w:rPr>
          <w:rFonts w:eastAsia="MS Mincho"/>
        </w:rPr>
        <w:t>which is an issue that has been taken up companies</w:t>
      </w:r>
      <w:r w:rsidR="00614206" w:rsidRPr="009A7163">
        <w:rPr>
          <w:rFonts w:eastAsia="MS Mincho"/>
        </w:rPr>
        <w:t>, certifications such as</w:t>
      </w:r>
      <w:r w:rsidR="00845311" w:rsidRPr="009A7163">
        <w:rPr>
          <w:rFonts w:eastAsia="MS Mincho"/>
        </w:rPr>
        <w:t xml:space="preserve"> Fairt</w:t>
      </w:r>
      <w:r w:rsidR="00614206" w:rsidRPr="009A7163">
        <w:rPr>
          <w:rFonts w:eastAsia="MS Mincho"/>
        </w:rPr>
        <w:t>r</w:t>
      </w:r>
      <w:r w:rsidR="00845311" w:rsidRPr="009A7163">
        <w:rPr>
          <w:rFonts w:eastAsia="MS Mincho"/>
        </w:rPr>
        <w:t>ade</w:t>
      </w:r>
      <w:r w:rsidR="00614206" w:rsidRPr="009A7163">
        <w:rPr>
          <w:rFonts w:eastAsia="MS Mincho"/>
        </w:rPr>
        <w:t>.</w:t>
      </w:r>
      <w:r w:rsidR="00845311" w:rsidRPr="009A7163">
        <w:rPr>
          <w:rFonts w:eastAsia="MS Mincho"/>
        </w:rPr>
        <w:t xml:space="preserve"> </w:t>
      </w:r>
      <w:r w:rsidR="00614206" w:rsidRPr="009A7163">
        <w:rPr>
          <w:rFonts w:eastAsia="MS Mincho"/>
        </w:rPr>
        <w:t>The argument to pay a living wage is linked to complying with international standards and improving worker well-being (</w:t>
      </w:r>
      <w:r w:rsidR="00CA5337" w:rsidRPr="009A7163">
        <w:rPr>
          <w:rFonts w:eastAsia="MS Mincho"/>
        </w:rPr>
        <w:t>ETI, 2015</w:t>
      </w:r>
      <w:r w:rsidR="00194EA2" w:rsidRPr="009A7163">
        <w:rPr>
          <w:rFonts w:eastAsia="MS Mincho"/>
        </w:rPr>
        <w:t>, p.</w:t>
      </w:r>
      <w:r w:rsidR="004754FE" w:rsidRPr="009A7163">
        <w:rPr>
          <w:rFonts w:eastAsia="MS Mincho"/>
        </w:rPr>
        <w:t xml:space="preserve"> </w:t>
      </w:r>
      <w:r w:rsidR="00194EA2" w:rsidRPr="009A7163">
        <w:rPr>
          <w:rFonts w:eastAsia="MS Mincho"/>
        </w:rPr>
        <w:t>8</w:t>
      </w:r>
      <w:r w:rsidR="00614206" w:rsidRPr="009A7163">
        <w:rPr>
          <w:rFonts w:eastAsia="MS Mincho"/>
        </w:rPr>
        <w:t>)</w:t>
      </w:r>
      <w:r w:rsidR="00BC7BF1" w:rsidRPr="009A7163">
        <w:rPr>
          <w:rFonts w:eastAsia="MS Mincho"/>
        </w:rPr>
        <w:t>,</w:t>
      </w:r>
      <w:r w:rsidR="00194EA2" w:rsidRPr="009A7163">
        <w:rPr>
          <w:rFonts w:eastAsia="MS Mincho"/>
        </w:rPr>
        <w:t xml:space="preserve"> </w:t>
      </w:r>
      <w:r w:rsidR="00295CEC" w:rsidRPr="009A7163">
        <w:rPr>
          <w:rFonts w:eastAsia="MS Mincho"/>
        </w:rPr>
        <w:t>which has been mapped to price</w:t>
      </w:r>
      <w:r w:rsidR="00703A95" w:rsidRPr="009A7163">
        <w:rPr>
          <w:rFonts w:eastAsia="MS Mincho"/>
        </w:rPr>
        <w:t xml:space="preserve">. I </w:t>
      </w:r>
      <w:r w:rsidR="00194EA2" w:rsidRPr="009A7163">
        <w:rPr>
          <w:rFonts w:eastAsia="MS Mincho"/>
        </w:rPr>
        <w:t>t’s about due diligence and human rights, as a report on living wages in global supply chains states:</w:t>
      </w:r>
    </w:p>
    <w:p w14:paraId="7076D953" w14:textId="113FA1A4" w:rsidR="00614206" w:rsidRPr="009A7163" w:rsidRDefault="00614206" w:rsidP="007A3A29">
      <w:pPr>
        <w:spacing w:after="180"/>
        <w:ind w:left="720"/>
        <w:jc w:val="both"/>
        <w:rPr>
          <w:rFonts w:eastAsia="MS Mincho"/>
          <w:lang w:val="en-US"/>
        </w:rPr>
      </w:pPr>
      <w:r w:rsidRPr="009A7163">
        <w:rPr>
          <w:rFonts w:eastAsia="MS Mincho"/>
          <w:lang w:val="en-US"/>
        </w:rPr>
        <w:t>Addressing low wages in global supply c</w:t>
      </w:r>
      <w:r w:rsidR="00A352DF" w:rsidRPr="009A7163">
        <w:rPr>
          <w:rFonts w:eastAsia="MS Mincho"/>
          <w:lang w:val="en-US"/>
        </w:rPr>
        <w:t>hains</w:t>
      </w:r>
      <w:r w:rsidRPr="009A7163">
        <w:rPr>
          <w:rFonts w:eastAsia="MS Mincho"/>
          <w:lang w:val="en-US"/>
        </w:rPr>
        <w:t xml:space="preserve"> is a fundamental challenge to ethical trade. The ability to earn enough in a standard week for a worker and his or her family to cover basic needs and live with dignity is recognised as a </w:t>
      </w:r>
      <w:r w:rsidR="00A352DF" w:rsidRPr="009A7163">
        <w:rPr>
          <w:rFonts w:eastAsia="MS Mincho"/>
          <w:lang w:val="en-US"/>
        </w:rPr>
        <w:t>fundamental human right</w:t>
      </w:r>
      <w:r w:rsidRPr="009A7163">
        <w:rPr>
          <w:rFonts w:eastAsia="MS Mincho"/>
          <w:lang w:val="en-US"/>
        </w:rPr>
        <w:t>. Yet for all too many workers low incomes and poverty wages are the reality and the share of wealth that goes to workers is steadily falling.</w:t>
      </w:r>
      <w:r w:rsidR="00E340F1" w:rsidRPr="009A7163">
        <w:rPr>
          <w:rFonts w:eastAsia="MS Mincho"/>
          <w:lang w:val="en-US"/>
        </w:rPr>
        <w:t xml:space="preserve"> (</w:t>
      </w:r>
      <w:r w:rsidR="00CA5337" w:rsidRPr="009A7163">
        <w:rPr>
          <w:rFonts w:eastAsia="MS Mincho"/>
          <w:lang w:val="en-US"/>
        </w:rPr>
        <w:t>ETI</w:t>
      </w:r>
      <w:r w:rsidR="00194EA2" w:rsidRPr="009A7163">
        <w:rPr>
          <w:rFonts w:eastAsia="MS Mincho"/>
          <w:lang w:val="en-US"/>
        </w:rPr>
        <w:t>, 2015, p.</w:t>
      </w:r>
      <w:r w:rsidR="004754FE" w:rsidRPr="009A7163">
        <w:rPr>
          <w:rFonts w:eastAsia="MS Mincho"/>
          <w:lang w:val="en-US"/>
        </w:rPr>
        <w:t xml:space="preserve"> </w:t>
      </w:r>
      <w:r w:rsidR="00194EA2" w:rsidRPr="009A7163">
        <w:rPr>
          <w:rFonts w:eastAsia="MS Mincho"/>
          <w:lang w:val="en-US"/>
        </w:rPr>
        <w:t>6</w:t>
      </w:r>
      <w:r w:rsidR="00E340F1" w:rsidRPr="009A7163">
        <w:rPr>
          <w:rFonts w:eastAsia="MS Mincho"/>
          <w:lang w:val="en-US"/>
        </w:rPr>
        <w:t>)</w:t>
      </w:r>
    </w:p>
    <w:p w14:paraId="1FA076DA" w14:textId="2B2281DA" w:rsidR="0004022E" w:rsidRPr="009A7163" w:rsidRDefault="00494F0F">
      <w:pPr>
        <w:spacing w:after="240" w:line="360" w:lineRule="auto"/>
        <w:jc w:val="both"/>
        <w:rPr>
          <w:rFonts w:eastAsia="MS Mincho"/>
        </w:rPr>
      </w:pPr>
      <w:r w:rsidRPr="009A7163">
        <w:rPr>
          <w:rFonts w:eastAsia="MS Mincho"/>
        </w:rPr>
        <w:t xml:space="preserve">The argument of the </w:t>
      </w:r>
      <w:r w:rsidR="004754FE" w:rsidRPr="009A7163">
        <w:rPr>
          <w:rFonts w:eastAsia="MS Mincho"/>
        </w:rPr>
        <w:t>l</w:t>
      </w:r>
      <w:r w:rsidRPr="009A7163">
        <w:rPr>
          <w:rFonts w:eastAsia="MS Mincho"/>
        </w:rPr>
        <w:t>iving wages is not a new idea – in 1919 the I</w:t>
      </w:r>
      <w:r w:rsidR="00BC7BF1" w:rsidRPr="009A7163">
        <w:rPr>
          <w:rFonts w:eastAsia="MS Mincho"/>
        </w:rPr>
        <w:t xml:space="preserve">nternational Labor Organization (ILO) </w:t>
      </w:r>
      <w:r w:rsidRPr="009A7163">
        <w:rPr>
          <w:rFonts w:eastAsia="MS Mincho"/>
        </w:rPr>
        <w:t>argued that </w:t>
      </w:r>
      <w:r w:rsidRPr="009A7163">
        <w:rPr>
          <w:rFonts w:eastAsia="MS Mincho"/>
          <w:i/>
          <w:iCs/>
        </w:rPr>
        <w:t>‘</w:t>
      </w:r>
      <w:r w:rsidRPr="009A7163">
        <w:rPr>
          <w:rFonts w:eastAsia="MS Mincho"/>
          <w:iCs/>
        </w:rPr>
        <w:t xml:space="preserve">Peace and harmony in the world requires an adequate living wage’. </w:t>
      </w:r>
      <w:r w:rsidR="00CA5337" w:rsidRPr="009A7163">
        <w:rPr>
          <w:rFonts w:eastAsia="MS Mincho"/>
          <w:iCs/>
        </w:rPr>
        <w:t>However,</w:t>
      </w:r>
      <w:r w:rsidRPr="009A7163">
        <w:rPr>
          <w:rFonts w:eastAsia="MS Mincho"/>
          <w:iCs/>
        </w:rPr>
        <w:t xml:space="preserve"> whilst it is crucial to review</w:t>
      </w:r>
      <w:r w:rsidRPr="009A7163">
        <w:rPr>
          <w:rFonts w:eastAsia="MS Mincho"/>
        </w:rPr>
        <w:t xml:space="preserve"> </w:t>
      </w:r>
      <w:r w:rsidR="006D0342" w:rsidRPr="009A7163">
        <w:rPr>
          <w:rFonts w:eastAsia="MS Mincho"/>
        </w:rPr>
        <w:t>price and living wage</w:t>
      </w:r>
      <w:r w:rsidR="003810C4" w:rsidRPr="009A7163">
        <w:rPr>
          <w:rFonts w:eastAsia="MS Mincho"/>
        </w:rPr>
        <w:t xml:space="preserve"> calculations</w:t>
      </w:r>
      <w:r w:rsidR="00A352DF" w:rsidRPr="009A7163">
        <w:rPr>
          <w:rFonts w:eastAsia="MS Mincho"/>
        </w:rPr>
        <w:t xml:space="preserve"> and implementation of it</w:t>
      </w:r>
      <w:r w:rsidR="003810C4" w:rsidRPr="009A7163">
        <w:rPr>
          <w:rFonts w:eastAsia="MS Mincho"/>
        </w:rPr>
        <w:t xml:space="preserve">, it’s also important to address the inequalities that exist beyond price and find ways to reduce women’s unpaid work by </w:t>
      </w:r>
      <w:r w:rsidR="00C23F14" w:rsidRPr="009A7163">
        <w:rPr>
          <w:rFonts w:eastAsia="MS Mincho"/>
        </w:rPr>
        <w:t>investing in physical and social infrastructure that eases individual care and domestic work</w:t>
      </w:r>
      <w:r w:rsidR="00BC7BF1" w:rsidRPr="009A7163">
        <w:rPr>
          <w:rFonts w:eastAsia="MS Mincho"/>
        </w:rPr>
        <w:t>, a</w:t>
      </w:r>
      <w:r w:rsidR="00C23F14" w:rsidRPr="009A7163">
        <w:rPr>
          <w:rFonts w:eastAsia="MS Mincho"/>
        </w:rPr>
        <w:t>s well as redistribute the work through policies, such as shared parental leave, that encourage men to take on care work at the same rate as women.</w:t>
      </w:r>
    </w:p>
    <w:p w14:paraId="69FC4DB7" w14:textId="77777777" w:rsidR="0004022E" w:rsidRPr="009A7163" w:rsidRDefault="0004022E" w:rsidP="00293176">
      <w:pPr>
        <w:pStyle w:val="Heading3"/>
        <w:rPr>
          <w:rFonts w:eastAsia="MS Mincho"/>
        </w:rPr>
      </w:pPr>
      <w:bookmarkStart w:id="112" w:name="_Toc526819329"/>
      <w:r w:rsidRPr="009A7163">
        <w:rPr>
          <w:rFonts w:eastAsia="MS Mincho"/>
        </w:rPr>
        <w:t>5.4.2  Tensions in Pricing Unpaid Work</w:t>
      </w:r>
      <w:bookmarkEnd w:id="112"/>
    </w:p>
    <w:p w14:paraId="0F3E56BD" w14:textId="77777777" w:rsidR="0004022E" w:rsidRPr="009A7163" w:rsidRDefault="0004022E" w:rsidP="008C041F">
      <w:pPr>
        <w:spacing w:line="360" w:lineRule="auto"/>
        <w:ind w:firstLine="720"/>
        <w:jc w:val="both"/>
        <w:rPr>
          <w:rFonts w:eastAsia="MS Mincho"/>
        </w:rPr>
      </w:pPr>
      <w:r w:rsidRPr="009A7163">
        <w:rPr>
          <w:rFonts w:eastAsia="MS Mincho"/>
        </w:rPr>
        <w:t>Pricing unpaid work and visibilising it in the cost of production brings up a number of tensions. It highlights (economic) inequality in the supply chain and how the price paid does not reflect the true cost of production,</w:t>
      </w:r>
      <w:r w:rsidRPr="009A7163">
        <w:rPr>
          <w:rFonts w:eastAsia="MS Mincho"/>
          <w:vertAlign w:val="superscript"/>
        </w:rPr>
        <w:footnoteReference w:id="104"/>
      </w:r>
      <w:r w:rsidRPr="009A7163">
        <w:rPr>
          <w:rFonts w:eastAsia="MS Mincho"/>
        </w:rPr>
        <w:t xml:space="preserve"> or meets the needs of a typical rural family, which highlights the living wage debate. Participants mentioned in general how the work in rural areas for both men and women is underpaid and undervalued. One woman explained:</w:t>
      </w:r>
    </w:p>
    <w:p w14:paraId="65924602" w14:textId="71CCC6E7" w:rsidR="0004022E" w:rsidRPr="009A7163" w:rsidRDefault="0004022E">
      <w:pPr>
        <w:spacing w:after="180"/>
        <w:ind w:left="720"/>
        <w:jc w:val="both"/>
        <w:rPr>
          <w:rFonts w:eastAsia="MS Mincho"/>
        </w:rPr>
      </w:pPr>
      <w:r w:rsidRPr="009A7163">
        <w:rPr>
          <w:rFonts w:eastAsia="MS Mincho"/>
        </w:rPr>
        <w:t>So the people say that those of us from rural areas have no worth. They don’t pay us a good salary even when we work hard</w:t>
      </w:r>
      <w:r w:rsidR="00FE5EB3" w:rsidRPr="009A7163">
        <w:rPr>
          <w:rFonts w:eastAsia="MS Mincho"/>
        </w:rPr>
        <w:t>…</w:t>
      </w:r>
      <w:r w:rsidR="004754FE" w:rsidRPr="009A7163">
        <w:rPr>
          <w:rFonts w:eastAsia="MS Mincho"/>
        </w:rPr>
        <w:t>M</w:t>
      </w:r>
      <w:r w:rsidRPr="009A7163">
        <w:rPr>
          <w:rFonts w:eastAsia="MS Mincho"/>
        </w:rPr>
        <w:t xml:space="preserve">aybe you earn C$50 per day [USD$1.70] as a domestic worker for somebody. That’s what you can expect to get paid and this isn’t a dignified salary for anybody. (Participant initiative, </w:t>
      </w:r>
      <w:r w:rsidRPr="009A7163">
        <w:rPr>
          <w:rFonts w:eastAsia="MS Mincho"/>
        </w:rPr>
        <w:lastRenderedPageBreak/>
        <w:t>Achuapa, 35-44 years old, married, member, producer, less than 3 years in the initiative)</w:t>
      </w:r>
    </w:p>
    <w:p w14:paraId="3794A128" w14:textId="77777777" w:rsidR="0004022E" w:rsidRPr="009A7163" w:rsidRDefault="0004022E">
      <w:pPr>
        <w:spacing w:line="360" w:lineRule="auto"/>
        <w:jc w:val="both"/>
        <w:rPr>
          <w:rFonts w:eastAsia="MS Mincho"/>
        </w:rPr>
      </w:pPr>
      <w:r w:rsidRPr="009A7163">
        <w:rPr>
          <w:rFonts w:eastAsia="MS Mincho"/>
        </w:rPr>
        <w:t xml:space="preserve">The men also spoke of how they feel their own work is undervalued and not recognised or recompensed. One man said: </w:t>
      </w:r>
    </w:p>
    <w:p w14:paraId="5BF73A9F" w14:textId="77777777" w:rsidR="0004022E" w:rsidRPr="009A7163" w:rsidRDefault="0004022E">
      <w:pPr>
        <w:spacing w:after="180"/>
        <w:ind w:left="720"/>
        <w:jc w:val="both"/>
        <w:rPr>
          <w:rFonts w:eastAsia="MS Mincho"/>
        </w:rPr>
      </w:pPr>
      <w:r w:rsidRPr="009A7163">
        <w:rPr>
          <w:rFonts w:eastAsia="MS Mincho"/>
        </w:rPr>
        <w:t>In rural areas, a stable salary does not exist. You can earn money at harvest time but even then the man will work and not get anything. If you sell a cow, maybe you’ll have some money to bring home. (Focus Group Men, Achuapa, February 6, 2015)</w:t>
      </w:r>
    </w:p>
    <w:p w14:paraId="008198AC" w14:textId="57F7702C" w:rsidR="00301AB8" w:rsidRPr="009A7163" w:rsidRDefault="0004022E">
      <w:pPr>
        <w:spacing w:line="360" w:lineRule="auto"/>
        <w:ind w:firstLine="720"/>
        <w:jc w:val="both"/>
        <w:rPr>
          <w:rFonts w:eastAsia="MS Mincho"/>
        </w:rPr>
      </w:pPr>
      <w:r w:rsidRPr="009A7163">
        <w:rPr>
          <w:rFonts w:eastAsia="MS Mincho"/>
        </w:rPr>
        <w:t>Discussions about valuing and pricing work exposed inequalities between men and women from the same family and the lack of pay that both receive. In the conversations, especially with the men on valuing women’s unpaid labour and giving it a price, the men began to see how this logic could operate in detriment to them and the recognition they receive for their work.</w:t>
      </w:r>
      <w:r w:rsidR="00301AB8" w:rsidRPr="009A7163">
        <w:rPr>
          <w:rFonts w:eastAsia="MS Mincho"/>
        </w:rPr>
        <w:t xml:space="preserve"> The men spoke of their own oppression in relation to the women’s oppression.</w:t>
      </w:r>
      <w:r w:rsidRPr="009A7163">
        <w:rPr>
          <w:rFonts w:eastAsia="MS Mincho"/>
        </w:rPr>
        <w:t xml:space="preserve"> For example, in the men’s focus group in Achuapa (February 6, 2015), they began by saying, ‘If we gave their work a price, we ended up coming out worse off’</w:t>
      </w:r>
      <w:r w:rsidR="00301AB8" w:rsidRPr="009A7163">
        <w:rPr>
          <w:rFonts w:eastAsia="MS Mincho"/>
        </w:rPr>
        <w:t xml:space="preserve">. During the interviews and focus groups, it became apparent that </w:t>
      </w:r>
      <w:r w:rsidR="00DB7007" w:rsidRPr="009A7163">
        <w:rPr>
          <w:rFonts w:eastAsia="MS Mincho"/>
        </w:rPr>
        <w:t xml:space="preserve">the men viewed pricing women’s unpaid work as potentially harming to their own situation. So instead of wanting to see </w:t>
      </w:r>
      <w:r w:rsidR="0005374A" w:rsidRPr="009A7163">
        <w:rPr>
          <w:rFonts w:eastAsia="MS Mincho"/>
        </w:rPr>
        <w:t>women receive remuneration</w:t>
      </w:r>
      <w:r w:rsidR="00E13D5B" w:rsidRPr="009A7163">
        <w:rPr>
          <w:rFonts w:eastAsia="MS Mincho"/>
        </w:rPr>
        <w:t xml:space="preserve"> for the work that they </w:t>
      </w:r>
      <w:r w:rsidR="00586537" w:rsidRPr="009A7163">
        <w:rPr>
          <w:rFonts w:eastAsia="MS Mincho"/>
        </w:rPr>
        <w:t>undertake</w:t>
      </w:r>
      <w:r w:rsidR="00DB7007" w:rsidRPr="009A7163">
        <w:rPr>
          <w:rFonts w:eastAsia="MS Mincho"/>
        </w:rPr>
        <w:t xml:space="preserve">, they </w:t>
      </w:r>
      <w:r w:rsidR="00E13D5B" w:rsidRPr="009A7163">
        <w:rPr>
          <w:rFonts w:eastAsia="MS Mincho"/>
        </w:rPr>
        <w:t xml:space="preserve">saw this as directly being a risk to what they earned. This lead to an oppressive </w:t>
      </w:r>
      <w:r w:rsidR="00602252" w:rsidRPr="009A7163">
        <w:rPr>
          <w:rFonts w:eastAsia="MS Mincho"/>
        </w:rPr>
        <w:t>attitude</w:t>
      </w:r>
      <w:r w:rsidR="00E13D5B" w:rsidRPr="009A7163">
        <w:rPr>
          <w:rFonts w:eastAsia="MS Mincho"/>
        </w:rPr>
        <w:t xml:space="preserve"> from the men and which echoes </w:t>
      </w:r>
      <w:r w:rsidR="00DB7007" w:rsidRPr="009A7163">
        <w:rPr>
          <w:rFonts w:eastAsia="MS Mincho"/>
        </w:rPr>
        <w:t>an argument that Freire (197</w:t>
      </w:r>
      <w:r w:rsidR="00996767" w:rsidRPr="009A7163">
        <w:rPr>
          <w:rFonts w:eastAsia="MS Mincho"/>
        </w:rPr>
        <w:t>0</w:t>
      </w:r>
      <w:r w:rsidR="00DB7007" w:rsidRPr="009A7163">
        <w:rPr>
          <w:rFonts w:eastAsia="MS Mincho"/>
        </w:rPr>
        <w:t xml:space="preserve">) makes: </w:t>
      </w:r>
    </w:p>
    <w:p w14:paraId="77162D85" w14:textId="646D00C6" w:rsidR="00301AB8" w:rsidRPr="009A7163" w:rsidRDefault="00DB7007" w:rsidP="007A3A29">
      <w:pPr>
        <w:spacing w:after="180"/>
        <w:ind w:left="720"/>
        <w:jc w:val="both"/>
        <w:rPr>
          <w:rFonts w:eastAsia="MS Mincho"/>
        </w:rPr>
      </w:pPr>
      <w:r w:rsidRPr="009A7163">
        <w:rPr>
          <w:rFonts w:eastAsia="MS Mincho"/>
        </w:rPr>
        <w:t>But almost always, during the initial stage of the struggle, the oppressed, instead of striving for liberation, tend themselves to become oppressors, or "sub-oppressors." The very structure of their thought has been conditioned by the contradictions of the concrete, existential situation by which they were shaped. Their ideal is to be men; but for them, to be men is to be oppressors</w:t>
      </w:r>
      <w:r w:rsidR="00FE5EB3" w:rsidRPr="009A7163">
        <w:rPr>
          <w:rFonts w:eastAsia="MS Mincho"/>
        </w:rPr>
        <w:t>…</w:t>
      </w:r>
      <w:r w:rsidRPr="009A7163">
        <w:rPr>
          <w:rFonts w:eastAsia="MS Mincho"/>
        </w:rPr>
        <w:t xml:space="preserve">This does not necessarily mean that the oppressed are unaware that they are downtrodden. But their perception of themselves as oppressed is impaired by their submersion in the reality of oppression. At this level, their perception of themselves as opposites of the oppressor does not yet </w:t>
      </w:r>
      <w:r w:rsidR="00586537" w:rsidRPr="009A7163">
        <w:rPr>
          <w:rFonts w:eastAsia="MS Mincho"/>
        </w:rPr>
        <w:t xml:space="preserve">exist </w:t>
      </w:r>
      <w:r w:rsidRPr="009A7163">
        <w:rPr>
          <w:rFonts w:eastAsia="MS Mincho"/>
        </w:rPr>
        <w:t>(p.</w:t>
      </w:r>
      <w:r w:rsidR="004754FE" w:rsidRPr="009A7163">
        <w:rPr>
          <w:rFonts w:eastAsia="MS Mincho"/>
        </w:rPr>
        <w:t xml:space="preserve"> </w:t>
      </w:r>
      <w:r w:rsidRPr="009A7163">
        <w:rPr>
          <w:rFonts w:eastAsia="MS Mincho"/>
        </w:rPr>
        <w:t>45)</w:t>
      </w:r>
    </w:p>
    <w:p w14:paraId="3690BD5B" w14:textId="2D7F932E" w:rsidR="0004022E" w:rsidRPr="009A7163" w:rsidRDefault="00187C63" w:rsidP="00AD48D4">
      <w:pPr>
        <w:spacing w:line="360" w:lineRule="auto"/>
        <w:jc w:val="both"/>
        <w:rPr>
          <w:rFonts w:eastAsia="MS Mincho"/>
        </w:rPr>
      </w:pPr>
      <w:r w:rsidRPr="009A7163">
        <w:rPr>
          <w:rFonts w:eastAsia="MS Mincho"/>
        </w:rPr>
        <w:t>In the following quotes, the men express the idea of women’s work being too costly as a means to not engage with the issue of fairness. One man said</w:t>
      </w:r>
      <w:r w:rsidR="004754FE" w:rsidRPr="009A7163">
        <w:rPr>
          <w:rFonts w:eastAsia="MS Mincho"/>
        </w:rPr>
        <w:t>,</w:t>
      </w:r>
      <w:r w:rsidRPr="009A7163">
        <w:rPr>
          <w:rFonts w:eastAsia="MS Mincho"/>
        </w:rPr>
        <w:t xml:space="preserve"> </w:t>
      </w:r>
      <w:r w:rsidR="00301AB8" w:rsidRPr="009A7163">
        <w:rPr>
          <w:rFonts w:eastAsia="MS Mincho"/>
        </w:rPr>
        <w:t>‘</w:t>
      </w:r>
      <w:r w:rsidR="004754FE" w:rsidRPr="009A7163">
        <w:rPr>
          <w:rFonts w:eastAsia="MS Mincho"/>
        </w:rPr>
        <w:t>T</w:t>
      </w:r>
      <w:r w:rsidR="0004022E" w:rsidRPr="009A7163">
        <w:rPr>
          <w:rFonts w:eastAsia="MS Mincho"/>
        </w:rPr>
        <w:t>he women undertake work that is so costly that we can’t even put a price to it’</w:t>
      </w:r>
      <w:r w:rsidR="004754FE" w:rsidRPr="009A7163">
        <w:rPr>
          <w:rFonts w:eastAsia="MS Mincho"/>
        </w:rPr>
        <w:t xml:space="preserve"> </w:t>
      </w:r>
      <w:r w:rsidRPr="009A7163">
        <w:rPr>
          <w:rFonts w:eastAsia="MS Mincho"/>
        </w:rPr>
        <w:t>(Focus Group Men Achuapa, February 6, 2015) and another</w:t>
      </w:r>
      <w:r w:rsidR="0004022E" w:rsidRPr="009A7163">
        <w:rPr>
          <w:rFonts w:eastAsia="MS Mincho"/>
        </w:rPr>
        <w:t xml:space="preserve"> </w:t>
      </w:r>
      <w:r w:rsidRPr="009A7163">
        <w:rPr>
          <w:rFonts w:eastAsia="MS Mincho"/>
        </w:rPr>
        <w:t>argued</w:t>
      </w:r>
      <w:r w:rsidR="0004022E" w:rsidRPr="009A7163">
        <w:rPr>
          <w:rFonts w:eastAsia="MS Mincho"/>
        </w:rPr>
        <w:t>:</w:t>
      </w:r>
    </w:p>
    <w:p w14:paraId="69BD0C7F" w14:textId="707C1A35" w:rsidR="0004022E" w:rsidRPr="009A7163" w:rsidRDefault="0004022E">
      <w:pPr>
        <w:spacing w:after="180"/>
        <w:ind w:left="720"/>
        <w:jc w:val="both"/>
        <w:rPr>
          <w:rFonts w:eastAsia="MS Mincho"/>
        </w:rPr>
      </w:pPr>
      <w:r w:rsidRPr="009A7163">
        <w:rPr>
          <w:rFonts w:eastAsia="MS Mincho"/>
        </w:rPr>
        <w:t xml:space="preserve">Women’s work is far too expensive. We cannot give it a price because to pay this you would need a lot of capital and that could never be done because we don’t have that sort of money available. I’ve heard in other countries that for families with scarce resources, the presidents says: “This is the salary that poor families should earn and gives them a help so they have a stable </w:t>
      </w:r>
      <w:r w:rsidRPr="009A7163">
        <w:rPr>
          <w:rFonts w:eastAsia="MS Mincho"/>
        </w:rPr>
        <w:lastRenderedPageBreak/>
        <w:t>salary</w:t>
      </w:r>
      <w:r w:rsidR="00FE5EB3" w:rsidRPr="009A7163">
        <w:rPr>
          <w:rFonts w:eastAsia="MS Mincho"/>
        </w:rPr>
        <w:t>…</w:t>
      </w:r>
      <w:r w:rsidRPr="009A7163">
        <w:rPr>
          <w:rFonts w:eastAsia="MS Mincho"/>
        </w:rPr>
        <w:t>However, Nicaragua is poor and especially us, the farmers</w:t>
      </w:r>
      <w:r w:rsidR="00FE5EB3" w:rsidRPr="009A7163">
        <w:rPr>
          <w:rFonts w:eastAsia="MS Mincho"/>
        </w:rPr>
        <w:t>…</w:t>
      </w:r>
      <w:r w:rsidRPr="009A7163">
        <w:rPr>
          <w:rFonts w:eastAsia="MS Mincho"/>
        </w:rPr>
        <w:t>so I really don’t know what solution there could be for this. (Focus Group Men Achuapa, February 6, 2015)</w:t>
      </w:r>
    </w:p>
    <w:p w14:paraId="14954612" w14:textId="77777777" w:rsidR="0004022E" w:rsidRPr="009A7163" w:rsidRDefault="0004022E">
      <w:pPr>
        <w:spacing w:line="360" w:lineRule="auto"/>
        <w:jc w:val="both"/>
        <w:rPr>
          <w:rFonts w:eastAsia="MS Mincho"/>
        </w:rPr>
      </w:pPr>
      <w:r w:rsidRPr="009A7163">
        <w:rPr>
          <w:rFonts w:eastAsia="MS Mincho"/>
        </w:rPr>
        <w:t xml:space="preserve">The manager of the UCA San Ramón, where the pricing model is also functioning, said it was too expensive. She explained:  </w:t>
      </w:r>
    </w:p>
    <w:p w14:paraId="3DADE387" w14:textId="5DCEE9B9" w:rsidR="0004022E" w:rsidRPr="009A7163" w:rsidRDefault="0004022E">
      <w:pPr>
        <w:spacing w:after="180"/>
        <w:ind w:left="720"/>
        <w:jc w:val="both"/>
        <w:rPr>
          <w:rFonts w:eastAsia="MS Mincho"/>
        </w:rPr>
      </w:pPr>
      <w:r w:rsidRPr="009A7163">
        <w:rPr>
          <w:rFonts w:eastAsia="MS Mincho"/>
        </w:rPr>
        <w:t>You could calculate women’s unpaid work but it would be really high. It would be way too expensive</w:t>
      </w:r>
      <w:r w:rsidR="006B0BC9" w:rsidRPr="009A7163">
        <w:rPr>
          <w:rFonts w:eastAsia="MS Mincho"/>
        </w:rPr>
        <w:t>…</w:t>
      </w:r>
      <w:r w:rsidRPr="009A7163">
        <w:rPr>
          <w:rFonts w:eastAsia="MS Mincho"/>
        </w:rPr>
        <w:t>so you’d really have to do a review of all the costs and say, “Ok this is worth it, this is the cost”</w:t>
      </w:r>
      <w:r w:rsidR="00422A0A" w:rsidRPr="009A7163">
        <w:rPr>
          <w:rFonts w:eastAsia="MS Mincho"/>
        </w:rPr>
        <w:t>…</w:t>
      </w:r>
      <w:r w:rsidR="004754FE" w:rsidRPr="009A7163">
        <w:rPr>
          <w:rFonts w:eastAsia="MS Mincho"/>
        </w:rPr>
        <w:t>I</w:t>
      </w:r>
      <w:r w:rsidRPr="009A7163">
        <w:rPr>
          <w:rFonts w:eastAsia="MS Mincho"/>
        </w:rPr>
        <w:t>f it was 10 or 30 cents [per pound of coffee] for the contribution of women’s unpaid work and you know we do it for the costs of coffee. We work out how much it costs us to harvest coffee on a hectare of land, we include all the costs in a very detailed way but we never include the cost of women’s work</w:t>
      </w:r>
      <w:r w:rsidR="006B0BC9" w:rsidRPr="009A7163">
        <w:rPr>
          <w:rFonts w:eastAsia="MS Mincho"/>
        </w:rPr>
        <w:t>…</w:t>
      </w:r>
      <w:r w:rsidR="00422A0A" w:rsidRPr="009A7163">
        <w:rPr>
          <w:rFonts w:eastAsia="MS Mincho"/>
        </w:rPr>
        <w:t xml:space="preserve"> </w:t>
      </w:r>
      <w:r w:rsidRPr="009A7163">
        <w:rPr>
          <w:rFonts w:eastAsia="MS Mincho"/>
        </w:rPr>
        <w:t>(</w:t>
      </w:r>
      <w:r w:rsidR="00586537" w:rsidRPr="009A7163">
        <w:rPr>
          <w:rFonts w:eastAsia="MS Mincho"/>
        </w:rPr>
        <w:t xml:space="preserve">Blanca Rosa Molina, </w:t>
      </w:r>
      <w:r w:rsidRPr="009A7163">
        <w:rPr>
          <w:rFonts w:eastAsia="MS Mincho"/>
        </w:rPr>
        <w:t>Expert Interview, February 26, 2016)</w:t>
      </w:r>
    </w:p>
    <w:p w14:paraId="039D1284" w14:textId="65E95258" w:rsidR="00586537" w:rsidRPr="009A7163" w:rsidRDefault="00586537">
      <w:pPr>
        <w:spacing w:line="360" w:lineRule="auto"/>
        <w:ind w:firstLine="720"/>
        <w:jc w:val="both"/>
        <w:rPr>
          <w:rFonts w:eastAsia="MS Mincho"/>
        </w:rPr>
      </w:pPr>
      <w:r w:rsidRPr="009A7163">
        <w:rPr>
          <w:rFonts w:eastAsia="MS Mincho"/>
        </w:rPr>
        <w:t xml:space="preserve">The female manager who had agreed to the pricing model was clearly unsure </w:t>
      </w:r>
      <w:r w:rsidR="00E2458D" w:rsidRPr="009A7163">
        <w:rPr>
          <w:rFonts w:eastAsia="MS Mincho"/>
        </w:rPr>
        <w:t>whether</w:t>
      </w:r>
      <w:r w:rsidRPr="009A7163">
        <w:rPr>
          <w:rFonts w:eastAsia="MS Mincho"/>
        </w:rPr>
        <w:t xml:space="preserve"> a pricing model could reflect the true cost of women’s work</w:t>
      </w:r>
      <w:r w:rsidR="00E2458D" w:rsidRPr="009A7163">
        <w:rPr>
          <w:rFonts w:eastAsia="MS Mincho"/>
        </w:rPr>
        <w:t>,</w:t>
      </w:r>
      <w:r w:rsidRPr="009A7163">
        <w:rPr>
          <w:rFonts w:eastAsia="MS Mincho"/>
        </w:rPr>
        <w:t xml:space="preserve"> yet </w:t>
      </w:r>
      <w:r w:rsidR="00E2458D" w:rsidRPr="009A7163">
        <w:rPr>
          <w:rFonts w:eastAsia="MS Mincho"/>
        </w:rPr>
        <w:t xml:space="preserve">she </w:t>
      </w:r>
      <w:r w:rsidRPr="009A7163">
        <w:rPr>
          <w:rFonts w:eastAsia="MS Mincho"/>
        </w:rPr>
        <w:t xml:space="preserve">had agreed to charge a nominal fee to buyers. </w:t>
      </w:r>
    </w:p>
    <w:p w14:paraId="52FE745B" w14:textId="5BA27CDD" w:rsidR="0004022E" w:rsidRPr="009A7163" w:rsidRDefault="0004022E">
      <w:pPr>
        <w:spacing w:line="360" w:lineRule="auto"/>
        <w:ind w:firstLine="720"/>
        <w:jc w:val="both"/>
        <w:rPr>
          <w:rFonts w:eastAsia="MS Mincho"/>
        </w:rPr>
      </w:pPr>
      <w:r w:rsidRPr="009A7163">
        <w:rPr>
          <w:rFonts w:eastAsia="MS Mincho"/>
        </w:rPr>
        <w:t>In response to who should pay for women’s work, there was a mixture of responses. In the individual interviews with women participants in the initiative, some women cited that their husband should pay, but others noted the men’s work was already a contribution to family expenses and one even suggested she would need to pay him for his work (Interview, female sesame producer, 55 years and older, married, member, 3-6 years in the initiative, July 5, 2015). One woman who argued that her husband should pay also mentioned the role of the government:</w:t>
      </w:r>
    </w:p>
    <w:p w14:paraId="06C29763" w14:textId="674F2F03" w:rsidR="0004022E" w:rsidRPr="009A7163" w:rsidRDefault="0004022E">
      <w:pPr>
        <w:spacing w:after="180"/>
        <w:ind w:left="720"/>
        <w:jc w:val="both"/>
        <w:rPr>
          <w:rFonts w:eastAsia="MS Mincho"/>
        </w:rPr>
      </w:pPr>
      <w:r w:rsidRPr="009A7163">
        <w:rPr>
          <w:rFonts w:eastAsia="MS Mincho"/>
        </w:rPr>
        <w:t>I think my husband should pay – well the husband or family should pay for</w:t>
      </w:r>
      <w:r w:rsidR="004754FE" w:rsidRPr="009A7163">
        <w:rPr>
          <w:rFonts w:eastAsia="MS Mincho"/>
        </w:rPr>
        <w:t xml:space="preserve"> it </w:t>
      </w:r>
      <w:r w:rsidRPr="009A7163">
        <w:rPr>
          <w:rFonts w:eastAsia="MS Mincho"/>
        </w:rPr>
        <w:t>because if the woman is working tirelessly inside or outside of the house, her work is for the benefit of the family. However, if for example, the government saw this and acknowledged it, they could perhaps give her some kind of help – recognise and value her work because really women’s role is that of a domestic worker and domestic workers receive a payment</w:t>
      </w:r>
      <w:r w:rsidR="00FE5EB3" w:rsidRPr="009A7163">
        <w:rPr>
          <w:rFonts w:eastAsia="MS Mincho"/>
        </w:rPr>
        <w:t>…</w:t>
      </w:r>
      <w:r w:rsidR="004754FE" w:rsidRPr="009A7163">
        <w:rPr>
          <w:rFonts w:eastAsia="MS Mincho"/>
        </w:rPr>
        <w:t>H</w:t>
      </w:r>
      <w:r w:rsidRPr="009A7163">
        <w:rPr>
          <w:rFonts w:eastAsia="MS Mincho"/>
        </w:rPr>
        <w:t>owever, until now we receive no money for our work. However, if a government or institution could pay, this would be a help. (Interview, female coffee producer, 25–34 years old, married, wife of member, less than 3 years in the initiative, January 8, 2016)</w:t>
      </w:r>
    </w:p>
    <w:p w14:paraId="723659A6" w14:textId="47CC2AD4" w:rsidR="0004022E" w:rsidRPr="009A7163" w:rsidRDefault="0004022E">
      <w:pPr>
        <w:spacing w:line="360" w:lineRule="auto"/>
        <w:jc w:val="both"/>
        <w:rPr>
          <w:rFonts w:eastAsia="MS Mincho"/>
        </w:rPr>
      </w:pPr>
      <w:r w:rsidRPr="009A7163">
        <w:rPr>
          <w:rFonts w:eastAsia="MS Mincho"/>
        </w:rPr>
        <w:t xml:space="preserve">The mention of the role of the state and other institutions touches on what has been described in the literature on care as the care diamond, mentioned in </w:t>
      </w:r>
      <w:r w:rsidR="00B44AC2" w:rsidRPr="009A7163">
        <w:rPr>
          <w:rFonts w:eastAsia="MS Mincho"/>
        </w:rPr>
        <w:t>Chapter Two</w:t>
      </w:r>
      <w:r w:rsidRPr="009A7163">
        <w:rPr>
          <w:rFonts w:eastAsia="MS Mincho"/>
        </w:rPr>
        <w:t>.</w:t>
      </w:r>
    </w:p>
    <w:p w14:paraId="2A1A2759" w14:textId="77777777" w:rsidR="0004022E" w:rsidRPr="009A7163" w:rsidRDefault="0004022E">
      <w:pPr>
        <w:spacing w:line="360" w:lineRule="auto"/>
        <w:ind w:firstLine="720"/>
        <w:jc w:val="both"/>
        <w:rPr>
          <w:rFonts w:eastAsia="MS Mincho"/>
        </w:rPr>
      </w:pPr>
      <w:r w:rsidRPr="009A7163">
        <w:rPr>
          <w:rFonts w:eastAsia="MS Mincho"/>
        </w:rPr>
        <w:t xml:space="preserve">One man said until now he never thought of paying for women’s unpaid work and now feels in debt to her, stating: </w:t>
      </w:r>
    </w:p>
    <w:p w14:paraId="4864467E" w14:textId="77777777" w:rsidR="0004022E" w:rsidRPr="009A7163" w:rsidRDefault="0004022E">
      <w:pPr>
        <w:spacing w:after="180"/>
        <w:ind w:left="720"/>
        <w:jc w:val="both"/>
        <w:rPr>
          <w:rFonts w:eastAsia="MS Mincho"/>
        </w:rPr>
      </w:pPr>
      <w:r w:rsidRPr="009A7163">
        <w:rPr>
          <w:rFonts w:eastAsia="MS Mincho"/>
        </w:rPr>
        <w:t xml:space="preserve">It’s only now that we are seeing this, that for a long time we have not been valuing women’s work. We are now indebted. (Focus Group Men Achuapa, February 6, 2015) </w:t>
      </w:r>
    </w:p>
    <w:p w14:paraId="49F11C5A" w14:textId="0CD2B7A3" w:rsidR="0004022E" w:rsidRPr="009A7163" w:rsidRDefault="0004022E">
      <w:pPr>
        <w:spacing w:line="360" w:lineRule="auto"/>
        <w:jc w:val="both"/>
        <w:rPr>
          <w:rFonts w:eastAsia="MS Mincho"/>
        </w:rPr>
      </w:pPr>
      <w:r w:rsidRPr="009A7163">
        <w:rPr>
          <w:rFonts w:eastAsia="MS Mincho"/>
        </w:rPr>
        <w:lastRenderedPageBreak/>
        <w:t xml:space="preserve">So whilst there was an acknowledgement of how hard </w:t>
      </w:r>
      <w:r w:rsidR="003A2C87" w:rsidRPr="009A7163">
        <w:rPr>
          <w:rFonts w:eastAsia="MS Mincho"/>
        </w:rPr>
        <w:t>UCW</w:t>
      </w:r>
      <w:r w:rsidRPr="009A7163">
        <w:rPr>
          <w:rFonts w:eastAsia="MS Mincho"/>
        </w:rPr>
        <w:t xml:space="preserve"> and how they are conscious of how this falls to the responsibility of the woman. Furthermore, whilst they value </w:t>
      </w:r>
      <w:r w:rsidR="003A2C87" w:rsidRPr="009A7163">
        <w:rPr>
          <w:rFonts w:eastAsia="MS Mincho"/>
        </w:rPr>
        <w:t>UCW</w:t>
      </w:r>
      <w:r w:rsidRPr="009A7163">
        <w:rPr>
          <w:rFonts w:eastAsia="MS Mincho"/>
        </w:rPr>
        <w:t>, there was resistance about calculating its cost for fear of ‘losing out’ (assuming the men would have to personally pay for the women’s work).</w:t>
      </w:r>
    </w:p>
    <w:p w14:paraId="41D97499" w14:textId="248C3703" w:rsidR="0004022E" w:rsidRPr="009A7163" w:rsidRDefault="0004022E">
      <w:pPr>
        <w:spacing w:line="360" w:lineRule="auto"/>
        <w:ind w:firstLine="720"/>
        <w:jc w:val="both"/>
        <w:rPr>
          <w:rFonts w:eastAsia="MS Mincho"/>
        </w:rPr>
      </w:pPr>
      <w:r w:rsidRPr="009A7163">
        <w:rPr>
          <w:rFonts w:eastAsia="MS Mincho"/>
        </w:rPr>
        <w:t>In the men’s focus group, there was a lot of debate about income. On the one hand, the male participants mentioned that women’s work is as valuable as the men’s work and that they should be paid the same wage. However, there were various arguments by the men that reflected resistance to dividing the profits from the sesame harvest. One argument was that the men invest money into harvesting the crop and therefore they need to recuperate this expense. It would be possible to deduct input costs, such as fertilisers, but more difficult to invest their labour throughout the year, Another argument contended that ‘agriculture is an adventure’ and so sometimes the yield is low, and another said that they are working to cover the family’s expenses, just like the women (and with very little profit). During the focus group with the men, through working out the costs of producing sesame and their own labour, women</w:t>
      </w:r>
      <w:r w:rsidR="00E2458D" w:rsidRPr="009A7163">
        <w:rPr>
          <w:rFonts w:eastAsia="MS Mincho"/>
        </w:rPr>
        <w:t>’s contributions to the</w:t>
      </w:r>
      <w:r w:rsidRPr="009A7163">
        <w:rPr>
          <w:rFonts w:eastAsia="MS Mincho"/>
        </w:rPr>
        <w:t xml:space="preserve"> production of sesame and </w:t>
      </w:r>
      <w:r w:rsidR="00E2458D" w:rsidRPr="009A7163">
        <w:rPr>
          <w:rFonts w:eastAsia="MS Mincho"/>
        </w:rPr>
        <w:t xml:space="preserve">how to </w:t>
      </w:r>
      <w:r w:rsidRPr="009A7163">
        <w:rPr>
          <w:rFonts w:eastAsia="MS Mincho"/>
        </w:rPr>
        <w:t>visibilise this cost</w:t>
      </w:r>
      <w:r w:rsidR="00E2458D" w:rsidRPr="009A7163">
        <w:rPr>
          <w:rFonts w:eastAsia="MS Mincho"/>
        </w:rPr>
        <w:t xml:space="preserve"> became clear</w:t>
      </w:r>
      <w:r w:rsidRPr="009A7163">
        <w:rPr>
          <w:rFonts w:eastAsia="MS Mincho"/>
        </w:rPr>
        <w:t xml:space="preserve"> (see Table 5.1 below). Reflecting on this exercise and on women’s unpaid work, one man in the focus group said: </w:t>
      </w:r>
    </w:p>
    <w:p w14:paraId="4E5AEB7F" w14:textId="32272D68" w:rsidR="0004022E" w:rsidRPr="009A7163" w:rsidRDefault="0004022E">
      <w:pPr>
        <w:spacing w:after="180"/>
        <w:ind w:left="720"/>
        <w:jc w:val="both"/>
        <w:rPr>
          <w:rFonts w:eastAsia="MS Mincho"/>
        </w:rPr>
      </w:pPr>
      <w:r w:rsidRPr="009A7163">
        <w:rPr>
          <w:rFonts w:eastAsia="MS Mincho"/>
        </w:rPr>
        <w:t xml:space="preserve">With men’s work you can work out the price super fast. If a </w:t>
      </w:r>
      <w:r w:rsidRPr="009A7163">
        <w:rPr>
          <w:rFonts w:eastAsia="MS Mincho"/>
          <w:i/>
        </w:rPr>
        <w:t>quintal</w:t>
      </w:r>
      <w:r w:rsidRPr="009A7163">
        <w:rPr>
          <w:rFonts w:eastAsia="MS Mincho"/>
        </w:rPr>
        <w:t xml:space="preserve"> of sesame costs around C$1,1000 </w:t>
      </w:r>
      <w:r w:rsidRPr="009A7163">
        <w:rPr>
          <w:rFonts w:eastAsia="MS Mincho"/>
          <w:i/>
        </w:rPr>
        <w:t>cordabas</w:t>
      </w:r>
      <w:r w:rsidRPr="009A7163">
        <w:rPr>
          <w:rFonts w:eastAsia="MS Mincho"/>
        </w:rPr>
        <w:t xml:space="preserve"> and if you harvested 10 </w:t>
      </w:r>
      <w:r w:rsidRPr="009A7163">
        <w:rPr>
          <w:rFonts w:eastAsia="MS Mincho"/>
          <w:i/>
        </w:rPr>
        <w:t>quintales</w:t>
      </w:r>
      <w:r w:rsidRPr="009A7163">
        <w:rPr>
          <w:rFonts w:eastAsia="MS Mincho"/>
        </w:rPr>
        <w:t xml:space="preserve"> that’s C$11,000. It’s really easy to get an amount but with women’s work you just don’t see it.</w:t>
      </w:r>
      <w:r w:rsidR="00E2458D" w:rsidRPr="009A7163">
        <w:rPr>
          <w:rFonts w:eastAsia="MS Mincho"/>
          <w:vertAlign w:val="superscript"/>
        </w:rPr>
        <w:footnoteReference w:id="105"/>
      </w:r>
      <w:r w:rsidRPr="009A7163">
        <w:rPr>
          <w:rFonts w:eastAsia="MS Mincho"/>
        </w:rPr>
        <w:t xml:space="preserve"> (Focus Group Men, Achuapa, February 6, 2015)</w:t>
      </w:r>
    </w:p>
    <w:p w14:paraId="11093FC8" w14:textId="62C6AB78" w:rsidR="0004022E" w:rsidRPr="009A7163" w:rsidRDefault="0004022E">
      <w:pPr>
        <w:widowControl w:val="0"/>
        <w:autoSpaceDE w:val="0"/>
        <w:autoSpaceDN w:val="0"/>
        <w:adjustRightInd w:val="0"/>
        <w:spacing w:line="360" w:lineRule="auto"/>
        <w:jc w:val="both"/>
        <w:rPr>
          <w:rFonts w:eastAsia="MS Mincho"/>
        </w:rPr>
      </w:pPr>
      <w:r w:rsidRPr="009A7163">
        <w:rPr>
          <w:b/>
          <w:bCs/>
        </w:rPr>
        <w:t> </w:t>
      </w:r>
      <w:r w:rsidRPr="009A7163">
        <w:rPr>
          <w:rFonts w:eastAsia="MS Mincho"/>
        </w:rPr>
        <w:t xml:space="preserve">This table by the men calculates women’s unpaid work contribution as 10% above the initial contribution </w:t>
      </w:r>
      <w:r w:rsidR="00E2458D" w:rsidRPr="009A7163">
        <w:rPr>
          <w:rFonts w:eastAsia="MS Mincho"/>
        </w:rPr>
        <w:t xml:space="preserve">calculated in </w:t>
      </w:r>
      <w:r w:rsidRPr="009A7163">
        <w:rPr>
          <w:rFonts w:eastAsia="MS Mincho"/>
        </w:rPr>
        <w:t>Catherine Hoskyns</w:t>
      </w:r>
      <w:r w:rsidR="00E2458D" w:rsidRPr="009A7163">
        <w:rPr>
          <w:rFonts w:eastAsia="MS Mincho"/>
        </w:rPr>
        <w:t>’</w:t>
      </w:r>
      <w:r w:rsidRPr="009A7163">
        <w:rPr>
          <w:rFonts w:eastAsia="MS Mincho"/>
        </w:rPr>
        <w:t xml:space="preserve"> pilot time use study</w:t>
      </w:r>
      <w:r w:rsidR="00E2458D" w:rsidRPr="009A7163">
        <w:rPr>
          <w:rFonts w:eastAsia="MS Mincho"/>
        </w:rPr>
        <w:t>,</w:t>
      </w:r>
      <w:r w:rsidRPr="009A7163">
        <w:rPr>
          <w:rFonts w:eastAsia="MS Mincho"/>
        </w:rPr>
        <w:t xml:space="preserve"> which was 22% (highlighted in </w:t>
      </w:r>
      <w:r w:rsidR="00B44AC2" w:rsidRPr="009A7163">
        <w:rPr>
          <w:rFonts w:eastAsia="MS Mincho"/>
        </w:rPr>
        <w:t>Chapter One</w:t>
      </w:r>
      <w:r w:rsidRPr="009A7163">
        <w:rPr>
          <w:rFonts w:eastAsia="MS Mincho"/>
        </w:rPr>
        <w:t>) and for which the payment for the initiative has been calculated.</w:t>
      </w:r>
    </w:p>
    <w:p w14:paraId="2AE08A90" w14:textId="77777777" w:rsidR="0004022E" w:rsidRPr="009A7163" w:rsidRDefault="0004022E">
      <w:pPr>
        <w:spacing w:line="360" w:lineRule="auto"/>
        <w:ind w:firstLine="720"/>
        <w:jc w:val="both"/>
        <w:rPr>
          <w:rFonts w:eastAsia="MS Mincho"/>
        </w:rPr>
      </w:pPr>
      <w:r w:rsidRPr="009A7163">
        <w:rPr>
          <w:rFonts w:eastAsia="MS Mincho"/>
        </w:rPr>
        <w:t xml:space="preserve">Finally, in relation to the issue of pricing, social norms (roles designated by sex and the culture of </w:t>
      </w:r>
      <w:r w:rsidRPr="009A7163">
        <w:rPr>
          <w:rFonts w:eastAsia="MS Mincho"/>
          <w:i/>
        </w:rPr>
        <w:t>machismo</w:t>
      </w:r>
      <w:r w:rsidRPr="009A7163">
        <w:rPr>
          <w:rFonts w:eastAsia="MS Mincho"/>
        </w:rPr>
        <w:t xml:space="preserve">) was an issue highlighted by both the women and men in the focus group discussions as being influential. One man said: </w:t>
      </w:r>
    </w:p>
    <w:p w14:paraId="033084EB" w14:textId="6FCB0397" w:rsidR="0004022E" w:rsidRPr="009A7163" w:rsidRDefault="0004022E">
      <w:pPr>
        <w:spacing w:after="180"/>
        <w:ind w:left="720"/>
        <w:jc w:val="both"/>
        <w:rPr>
          <w:rFonts w:eastAsia="MS Mincho"/>
        </w:rPr>
      </w:pPr>
      <w:r w:rsidRPr="009A7163">
        <w:rPr>
          <w:rFonts w:eastAsia="MS Mincho"/>
        </w:rPr>
        <w:t>Although unpaid work has a cost, we just don’t see this work. We don’t see its cost or that it should have price and therefore be paid and sometimes the women are the same. They don’t value their own work. She needs to learn to analyse her work and give it a price</w:t>
      </w:r>
      <w:r w:rsidR="00FE5EB3" w:rsidRPr="009A7163">
        <w:rPr>
          <w:rFonts w:eastAsia="MS Mincho"/>
        </w:rPr>
        <w:t>…</w:t>
      </w:r>
      <w:r w:rsidRPr="009A7163">
        <w:rPr>
          <w:rFonts w:eastAsia="MS Mincho"/>
        </w:rPr>
        <w:t>and even if at the end of the day we men don’t pay it, at least there’s been an evaluation of who invested more time and what is the price for that and who should therefore receive more</w:t>
      </w:r>
      <w:r w:rsidR="00422A0A" w:rsidRPr="009A7163">
        <w:rPr>
          <w:rFonts w:eastAsia="MS Mincho"/>
        </w:rPr>
        <w:t>…b</w:t>
      </w:r>
      <w:r w:rsidRPr="009A7163">
        <w:rPr>
          <w:rFonts w:eastAsia="MS Mincho"/>
        </w:rPr>
        <w:t xml:space="preserve">ut the fact we </w:t>
      </w:r>
      <w:r w:rsidRPr="009A7163">
        <w:rPr>
          <w:rFonts w:eastAsia="MS Mincho"/>
        </w:rPr>
        <w:lastRenderedPageBreak/>
        <w:t xml:space="preserve">don’t value or expect to pay for it in the first place is a product of </w:t>
      </w:r>
      <w:r w:rsidR="00E2458D" w:rsidRPr="009A7163">
        <w:rPr>
          <w:rFonts w:eastAsia="MS Mincho"/>
        </w:rPr>
        <w:t xml:space="preserve">Nicaraguan men being </w:t>
      </w:r>
      <w:r w:rsidRPr="009A7163">
        <w:rPr>
          <w:rFonts w:eastAsia="MS Mincho"/>
          <w:i/>
        </w:rPr>
        <w:t>machis</w:t>
      </w:r>
      <w:r w:rsidR="00E2458D" w:rsidRPr="009A7163">
        <w:rPr>
          <w:rFonts w:eastAsia="MS Mincho"/>
          <w:i/>
        </w:rPr>
        <w:t>ta</w:t>
      </w:r>
      <w:r w:rsidRPr="009A7163">
        <w:rPr>
          <w:rFonts w:eastAsia="MS Mincho"/>
        </w:rPr>
        <w:t>. (Focus Group Men, Achuapa, February 6, 2015)</w:t>
      </w:r>
    </w:p>
    <w:p w14:paraId="64397AE5" w14:textId="5EE3427E" w:rsidR="0004022E" w:rsidRPr="009A7163" w:rsidRDefault="00B7286C" w:rsidP="007A3A29">
      <w:pPr>
        <w:spacing w:line="360" w:lineRule="auto"/>
        <w:jc w:val="both"/>
        <w:rPr>
          <w:rFonts w:eastAsia="MS Mincho"/>
        </w:rPr>
      </w:pPr>
      <w:r w:rsidRPr="009A7163">
        <w:rPr>
          <w:rFonts w:eastAsia="MS Mincho"/>
        </w:rPr>
        <w:t xml:space="preserve">The argument </w:t>
      </w:r>
      <w:r w:rsidR="00E9317C" w:rsidRPr="009A7163">
        <w:rPr>
          <w:rFonts w:eastAsia="MS Mincho"/>
        </w:rPr>
        <w:t xml:space="preserve">of men’s </w:t>
      </w:r>
      <w:r w:rsidR="004F5880" w:rsidRPr="009A7163">
        <w:rPr>
          <w:rFonts w:eastAsia="MS Mincho"/>
        </w:rPr>
        <w:t>inability to see or value women’s work</w:t>
      </w:r>
      <w:r w:rsidR="00435BDE" w:rsidRPr="009A7163">
        <w:rPr>
          <w:rFonts w:eastAsia="MS Mincho"/>
        </w:rPr>
        <w:t xml:space="preserve">, its link to machismo </w:t>
      </w:r>
      <w:r w:rsidRPr="009A7163">
        <w:rPr>
          <w:rFonts w:eastAsia="MS Mincho"/>
        </w:rPr>
        <w:t>and the suggestion that women need to analyse their work and give it price</w:t>
      </w:r>
      <w:r w:rsidR="00A10B7C" w:rsidRPr="009A7163">
        <w:rPr>
          <w:rFonts w:eastAsia="MS Mincho"/>
        </w:rPr>
        <w:t xml:space="preserve"> again echoes </w:t>
      </w:r>
    </w:p>
    <w:p w14:paraId="4BF8EB8E" w14:textId="77777777" w:rsidR="0004022E" w:rsidRPr="009A7163" w:rsidRDefault="0004022E">
      <w:pPr>
        <w:rPr>
          <w:rFonts w:eastAsia="MS Mincho"/>
        </w:rPr>
      </w:pPr>
    </w:p>
    <w:p w14:paraId="7A3C21A7" w14:textId="38B53874" w:rsidR="0004022E" w:rsidRPr="009A7163" w:rsidRDefault="0004022E">
      <w:pPr>
        <w:widowControl w:val="0"/>
        <w:autoSpaceDE w:val="0"/>
        <w:autoSpaceDN w:val="0"/>
        <w:adjustRightInd w:val="0"/>
        <w:spacing w:after="240"/>
        <w:rPr>
          <w:b/>
          <w:bCs/>
        </w:rPr>
      </w:pPr>
      <w:bookmarkStart w:id="113" w:name="_Toc526710018"/>
      <w:r w:rsidRPr="009A7163">
        <w:rPr>
          <w:rStyle w:val="TableTOCChar"/>
        </w:rPr>
        <w:t>Table 5.1. Women’s Contribution to Sesame According to Men’s Focus Group – Investment per manzana</w:t>
      </w:r>
      <w:r w:rsidR="00422A0A" w:rsidRPr="009A7163">
        <w:rPr>
          <w:rStyle w:val="TableTOCChar"/>
          <w:vertAlign w:val="superscript"/>
        </w:rPr>
        <w:t>a</w:t>
      </w:r>
      <w:bookmarkEnd w:id="113"/>
      <w:r w:rsidRPr="009A7163">
        <w:rPr>
          <w:b/>
          <w:bCs/>
        </w:rPr>
        <w:t xml:space="preserve"> (2015</w:t>
      </w:r>
      <w:r w:rsidR="00422A0A" w:rsidRPr="009A7163">
        <w:rPr>
          <w:b/>
          <w:bCs/>
          <w:vertAlign w:val="superscript"/>
        </w:rPr>
        <w:t>b</w:t>
      </w:r>
      <w:r w:rsidRPr="009A7163">
        <w:rPr>
          <w:b/>
          <w:bCs/>
        </w:rPr>
        <w:t>)</w:t>
      </w:r>
    </w:p>
    <w:tbl>
      <w:tblPr>
        <w:tblW w:w="9260" w:type="dxa"/>
        <w:tblBorders>
          <w:top w:val="nil"/>
          <w:left w:val="nil"/>
          <w:right w:val="nil"/>
        </w:tblBorders>
        <w:tblLayout w:type="fixed"/>
        <w:tblLook w:val="0000" w:firstRow="0" w:lastRow="0" w:firstColumn="0" w:lastColumn="0" w:noHBand="0" w:noVBand="0"/>
      </w:tblPr>
      <w:tblGrid>
        <w:gridCol w:w="4760"/>
        <w:gridCol w:w="2250"/>
        <w:gridCol w:w="2250"/>
      </w:tblGrid>
      <w:tr w:rsidR="0004022E" w:rsidRPr="009A7163" w14:paraId="2ACB4076" w14:textId="77777777" w:rsidTr="00CB5642">
        <w:tc>
          <w:tcPr>
            <w:tcW w:w="4760" w:type="dxa"/>
            <w:tcBorders>
              <w:top w:val="single" w:sz="8" w:space="0" w:color="000000"/>
              <w:left w:val="nil"/>
              <w:bottom w:val="single" w:sz="8" w:space="0" w:color="000000"/>
              <w:right w:val="nil"/>
            </w:tcBorders>
            <w:tcMar>
              <w:top w:w="80" w:type="nil"/>
              <w:right w:w="80" w:type="nil"/>
            </w:tcMar>
            <w:vAlign w:val="center"/>
          </w:tcPr>
          <w:p w14:paraId="6FE3F209" w14:textId="77777777" w:rsidR="0004022E" w:rsidRPr="009A7163" w:rsidRDefault="0004022E">
            <w:pPr>
              <w:widowControl w:val="0"/>
              <w:autoSpaceDE w:val="0"/>
              <w:autoSpaceDN w:val="0"/>
              <w:adjustRightInd w:val="0"/>
              <w:spacing w:before="40" w:after="40"/>
              <w:jc w:val="both"/>
            </w:pPr>
            <w:r w:rsidRPr="009A7163">
              <w:rPr>
                <w:bCs/>
              </w:rPr>
              <w:t>Activity and/or input</w:t>
            </w:r>
          </w:p>
        </w:tc>
        <w:tc>
          <w:tcPr>
            <w:tcW w:w="2250" w:type="dxa"/>
            <w:tcBorders>
              <w:top w:val="single" w:sz="8" w:space="0" w:color="000000"/>
              <w:left w:val="nil"/>
              <w:bottom w:val="single" w:sz="8" w:space="0" w:color="000000"/>
              <w:right w:val="nil"/>
            </w:tcBorders>
            <w:tcMar>
              <w:top w:w="80" w:type="nil"/>
              <w:right w:w="80" w:type="nil"/>
            </w:tcMar>
            <w:vAlign w:val="center"/>
          </w:tcPr>
          <w:p w14:paraId="16C9328A" w14:textId="77777777" w:rsidR="0004022E" w:rsidRPr="009A7163" w:rsidRDefault="0004022E">
            <w:pPr>
              <w:widowControl w:val="0"/>
              <w:autoSpaceDE w:val="0"/>
              <w:autoSpaceDN w:val="0"/>
              <w:adjustRightInd w:val="0"/>
              <w:spacing w:before="40" w:after="40"/>
            </w:pPr>
            <w:r w:rsidRPr="009A7163">
              <w:rPr>
                <w:bCs/>
              </w:rPr>
              <w:t>Men’s investment</w:t>
            </w:r>
          </w:p>
        </w:tc>
        <w:tc>
          <w:tcPr>
            <w:tcW w:w="2250" w:type="dxa"/>
            <w:tcBorders>
              <w:top w:val="single" w:sz="8" w:space="0" w:color="000000"/>
              <w:left w:val="nil"/>
              <w:bottom w:val="single" w:sz="8" w:space="0" w:color="000000"/>
              <w:right w:val="nil"/>
            </w:tcBorders>
            <w:tcMar>
              <w:top w:w="80" w:type="nil"/>
              <w:right w:w="80" w:type="nil"/>
            </w:tcMar>
            <w:vAlign w:val="center"/>
          </w:tcPr>
          <w:p w14:paraId="3FA4A7EF" w14:textId="77777777" w:rsidR="0004022E" w:rsidRPr="009A7163" w:rsidRDefault="0004022E">
            <w:pPr>
              <w:widowControl w:val="0"/>
              <w:autoSpaceDE w:val="0"/>
              <w:autoSpaceDN w:val="0"/>
              <w:adjustRightInd w:val="0"/>
              <w:spacing w:before="40" w:after="40"/>
            </w:pPr>
            <w:r w:rsidRPr="009A7163">
              <w:rPr>
                <w:bCs/>
              </w:rPr>
              <w:t>Women’s investment (days worked at C$100 a day)</w:t>
            </w:r>
          </w:p>
        </w:tc>
      </w:tr>
      <w:tr w:rsidR="0004022E" w:rsidRPr="009A7163" w14:paraId="063E8F11"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5274B107" w14:textId="77777777" w:rsidR="0004022E" w:rsidRPr="009A7163" w:rsidRDefault="0004022E" w:rsidP="008C041F">
            <w:pPr>
              <w:widowControl w:val="0"/>
              <w:autoSpaceDE w:val="0"/>
              <w:autoSpaceDN w:val="0"/>
              <w:adjustRightInd w:val="0"/>
              <w:spacing w:before="40" w:after="40"/>
              <w:jc w:val="both"/>
            </w:pPr>
            <w:r w:rsidRPr="009A7163">
              <w:rPr>
                <w:bCs/>
              </w:rPr>
              <w:t>Mowing (6 days)</w:t>
            </w:r>
          </w:p>
        </w:tc>
        <w:tc>
          <w:tcPr>
            <w:tcW w:w="2250" w:type="dxa"/>
            <w:tcBorders>
              <w:left w:val="nil"/>
              <w:bottom w:val="single" w:sz="8" w:space="0" w:color="000000"/>
              <w:right w:val="nil"/>
            </w:tcBorders>
            <w:tcMar>
              <w:top w:w="80" w:type="nil"/>
              <w:right w:w="80" w:type="nil"/>
            </w:tcMar>
          </w:tcPr>
          <w:p w14:paraId="61B8424A" w14:textId="77777777" w:rsidR="0004022E" w:rsidRPr="009A7163" w:rsidRDefault="0004022E">
            <w:pPr>
              <w:widowControl w:val="0"/>
              <w:autoSpaceDE w:val="0"/>
              <w:autoSpaceDN w:val="0"/>
              <w:adjustRightInd w:val="0"/>
              <w:spacing w:before="40" w:after="40"/>
              <w:jc w:val="both"/>
            </w:pPr>
            <w:r w:rsidRPr="009A7163">
              <w:rPr>
                <w:bCs/>
              </w:rPr>
              <w:t>C$ 600</w:t>
            </w:r>
          </w:p>
        </w:tc>
        <w:tc>
          <w:tcPr>
            <w:tcW w:w="2250" w:type="dxa"/>
            <w:tcBorders>
              <w:left w:val="nil"/>
              <w:bottom w:val="single" w:sz="8" w:space="0" w:color="000000"/>
              <w:right w:val="nil"/>
            </w:tcBorders>
            <w:tcMar>
              <w:top w:w="80" w:type="nil"/>
              <w:right w:w="80" w:type="nil"/>
            </w:tcMar>
          </w:tcPr>
          <w:p w14:paraId="74D40E89" w14:textId="77777777" w:rsidR="0004022E" w:rsidRPr="009A7163" w:rsidRDefault="0004022E">
            <w:pPr>
              <w:widowControl w:val="0"/>
              <w:autoSpaceDE w:val="0"/>
              <w:autoSpaceDN w:val="0"/>
              <w:adjustRightInd w:val="0"/>
              <w:spacing w:before="40" w:after="40"/>
              <w:jc w:val="both"/>
            </w:pPr>
            <w:r w:rsidRPr="009A7163">
              <w:rPr>
                <w:bCs/>
              </w:rPr>
              <w:t>C$ 600</w:t>
            </w:r>
          </w:p>
        </w:tc>
      </w:tr>
      <w:tr w:rsidR="0004022E" w:rsidRPr="009A7163" w14:paraId="579B0BA0"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290324DE" w14:textId="77777777" w:rsidR="0004022E" w:rsidRPr="009A7163" w:rsidRDefault="0004022E" w:rsidP="008C041F">
            <w:pPr>
              <w:widowControl w:val="0"/>
              <w:autoSpaceDE w:val="0"/>
              <w:autoSpaceDN w:val="0"/>
              <w:adjustRightInd w:val="0"/>
              <w:spacing w:before="40" w:after="40"/>
              <w:jc w:val="both"/>
            </w:pPr>
            <w:r w:rsidRPr="009A7163">
              <w:rPr>
                <w:bCs/>
              </w:rPr>
              <w:t>Plowing (3 days)</w:t>
            </w:r>
          </w:p>
        </w:tc>
        <w:tc>
          <w:tcPr>
            <w:tcW w:w="2250" w:type="dxa"/>
            <w:tcBorders>
              <w:left w:val="nil"/>
              <w:bottom w:val="single" w:sz="8" w:space="0" w:color="000000"/>
              <w:right w:val="nil"/>
            </w:tcBorders>
            <w:tcMar>
              <w:top w:w="80" w:type="nil"/>
              <w:right w:w="80" w:type="nil"/>
            </w:tcMar>
          </w:tcPr>
          <w:p w14:paraId="78AA1A22" w14:textId="77777777" w:rsidR="0004022E" w:rsidRPr="009A7163" w:rsidRDefault="0004022E">
            <w:pPr>
              <w:widowControl w:val="0"/>
              <w:autoSpaceDE w:val="0"/>
              <w:autoSpaceDN w:val="0"/>
              <w:adjustRightInd w:val="0"/>
              <w:spacing w:before="40" w:after="40"/>
              <w:jc w:val="both"/>
            </w:pPr>
            <w:r w:rsidRPr="009A7163">
              <w:rPr>
                <w:bCs/>
              </w:rPr>
              <w:t>C$ 1,200</w:t>
            </w:r>
          </w:p>
        </w:tc>
        <w:tc>
          <w:tcPr>
            <w:tcW w:w="2250" w:type="dxa"/>
            <w:tcBorders>
              <w:left w:val="nil"/>
              <w:bottom w:val="single" w:sz="8" w:space="0" w:color="000000"/>
              <w:right w:val="nil"/>
            </w:tcBorders>
            <w:tcMar>
              <w:top w:w="80" w:type="nil"/>
              <w:right w:w="80" w:type="nil"/>
            </w:tcMar>
          </w:tcPr>
          <w:p w14:paraId="30B9811D" w14:textId="77777777" w:rsidR="0004022E" w:rsidRPr="009A7163" w:rsidRDefault="0004022E">
            <w:pPr>
              <w:widowControl w:val="0"/>
              <w:autoSpaceDE w:val="0"/>
              <w:autoSpaceDN w:val="0"/>
              <w:adjustRightInd w:val="0"/>
              <w:spacing w:before="40" w:after="40"/>
              <w:jc w:val="both"/>
            </w:pPr>
            <w:r w:rsidRPr="009A7163">
              <w:rPr>
                <w:bCs/>
              </w:rPr>
              <w:t>C$ 300</w:t>
            </w:r>
          </w:p>
        </w:tc>
      </w:tr>
      <w:tr w:rsidR="0004022E" w:rsidRPr="009A7163" w14:paraId="59B44B7E"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7219EE03" w14:textId="77777777" w:rsidR="0004022E" w:rsidRPr="009A7163" w:rsidRDefault="0004022E" w:rsidP="008C041F">
            <w:pPr>
              <w:widowControl w:val="0"/>
              <w:autoSpaceDE w:val="0"/>
              <w:autoSpaceDN w:val="0"/>
              <w:adjustRightInd w:val="0"/>
              <w:spacing w:before="40" w:after="40"/>
              <w:jc w:val="both"/>
            </w:pPr>
            <w:r w:rsidRPr="009A7163">
              <w:rPr>
                <w:bCs/>
              </w:rPr>
              <w:t>Crossing</w:t>
            </w:r>
          </w:p>
        </w:tc>
        <w:tc>
          <w:tcPr>
            <w:tcW w:w="2250" w:type="dxa"/>
            <w:tcBorders>
              <w:left w:val="nil"/>
              <w:bottom w:val="single" w:sz="8" w:space="0" w:color="000000"/>
              <w:right w:val="nil"/>
            </w:tcBorders>
            <w:tcMar>
              <w:top w:w="80" w:type="nil"/>
              <w:right w:w="80" w:type="nil"/>
            </w:tcMar>
          </w:tcPr>
          <w:p w14:paraId="67CCD0B7" w14:textId="77777777" w:rsidR="0004022E" w:rsidRPr="009A7163" w:rsidRDefault="0004022E">
            <w:pPr>
              <w:widowControl w:val="0"/>
              <w:autoSpaceDE w:val="0"/>
              <w:autoSpaceDN w:val="0"/>
              <w:adjustRightInd w:val="0"/>
              <w:spacing w:before="40" w:after="40"/>
              <w:jc w:val="both"/>
            </w:pPr>
            <w:r w:rsidRPr="009A7163">
              <w:rPr>
                <w:bCs/>
              </w:rPr>
              <w:t>C$ 400</w:t>
            </w:r>
          </w:p>
        </w:tc>
        <w:tc>
          <w:tcPr>
            <w:tcW w:w="2250" w:type="dxa"/>
            <w:tcBorders>
              <w:left w:val="nil"/>
              <w:bottom w:val="single" w:sz="8" w:space="0" w:color="000000"/>
              <w:right w:val="nil"/>
            </w:tcBorders>
            <w:tcMar>
              <w:top w:w="80" w:type="nil"/>
              <w:right w:w="80" w:type="nil"/>
            </w:tcMar>
          </w:tcPr>
          <w:p w14:paraId="376FDE6A" w14:textId="77777777" w:rsidR="0004022E" w:rsidRPr="009A7163" w:rsidRDefault="0004022E">
            <w:pPr>
              <w:widowControl w:val="0"/>
              <w:autoSpaceDE w:val="0"/>
              <w:autoSpaceDN w:val="0"/>
              <w:adjustRightInd w:val="0"/>
              <w:spacing w:before="40" w:after="40"/>
              <w:jc w:val="both"/>
            </w:pPr>
            <w:r w:rsidRPr="009A7163">
              <w:rPr>
                <w:bCs/>
              </w:rPr>
              <w:t>C$ 100</w:t>
            </w:r>
          </w:p>
        </w:tc>
      </w:tr>
      <w:tr w:rsidR="0004022E" w:rsidRPr="009A7163" w14:paraId="5A29D0D0"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74C10972" w14:textId="77777777" w:rsidR="0004022E" w:rsidRPr="009A7163" w:rsidRDefault="0004022E" w:rsidP="008C041F">
            <w:pPr>
              <w:widowControl w:val="0"/>
              <w:autoSpaceDE w:val="0"/>
              <w:autoSpaceDN w:val="0"/>
              <w:adjustRightInd w:val="0"/>
              <w:spacing w:before="40" w:after="40"/>
              <w:jc w:val="both"/>
            </w:pPr>
            <w:r w:rsidRPr="009A7163">
              <w:rPr>
                <w:bCs/>
              </w:rPr>
              <w:t>Seed furrow</w:t>
            </w:r>
          </w:p>
        </w:tc>
        <w:tc>
          <w:tcPr>
            <w:tcW w:w="2250" w:type="dxa"/>
            <w:tcBorders>
              <w:left w:val="nil"/>
              <w:bottom w:val="single" w:sz="8" w:space="0" w:color="000000"/>
              <w:right w:val="nil"/>
            </w:tcBorders>
            <w:tcMar>
              <w:top w:w="80" w:type="nil"/>
              <w:right w:w="80" w:type="nil"/>
            </w:tcMar>
          </w:tcPr>
          <w:p w14:paraId="2C94511A" w14:textId="77777777" w:rsidR="0004022E" w:rsidRPr="009A7163" w:rsidRDefault="0004022E">
            <w:pPr>
              <w:widowControl w:val="0"/>
              <w:autoSpaceDE w:val="0"/>
              <w:autoSpaceDN w:val="0"/>
              <w:adjustRightInd w:val="0"/>
              <w:spacing w:before="40" w:after="40"/>
              <w:jc w:val="both"/>
            </w:pPr>
            <w:r w:rsidRPr="009A7163">
              <w:rPr>
                <w:bCs/>
              </w:rPr>
              <w:t>C$ 300</w:t>
            </w:r>
          </w:p>
        </w:tc>
        <w:tc>
          <w:tcPr>
            <w:tcW w:w="2250" w:type="dxa"/>
            <w:tcBorders>
              <w:left w:val="nil"/>
              <w:bottom w:val="single" w:sz="8" w:space="0" w:color="000000"/>
              <w:right w:val="nil"/>
            </w:tcBorders>
            <w:tcMar>
              <w:top w:w="80" w:type="nil"/>
              <w:right w:w="80" w:type="nil"/>
            </w:tcMar>
          </w:tcPr>
          <w:p w14:paraId="50F8217E" w14:textId="77777777" w:rsidR="0004022E" w:rsidRPr="009A7163" w:rsidRDefault="0004022E">
            <w:pPr>
              <w:widowControl w:val="0"/>
              <w:autoSpaceDE w:val="0"/>
              <w:autoSpaceDN w:val="0"/>
              <w:adjustRightInd w:val="0"/>
              <w:spacing w:before="40" w:after="40"/>
              <w:jc w:val="both"/>
            </w:pPr>
            <w:r w:rsidRPr="009A7163">
              <w:rPr>
                <w:bCs/>
              </w:rPr>
              <w:t>C$ 200</w:t>
            </w:r>
          </w:p>
        </w:tc>
      </w:tr>
      <w:tr w:rsidR="0004022E" w:rsidRPr="009A7163" w14:paraId="7CBAEE0E"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113CA6F0" w14:textId="77777777" w:rsidR="0004022E" w:rsidRPr="009A7163" w:rsidRDefault="0004022E" w:rsidP="008C041F">
            <w:pPr>
              <w:widowControl w:val="0"/>
              <w:autoSpaceDE w:val="0"/>
              <w:autoSpaceDN w:val="0"/>
              <w:adjustRightInd w:val="0"/>
              <w:spacing w:before="40" w:after="40"/>
              <w:jc w:val="both"/>
            </w:pPr>
            <w:r w:rsidRPr="009A7163">
              <w:rPr>
                <w:bCs/>
              </w:rPr>
              <w:t>Seeding</w:t>
            </w:r>
          </w:p>
        </w:tc>
        <w:tc>
          <w:tcPr>
            <w:tcW w:w="2250" w:type="dxa"/>
            <w:tcBorders>
              <w:left w:val="nil"/>
              <w:bottom w:val="single" w:sz="8" w:space="0" w:color="000000"/>
              <w:right w:val="nil"/>
            </w:tcBorders>
            <w:tcMar>
              <w:top w:w="80" w:type="nil"/>
              <w:right w:w="80" w:type="nil"/>
            </w:tcMar>
          </w:tcPr>
          <w:p w14:paraId="5EDD03D3" w14:textId="77777777" w:rsidR="0004022E" w:rsidRPr="009A7163" w:rsidRDefault="0004022E">
            <w:pPr>
              <w:widowControl w:val="0"/>
              <w:autoSpaceDE w:val="0"/>
              <w:autoSpaceDN w:val="0"/>
              <w:adjustRightInd w:val="0"/>
              <w:spacing w:before="40" w:after="40"/>
              <w:jc w:val="both"/>
            </w:pPr>
            <w:r w:rsidRPr="009A7163">
              <w:rPr>
                <w:bCs/>
              </w:rPr>
              <w:t>C$ 100</w:t>
            </w:r>
          </w:p>
        </w:tc>
        <w:tc>
          <w:tcPr>
            <w:tcW w:w="2250" w:type="dxa"/>
            <w:tcBorders>
              <w:left w:val="nil"/>
              <w:bottom w:val="single" w:sz="8" w:space="0" w:color="000000"/>
              <w:right w:val="nil"/>
            </w:tcBorders>
            <w:tcMar>
              <w:top w:w="80" w:type="nil"/>
              <w:right w:w="80" w:type="nil"/>
            </w:tcMar>
          </w:tcPr>
          <w:p w14:paraId="5FE8B029" w14:textId="77777777" w:rsidR="0004022E" w:rsidRPr="009A7163" w:rsidRDefault="0004022E">
            <w:pPr>
              <w:widowControl w:val="0"/>
              <w:autoSpaceDE w:val="0"/>
              <w:autoSpaceDN w:val="0"/>
              <w:adjustRightInd w:val="0"/>
              <w:spacing w:before="40" w:after="40"/>
              <w:jc w:val="both"/>
            </w:pPr>
            <w:r w:rsidRPr="009A7163">
              <w:rPr>
                <w:bCs/>
              </w:rPr>
              <w:t>C$ 0</w:t>
            </w:r>
          </w:p>
        </w:tc>
      </w:tr>
      <w:tr w:rsidR="0004022E" w:rsidRPr="009A7163" w14:paraId="331DB1C1"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2A4B9522" w14:textId="77777777" w:rsidR="0004022E" w:rsidRPr="009A7163" w:rsidRDefault="0004022E" w:rsidP="008C041F">
            <w:pPr>
              <w:widowControl w:val="0"/>
              <w:autoSpaceDE w:val="0"/>
              <w:autoSpaceDN w:val="0"/>
              <w:adjustRightInd w:val="0"/>
              <w:spacing w:before="40" w:after="40"/>
              <w:jc w:val="both"/>
            </w:pPr>
            <w:r w:rsidRPr="009A7163">
              <w:rPr>
                <w:bCs/>
              </w:rPr>
              <w:t>Separating shoots</w:t>
            </w:r>
          </w:p>
        </w:tc>
        <w:tc>
          <w:tcPr>
            <w:tcW w:w="2250" w:type="dxa"/>
            <w:tcBorders>
              <w:left w:val="nil"/>
              <w:bottom w:val="single" w:sz="8" w:space="0" w:color="000000"/>
              <w:right w:val="nil"/>
            </w:tcBorders>
            <w:tcMar>
              <w:top w:w="80" w:type="nil"/>
              <w:right w:w="80" w:type="nil"/>
            </w:tcMar>
          </w:tcPr>
          <w:p w14:paraId="30A5118B" w14:textId="77777777" w:rsidR="0004022E" w:rsidRPr="009A7163" w:rsidRDefault="0004022E">
            <w:pPr>
              <w:widowControl w:val="0"/>
              <w:autoSpaceDE w:val="0"/>
              <w:autoSpaceDN w:val="0"/>
              <w:adjustRightInd w:val="0"/>
              <w:spacing w:before="40" w:after="40"/>
              <w:jc w:val="both"/>
            </w:pPr>
            <w:r w:rsidRPr="009A7163">
              <w:rPr>
                <w:bCs/>
              </w:rPr>
              <w:t>C$ 1,000</w:t>
            </w:r>
          </w:p>
        </w:tc>
        <w:tc>
          <w:tcPr>
            <w:tcW w:w="2250" w:type="dxa"/>
            <w:tcBorders>
              <w:left w:val="nil"/>
              <w:bottom w:val="single" w:sz="8" w:space="0" w:color="000000"/>
              <w:right w:val="nil"/>
            </w:tcBorders>
            <w:tcMar>
              <w:top w:w="80" w:type="nil"/>
              <w:right w:w="80" w:type="nil"/>
            </w:tcMar>
          </w:tcPr>
          <w:p w14:paraId="479ED351" w14:textId="77777777" w:rsidR="0004022E" w:rsidRPr="009A7163" w:rsidRDefault="0004022E">
            <w:pPr>
              <w:widowControl w:val="0"/>
              <w:autoSpaceDE w:val="0"/>
              <w:autoSpaceDN w:val="0"/>
              <w:adjustRightInd w:val="0"/>
              <w:spacing w:before="40" w:after="40"/>
              <w:jc w:val="both"/>
            </w:pPr>
            <w:r w:rsidRPr="009A7163">
              <w:rPr>
                <w:bCs/>
              </w:rPr>
              <w:t>C$ 1,000</w:t>
            </w:r>
          </w:p>
        </w:tc>
      </w:tr>
      <w:tr w:rsidR="0004022E" w:rsidRPr="009A7163" w14:paraId="7C3634A1"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1538FF19" w14:textId="77777777" w:rsidR="0004022E" w:rsidRPr="009A7163" w:rsidRDefault="0004022E" w:rsidP="008C041F">
            <w:pPr>
              <w:widowControl w:val="0"/>
              <w:autoSpaceDE w:val="0"/>
              <w:autoSpaceDN w:val="0"/>
              <w:adjustRightInd w:val="0"/>
              <w:spacing w:before="40" w:after="40"/>
              <w:jc w:val="both"/>
            </w:pPr>
            <w:r w:rsidRPr="009A7163">
              <w:rPr>
                <w:bCs/>
              </w:rPr>
              <w:t>Fertilising</w:t>
            </w:r>
          </w:p>
        </w:tc>
        <w:tc>
          <w:tcPr>
            <w:tcW w:w="2250" w:type="dxa"/>
            <w:tcBorders>
              <w:left w:val="nil"/>
              <w:bottom w:val="single" w:sz="8" w:space="0" w:color="000000"/>
              <w:right w:val="nil"/>
            </w:tcBorders>
            <w:tcMar>
              <w:top w:w="80" w:type="nil"/>
              <w:right w:w="80" w:type="nil"/>
            </w:tcMar>
          </w:tcPr>
          <w:p w14:paraId="469F2E95" w14:textId="77777777" w:rsidR="0004022E" w:rsidRPr="009A7163" w:rsidRDefault="0004022E">
            <w:pPr>
              <w:widowControl w:val="0"/>
              <w:autoSpaceDE w:val="0"/>
              <w:autoSpaceDN w:val="0"/>
              <w:adjustRightInd w:val="0"/>
              <w:spacing w:before="40" w:after="40"/>
              <w:jc w:val="both"/>
            </w:pPr>
            <w:r w:rsidRPr="009A7163">
              <w:rPr>
                <w:bCs/>
              </w:rPr>
              <w:t>C$ 1,400</w:t>
            </w:r>
          </w:p>
        </w:tc>
        <w:tc>
          <w:tcPr>
            <w:tcW w:w="2250" w:type="dxa"/>
            <w:tcBorders>
              <w:left w:val="nil"/>
              <w:bottom w:val="single" w:sz="8" w:space="0" w:color="000000"/>
              <w:right w:val="nil"/>
            </w:tcBorders>
            <w:tcMar>
              <w:top w:w="80" w:type="nil"/>
              <w:right w:w="80" w:type="nil"/>
            </w:tcMar>
          </w:tcPr>
          <w:p w14:paraId="63CAF56D" w14:textId="77777777" w:rsidR="0004022E" w:rsidRPr="009A7163" w:rsidRDefault="0004022E">
            <w:pPr>
              <w:widowControl w:val="0"/>
              <w:autoSpaceDE w:val="0"/>
              <w:autoSpaceDN w:val="0"/>
              <w:adjustRightInd w:val="0"/>
              <w:spacing w:before="40" w:after="40"/>
              <w:jc w:val="both"/>
            </w:pPr>
            <w:r w:rsidRPr="009A7163">
              <w:rPr>
                <w:bCs/>
              </w:rPr>
              <w:t>C$ 100</w:t>
            </w:r>
          </w:p>
        </w:tc>
      </w:tr>
      <w:tr w:rsidR="0004022E" w:rsidRPr="009A7163" w14:paraId="6BCADA94"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468E031E" w14:textId="77777777" w:rsidR="0004022E" w:rsidRPr="009A7163" w:rsidRDefault="0004022E" w:rsidP="008C041F">
            <w:pPr>
              <w:widowControl w:val="0"/>
              <w:autoSpaceDE w:val="0"/>
              <w:autoSpaceDN w:val="0"/>
              <w:adjustRightInd w:val="0"/>
              <w:spacing w:before="40" w:after="40"/>
              <w:jc w:val="both"/>
            </w:pPr>
            <w:r w:rsidRPr="009A7163">
              <w:rPr>
                <w:bCs/>
              </w:rPr>
              <w:t>Temporary work</w:t>
            </w:r>
          </w:p>
        </w:tc>
        <w:tc>
          <w:tcPr>
            <w:tcW w:w="2250" w:type="dxa"/>
            <w:tcBorders>
              <w:left w:val="nil"/>
              <w:bottom w:val="single" w:sz="8" w:space="0" w:color="000000"/>
              <w:right w:val="nil"/>
            </w:tcBorders>
            <w:tcMar>
              <w:top w:w="80" w:type="nil"/>
              <w:right w:w="80" w:type="nil"/>
            </w:tcMar>
          </w:tcPr>
          <w:p w14:paraId="511A6ED6" w14:textId="77777777" w:rsidR="0004022E" w:rsidRPr="009A7163" w:rsidRDefault="0004022E">
            <w:pPr>
              <w:widowControl w:val="0"/>
              <w:autoSpaceDE w:val="0"/>
              <w:autoSpaceDN w:val="0"/>
              <w:adjustRightInd w:val="0"/>
              <w:spacing w:before="40" w:after="40"/>
              <w:jc w:val="both"/>
            </w:pPr>
            <w:r w:rsidRPr="009A7163">
              <w:rPr>
                <w:bCs/>
              </w:rPr>
              <w:t>C$ 600</w:t>
            </w:r>
          </w:p>
        </w:tc>
        <w:tc>
          <w:tcPr>
            <w:tcW w:w="2250" w:type="dxa"/>
            <w:tcBorders>
              <w:left w:val="nil"/>
              <w:bottom w:val="single" w:sz="8" w:space="0" w:color="000000"/>
              <w:right w:val="nil"/>
            </w:tcBorders>
            <w:tcMar>
              <w:top w:w="80" w:type="nil"/>
              <w:right w:w="80" w:type="nil"/>
            </w:tcMar>
          </w:tcPr>
          <w:p w14:paraId="7E1AF8E1" w14:textId="77777777" w:rsidR="0004022E" w:rsidRPr="009A7163" w:rsidRDefault="0004022E">
            <w:pPr>
              <w:widowControl w:val="0"/>
              <w:autoSpaceDE w:val="0"/>
              <w:autoSpaceDN w:val="0"/>
              <w:adjustRightInd w:val="0"/>
              <w:spacing w:before="40" w:after="40"/>
              <w:jc w:val="both"/>
            </w:pPr>
            <w:r w:rsidRPr="009A7163">
              <w:rPr>
                <w:bCs/>
              </w:rPr>
              <w:t>C$ 600</w:t>
            </w:r>
          </w:p>
        </w:tc>
      </w:tr>
      <w:tr w:rsidR="0004022E" w:rsidRPr="009A7163" w14:paraId="67FC39F1"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60304FEF" w14:textId="77777777" w:rsidR="0004022E" w:rsidRPr="009A7163" w:rsidRDefault="0004022E" w:rsidP="008C041F">
            <w:pPr>
              <w:widowControl w:val="0"/>
              <w:autoSpaceDE w:val="0"/>
              <w:autoSpaceDN w:val="0"/>
              <w:adjustRightInd w:val="0"/>
              <w:spacing w:before="40" w:after="40"/>
              <w:jc w:val="both"/>
            </w:pPr>
            <w:r w:rsidRPr="009A7163">
              <w:rPr>
                <w:bCs/>
              </w:rPr>
              <w:t>Urea</w:t>
            </w:r>
          </w:p>
        </w:tc>
        <w:tc>
          <w:tcPr>
            <w:tcW w:w="2250" w:type="dxa"/>
            <w:tcBorders>
              <w:left w:val="nil"/>
              <w:bottom w:val="single" w:sz="8" w:space="0" w:color="000000"/>
              <w:right w:val="nil"/>
            </w:tcBorders>
            <w:tcMar>
              <w:top w:w="80" w:type="nil"/>
              <w:right w:w="80" w:type="nil"/>
            </w:tcMar>
          </w:tcPr>
          <w:p w14:paraId="38775A84" w14:textId="77777777" w:rsidR="0004022E" w:rsidRPr="009A7163" w:rsidRDefault="0004022E">
            <w:pPr>
              <w:widowControl w:val="0"/>
              <w:autoSpaceDE w:val="0"/>
              <w:autoSpaceDN w:val="0"/>
              <w:adjustRightInd w:val="0"/>
              <w:spacing w:before="40" w:after="40"/>
              <w:jc w:val="both"/>
            </w:pPr>
            <w:r w:rsidRPr="009A7163">
              <w:rPr>
                <w:bCs/>
              </w:rPr>
              <w:t>C$ 1,400</w:t>
            </w:r>
          </w:p>
        </w:tc>
        <w:tc>
          <w:tcPr>
            <w:tcW w:w="2250" w:type="dxa"/>
            <w:tcBorders>
              <w:left w:val="nil"/>
              <w:bottom w:val="single" w:sz="8" w:space="0" w:color="000000"/>
              <w:right w:val="nil"/>
            </w:tcBorders>
            <w:tcMar>
              <w:top w:w="80" w:type="nil"/>
              <w:right w:w="80" w:type="nil"/>
            </w:tcMar>
          </w:tcPr>
          <w:p w14:paraId="55D859DC" w14:textId="77777777" w:rsidR="0004022E" w:rsidRPr="009A7163" w:rsidRDefault="0004022E">
            <w:pPr>
              <w:widowControl w:val="0"/>
              <w:autoSpaceDE w:val="0"/>
              <w:autoSpaceDN w:val="0"/>
              <w:adjustRightInd w:val="0"/>
              <w:spacing w:before="40" w:after="40"/>
              <w:jc w:val="both"/>
            </w:pPr>
            <w:r w:rsidRPr="009A7163">
              <w:rPr>
                <w:bCs/>
              </w:rPr>
              <w:t>C$ 200</w:t>
            </w:r>
          </w:p>
        </w:tc>
      </w:tr>
      <w:tr w:rsidR="0004022E" w:rsidRPr="009A7163" w14:paraId="1B7FC75D"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5247B767" w14:textId="77777777" w:rsidR="0004022E" w:rsidRPr="009A7163" w:rsidRDefault="0004022E" w:rsidP="008C041F">
            <w:pPr>
              <w:widowControl w:val="0"/>
              <w:autoSpaceDE w:val="0"/>
              <w:autoSpaceDN w:val="0"/>
              <w:adjustRightInd w:val="0"/>
              <w:spacing w:before="40" w:after="40"/>
              <w:jc w:val="both"/>
            </w:pPr>
            <w:r w:rsidRPr="009A7163">
              <w:rPr>
                <w:bCs/>
              </w:rPr>
              <w:t>Foliating</w:t>
            </w:r>
          </w:p>
        </w:tc>
        <w:tc>
          <w:tcPr>
            <w:tcW w:w="2250" w:type="dxa"/>
            <w:tcBorders>
              <w:left w:val="nil"/>
              <w:bottom w:val="single" w:sz="8" w:space="0" w:color="000000"/>
              <w:right w:val="nil"/>
            </w:tcBorders>
            <w:tcMar>
              <w:top w:w="80" w:type="nil"/>
              <w:right w:w="80" w:type="nil"/>
            </w:tcMar>
          </w:tcPr>
          <w:p w14:paraId="2453D6FE" w14:textId="77777777" w:rsidR="0004022E" w:rsidRPr="009A7163" w:rsidRDefault="0004022E">
            <w:pPr>
              <w:widowControl w:val="0"/>
              <w:autoSpaceDE w:val="0"/>
              <w:autoSpaceDN w:val="0"/>
              <w:adjustRightInd w:val="0"/>
              <w:spacing w:before="40" w:after="40"/>
              <w:jc w:val="both"/>
            </w:pPr>
            <w:r w:rsidRPr="009A7163">
              <w:rPr>
                <w:bCs/>
              </w:rPr>
              <w:t>C$ 200</w:t>
            </w:r>
          </w:p>
        </w:tc>
        <w:tc>
          <w:tcPr>
            <w:tcW w:w="2250" w:type="dxa"/>
            <w:tcBorders>
              <w:left w:val="nil"/>
              <w:bottom w:val="single" w:sz="8" w:space="0" w:color="000000"/>
              <w:right w:val="nil"/>
            </w:tcBorders>
            <w:tcMar>
              <w:top w:w="80" w:type="nil"/>
              <w:right w:w="80" w:type="nil"/>
            </w:tcMar>
          </w:tcPr>
          <w:p w14:paraId="3F6B8951" w14:textId="77777777" w:rsidR="0004022E" w:rsidRPr="009A7163" w:rsidRDefault="0004022E">
            <w:pPr>
              <w:widowControl w:val="0"/>
              <w:autoSpaceDE w:val="0"/>
              <w:autoSpaceDN w:val="0"/>
              <w:adjustRightInd w:val="0"/>
              <w:spacing w:before="40" w:after="40"/>
              <w:jc w:val="both"/>
            </w:pPr>
            <w:r w:rsidRPr="009A7163">
              <w:rPr>
                <w:bCs/>
              </w:rPr>
              <w:t>C$ 100</w:t>
            </w:r>
          </w:p>
        </w:tc>
      </w:tr>
      <w:tr w:rsidR="0004022E" w:rsidRPr="009A7163" w14:paraId="0804794F"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100FF396" w14:textId="77777777" w:rsidR="0004022E" w:rsidRPr="009A7163" w:rsidRDefault="0004022E" w:rsidP="008C041F">
            <w:pPr>
              <w:widowControl w:val="0"/>
              <w:autoSpaceDE w:val="0"/>
              <w:autoSpaceDN w:val="0"/>
              <w:adjustRightInd w:val="0"/>
              <w:spacing w:before="40" w:after="40"/>
              <w:jc w:val="both"/>
            </w:pPr>
            <w:r w:rsidRPr="009A7163">
              <w:rPr>
                <w:bCs/>
              </w:rPr>
              <w:t>For weeds</w:t>
            </w:r>
          </w:p>
        </w:tc>
        <w:tc>
          <w:tcPr>
            <w:tcW w:w="2250" w:type="dxa"/>
            <w:tcBorders>
              <w:left w:val="nil"/>
              <w:bottom w:val="single" w:sz="8" w:space="0" w:color="000000"/>
              <w:right w:val="nil"/>
            </w:tcBorders>
            <w:tcMar>
              <w:top w:w="80" w:type="nil"/>
              <w:right w:w="80" w:type="nil"/>
            </w:tcMar>
          </w:tcPr>
          <w:p w14:paraId="4F0068D4" w14:textId="77777777" w:rsidR="0004022E" w:rsidRPr="009A7163" w:rsidRDefault="0004022E">
            <w:pPr>
              <w:widowControl w:val="0"/>
              <w:autoSpaceDE w:val="0"/>
              <w:autoSpaceDN w:val="0"/>
              <w:adjustRightInd w:val="0"/>
              <w:spacing w:before="40" w:after="40"/>
              <w:jc w:val="both"/>
            </w:pPr>
            <w:r w:rsidRPr="009A7163">
              <w:rPr>
                <w:bCs/>
              </w:rPr>
              <w:t>C$ 200</w:t>
            </w:r>
          </w:p>
        </w:tc>
        <w:tc>
          <w:tcPr>
            <w:tcW w:w="2250" w:type="dxa"/>
            <w:tcBorders>
              <w:left w:val="nil"/>
              <w:bottom w:val="single" w:sz="8" w:space="0" w:color="000000"/>
              <w:right w:val="nil"/>
            </w:tcBorders>
            <w:tcMar>
              <w:top w:w="80" w:type="nil"/>
              <w:right w:w="80" w:type="nil"/>
            </w:tcMar>
          </w:tcPr>
          <w:p w14:paraId="5DC274B7" w14:textId="77777777" w:rsidR="0004022E" w:rsidRPr="009A7163" w:rsidRDefault="0004022E">
            <w:pPr>
              <w:widowControl w:val="0"/>
              <w:autoSpaceDE w:val="0"/>
              <w:autoSpaceDN w:val="0"/>
              <w:adjustRightInd w:val="0"/>
              <w:spacing w:before="40" w:after="40"/>
              <w:jc w:val="both"/>
            </w:pPr>
            <w:r w:rsidRPr="009A7163">
              <w:rPr>
                <w:bCs/>
              </w:rPr>
              <w:t>C$ 0</w:t>
            </w:r>
          </w:p>
        </w:tc>
      </w:tr>
      <w:tr w:rsidR="0004022E" w:rsidRPr="009A7163" w14:paraId="439E5B71"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2EAE8399" w14:textId="77777777" w:rsidR="0004022E" w:rsidRPr="009A7163" w:rsidRDefault="0004022E" w:rsidP="008C041F">
            <w:pPr>
              <w:widowControl w:val="0"/>
              <w:autoSpaceDE w:val="0"/>
              <w:autoSpaceDN w:val="0"/>
              <w:adjustRightInd w:val="0"/>
              <w:spacing w:before="40" w:after="40"/>
              <w:jc w:val="both"/>
            </w:pPr>
            <w:r w:rsidRPr="009A7163">
              <w:rPr>
                <w:bCs/>
              </w:rPr>
              <w:t>For fungi</w:t>
            </w:r>
          </w:p>
        </w:tc>
        <w:tc>
          <w:tcPr>
            <w:tcW w:w="2250" w:type="dxa"/>
            <w:tcBorders>
              <w:left w:val="nil"/>
              <w:bottom w:val="single" w:sz="8" w:space="0" w:color="000000"/>
              <w:right w:val="nil"/>
            </w:tcBorders>
            <w:tcMar>
              <w:top w:w="80" w:type="nil"/>
              <w:right w:w="80" w:type="nil"/>
            </w:tcMar>
          </w:tcPr>
          <w:p w14:paraId="77FB4B63" w14:textId="77777777" w:rsidR="0004022E" w:rsidRPr="009A7163" w:rsidRDefault="0004022E">
            <w:pPr>
              <w:widowControl w:val="0"/>
              <w:autoSpaceDE w:val="0"/>
              <w:autoSpaceDN w:val="0"/>
              <w:adjustRightInd w:val="0"/>
              <w:spacing w:before="40" w:after="40"/>
              <w:jc w:val="both"/>
            </w:pPr>
            <w:r w:rsidRPr="009A7163">
              <w:rPr>
                <w:bCs/>
              </w:rPr>
              <w:t>C$ 200</w:t>
            </w:r>
          </w:p>
        </w:tc>
        <w:tc>
          <w:tcPr>
            <w:tcW w:w="2250" w:type="dxa"/>
            <w:tcBorders>
              <w:left w:val="nil"/>
              <w:bottom w:val="single" w:sz="8" w:space="0" w:color="000000"/>
              <w:right w:val="nil"/>
            </w:tcBorders>
            <w:tcMar>
              <w:top w:w="80" w:type="nil"/>
              <w:right w:w="80" w:type="nil"/>
            </w:tcMar>
          </w:tcPr>
          <w:p w14:paraId="7E8807C0" w14:textId="77777777" w:rsidR="0004022E" w:rsidRPr="009A7163" w:rsidRDefault="0004022E">
            <w:pPr>
              <w:widowControl w:val="0"/>
              <w:autoSpaceDE w:val="0"/>
              <w:autoSpaceDN w:val="0"/>
              <w:adjustRightInd w:val="0"/>
              <w:spacing w:before="40" w:after="40"/>
              <w:jc w:val="both"/>
            </w:pPr>
            <w:r w:rsidRPr="009A7163">
              <w:rPr>
                <w:bCs/>
              </w:rPr>
              <w:t>C$ 0</w:t>
            </w:r>
          </w:p>
        </w:tc>
      </w:tr>
      <w:tr w:rsidR="0004022E" w:rsidRPr="009A7163" w14:paraId="22E8A9C4"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2D26E049" w14:textId="77777777" w:rsidR="0004022E" w:rsidRPr="009A7163" w:rsidRDefault="0004022E" w:rsidP="008C041F">
            <w:pPr>
              <w:widowControl w:val="0"/>
              <w:autoSpaceDE w:val="0"/>
              <w:autoSpaceDN w:val="0"/>
              <w:adjustRightInd w:val="0"/>
              <w:spacing w:before="40" w:after="40"/>
              <w:jc w:val="both"/>
            </w:pPr>
            <w:r w:rsidRPr="009A7163">
              <w:rPr>
                <w:bCs/>
              </w:rPr>
              <w:t>Cutting (including stacking)</w:t>
            </w:r>
          </w:p>
        </w:tc>
        <w:tc>
          <w:tcPr>
            <w:tcW w:w="2250" w:type="dxa"/>
            <w:tcBorders>
              <w:left w:val="nil"/>
              <w:bottom w:val="single" w:sz="8" w:space="0" w:color="000000"/>
              <w:right w:val="nil"/>
            </w:tcBorders>
            <w:tcMar>
              <w:top w:w="80" w:type="nil"/>
              <w:right w:w="80" w:type="nil"/>
            </w:tcMar>
          </w:tcPr>
          <w:p w14:paraId="47770904" w14:textId="77777777" w:rsidR="0004022E" w:rsidRPr="009A7163" w:rsidRDefault="0004022E">
            <w:pPr>
              <w:widowControl w:val="0"/>
              <w:autoSpaceDE w:val="0"/>
              <w:autoSpaceDN w:val="0"/>
              <w:adjustRightInd w:val="0"/>
              <w:spacing w:before="40" w:after="40"/>
              <w:jc w:val="both"/>
            </w:pPr>
            <w:r w:rsidRPr="009A7163">
              <w:rPr>
                <w:bCs/>
              </w:rPr>
              <w:t>C$ 800</w:t>
            </w:r>
          </w:p>
        </w:tc>
        <w:tc>
          <w:tcPr>
            <w:tcW w:w="2250" w:type="dxa"/>
            <w:tcBorders>
              <w:left w:val="nil"/>
              <w:bottom w:val="single" w:sz="8" w:space="0" w:color="000000"/>
              <w:right w:val="nil"/>
            </w:tcBorders>
            <w:tcMar>
              <w:top w:w="80" w:type="nil"/>
              <w:right w:w="80" w:type="nil"/>
            </w:tcMar>
          </w:tcPr>
          <w:p w14:paraId="3CA1B6A5" w14:textId="77777777" w:rsidR="0004022E" w:rsidRPr="009A7163" w:rsidRDefault="0004022E">
            <w:pPr>
              <w:widowControl w:val="0"/>
              <w:autoSpaceDE w:val="0"/>
              <w:autoSpaceDN w:val="0"/>
              <w:adjustRightInd w:val="0"/>
              <w:spacing w:before="40" w:after="40"/>
              <w:jc w:val="both"/>
            </w:pPr>
            <w:r w:rsidRPr="009A7163">
              <w:rPr>
                <w:bCs/>
              </w:rPr>
              <w:t>C$ 800</w:t>
            </w:r>
          </w:p>
        </w:tc>
      </w:tr>
      <w:tr w:rsidR="0004022E" w:rsidRPr="009A7163" w14:paraId="579AE692" w14:textId="77777777" w:rsidTr="00CB5642">
        <w:tblPrEx>
          <w:tblBorders>
            <w:top w:val="none" w:sz="0" w:space="0" w:color="auto"/>
          </w:tblBorders>
        </w:tblPrEx>
        <w:trPr>
          <w:trHeight w:val="322"/>
        </w:trPr>
        <w:tc>
          <w:tcPr>
            <w:tcW w:w="4760" w:type="dxa"/>
            <w:tcBorders>
              <w:left w:val="nil"/>
              <w:bottom w:val="single" w:sz="8" w:space="0" w:color="000000"/>
              <w:right w:val="nil"/>
            </w:tcBorders>
            <w:tcMar>
              <w:top w:w="80" w:type="nil"/>
              <w:right w:w="80" w:type="nil"/>
            </w:tcMar>
          </w:tcPr>
          <w:p w14:paraId="52C5852A" w14:textId="77777777" w:rsidR="0004022E" w:rsidRPr="009A7163" w:rsidRDefault="0004022E" w:rsidP="008C041F">
            <w:pPr>
              <w:widowControl w:val="0"/>
              <w:autoSpaceDE w:val="0"/>
              <w:autoSpaceDN w:val="0"/>
              <w:adjustRightInd w:val="0"/>
              <w:spacing w:before="40" w:after="40"/>
              <w:jc w:val="both"/>
            </w:pPr>
            <w:r w:rsidRPr="009A7163">
              <w:rPr>
                <w:bCs/>
              </w:rPr>
              <w:t>Labour for urea and fumigation</w:t>
            </w:r>
          </w:p>
        </w:tc>
        <w:tc>
          <w:tcPr>
            <w:tcW w:w="2250" w:type="dxa"/>
            <w:tcBorders>
              <w:left w:val="nil"/>
              <w:bottom w:val="single" w:sz="8" w:space="0" w:color="000000"/>
              <w:right w:val="nil"/>
            </w:tcBorders>
            <w:tcMar>
              <w:top w:w="80" w:type="nil"/>
              <w:right w:w="80" w:type="nil"/>
            </w:tcMar>
          </w:tcPr>
          <w:p w14:paraId="7E92889A" w14:textId="77777777" w:rsidR="0004022E" w:rsidRPr="009A7163" w:rsidRDefault="0004022E">
            <w:pPr>
              <w:widowControl w:val="0"/>
              <w:autoSpaceDE w:val="0"/>
              <w:autoSpaceDN w:val="0"/>
              <w:adjustRightInd w:val="0"/>
              <w:spacing w:before="40" w:after="40"/>
              <w:jc w:val="both"/>
            </w:pPr>
            <w:r w:rsidRPr="009A7163">
              <w:rPr>
                <w:bCs/>
              </w:rPr>
              <w:t>C$ 400</w:t>
            </w:r>
          </w:p>
        </w:tc>
        <w:tc>
          <w:tcPr>
            <w:tcW w:w="2250" w:type="dxa"/>
            <w:tcBorders>
              <w:left w:val="nil"/>
              <w:bottom w:val="single" w:sz="8" w:space="0" w:color="000000"/>
              <w:right w:val="nil"/>
            </w:tcBorders>
            <w:tcMar>
              <w:top w:w="80" w:type="nil"/>
              <w:right w:w="80" w:type="nil"/>
            </w:tcMar>
          </w:tcPr>
          <w:p w14:paraId="568F6ECF" w14:textId="77777777" w:rsidR="0004022E" w:rsidRPr="009A7163" w:rsidRDefault="0004022E">
            <w:pPr>
              <w:widowControl w:val="0"/>
              <w:autoSpaceDE w:val="0"/>
              <w:autoSpaceDN w:val="0"/>
              <w:adjustRightInd w:val="0"/>
              <w:spacing w:before="40" w:after="40"/>
              <w:jc w:val="both"/>
            </w:pPr>
            <w:r w:rsidRPr="009A7163">
              <w:rPr>
                <w:bCs/>
              </w:rPr>
              <w:t>C$ 400</w:t>
            </w:r>
          </w:p>
        </w:tc>
      </w:tr>
      <w:tr w:rsidR="0004022E" w:rsidRPr="009A7163" w14:paraId="16BAFE15"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6C8C540A" w14:textId="77777777" w:rsidR="0004022E" w:rsidRPr="009A7163" w:rsidRDefault="0004022E" w:rsidP="008C041F">
            <w:pPr>
              <w:widowControl w:val="0"/>
              <w:autoSpaceDE w:val="0"/>
              <w:autoSpaceDN w:val="0"/>
              <w:adjustRightInd w:val="0"/>
              <w:spacing w:before="40" w:after="40"/>
              <w:jc w:val="both"/>
            </w:pPr>
            <w:r w:rsidRPr="009A7163">
              <w:rPr>
                <w:bCs/>
              </w:rPr>
              <w:t>Threshing</w:t>
            </w:r>
          </w:p>
        </w:tc>
        <w:tc>
          <w:tcPr>
            <w:tcW w:w="2250" w:type="dxa"/>
            <w:tcBorders>
              <w:left w:val="nil"/>
              <w:bottom w:val="single" w:sz="8" w:space="0" w:color="000000"/>
              <w:right w:val="nil"/>
            </w:tcBorders>
            <w:tcMar>
              <w:top w:w="80" w:type="nil"/>
              <w:right w:w="80" w:type="nil"/>
            </w:tcMar>
          </w:tcPr>
          <w:p w14:paraId="5E80FE24" w14:textId="77777777" w:rsidR="0004022E" w:rsidRPr="009A7163" w:rsidRDefault="0004022E">
            <w:pPr>
              <w:widowControl w:val="0"/>
              <w:autoSpaceDE w:val="0"/>
              <w:autoSpaceDN w:val="0"/>
              <w:adjustRightInd w:val="0"/>
              <w:spacing w:before="40" w:after="40"/>
              <w:jc w:val="both"/>
            </w:pPr>
            <w:r w:rsidRPr="009A7163">
              <w:rPr>
                <w:bCs/>
              </w:rPr>
              <w:t>C$ 450</w:t>
            </w:r>
          </w:p>
        </w:tc>
        <w:tc>
          <w:tcPr>
            <w:tcW w:w="2250" w:type="dxa"/>
            <w:tcBorders>
              <w:left w:val="nil"/>
              <w:bottom w:val="single" w:sz="8" w:space="0" w:color="000000"/>
              <w:right w:val="nil"/>
            </w:tcBorders>
            <w:tcMar>
              <w:top w:w="80" w:type="nil"/>
              <w:right w:w="80" w:type="nil"/>
            </w:tcMar>
          </w:tcPr>
          <w:p w14:paraId="15A28452" w14:textId="77777777" w:rsidR="0004022E" w:rsidRPr="009A7163" w:rsidRDefault="0004022E">
            <w:pPr>
              <w:widowControl w:val="0"/>
              <w:autoSpaceDE w:val="0"/>
              <w:autoSpaceDN w:val="0"/>
              <w:adjustRightInd w:val="0"/>
              <w:spacing w:before="40" w:after="40"/>
              <w:jc w:val="both"/>
            </w:pPr>
            <w:r w:rsidRPr="009A7163">
              <w:rPr>
                <w:bCs/>
              </w:rPr>
              <w:t>C$ 300</w:t>
            </w:r>
          </w:p>
        </w:tc>
      </w:tr>
      <w:tr w:rsidR="0004022E" w:rsidRPr="009A7163" w14:paraId="7DF57F4F"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1EB21943" w14:textId="77777777" w:rsidR="0004022E" w:rsidRPr="009A7163" w:rsidRDefault="0004022E" w:rsidP="008C041F">
            <w:pPr>
              <w:widowControl w:val="0"/>
              <w:autoSpaceDE w:val="0"/>
              <w:autoSpaceDN w:val="0"/>
              <w:adjustRightInd w:val="0"/>
              <w:spacing w:before="40" w:after="40"/>
              <w:jc w:val="both"/>
            </w:pPr>
            <w:r w:rsidRPr="009A7163">
              <w:rPr>
                <w:bCs/>
              </w:rPr>
              <w:t>Transport</w:t>
            </w:r>
          </w:p>
        </w:tc>
        <w:tc>
          <w:tcPr>
            <w:tcW w:w="2250" w:type="dxa"/>
            <w:tcBorders>
              <w:left w:val="nil"/>
              <w:bottom w:val="single" w:sz="8" w:space="0" w:color="000000"/>
              <w:right w:val="nil"/>
            </w:tcBorders>
            <w:tcMar>
              <w:top w:w="80" w:type="nil"/>
              <w:right w:w="80" w:type="nil"/>
            </w:tcMar>
          </w:tcPr>
          <w:p w14:paraId="317FEA92" w14:textId="77777777" w:rsidR="0004022E" w:rsidRPr="009A7163" w:rsidRDefault="0004022E">
            <w:pPr>
              <w:widowControl w:val="0"/>
              <w:autoSpaceDE w:val="0"/>
              <w:autoSpaceDN w:val="0"/>
              <w:adjustRightInd w:val="0"/>
              <w:spacing w:before="40" w:after="40"/>
              <w:jc w:val="both"/>
            </w:pPr>
            <w:r w:rsidRPr="009A7163">
              <w:rPr>
                <w:bCs/>
              </w:rPr>
              <w:t>C$ 100</w:t>
            </w:r>
          </w:p>
        </w:tc>
        <w:tc>
          <w:tcPr>
            <w:tcW w:w="2250" w:type="dxa"/>
            <w:tcBorders>
              <w:left w:val="nil"/>
              <w:bottom w:val="single" w:sz="8" w:space="0" w:color="000000"/>
              <w:right w:val="nil"/>
            </w:tcBorders>
            <w:tcMar>
              <w:top w:w="80" w:type="nil"/>
              <w:right w:w="80" w:type="nil"/>
            </w:tcMar>
          </w:tcPr>
          <w:p w14:paraId="1356A49B" w14:textId="77777777" w:rsidR="0004022E" w:rsidRPr="009A7163" w:rsidRDefault="0004022E">
            <w:pPr>
              <w:widowControl w:val="0"/>
              <w:autoSpaceDE w:val="0"/>
              <w:autoSpaceDN w:val="0"/>
              <w:adjustRightInd w:val="0"/>
              <w:spacing w:before="40" w:after="40"/>
              <w:jc w:val="both"/>
            </w:pPr>
            <w:r w:rsidRPr="009A7163">
              <w:rPr>
                <w:bCs/>
              </w:rPr>
              <w:t>C$ 100</w:t>
            </w:r>
          </w:p>
        </w:tc>
      </w:tr>
      <w:tr w:rsidR="0004022E" w:rsidRPr="009A7163" w14:paraId="4625C982"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4E21F1F5" w14:textId="77777777" w:rsidR="0004022E" w:rsidRPr="009A7163" w:rsidRDefault="0004022E" w:rsidP="008C041F">
            <w:pPr>
              <w:widowControl w:val="0"/>
              <w:autoSpaceDE w:val="0"/>
              <w:autoSpaceDN w:val="0"/>
              <w:adjustRightInd w:val="0"/>
              <w:spacing w:before="40" w:after="40"/>
              <w:jc w:val="both"/>
            </w:pPr>
            <w:r w:rsidRPr="009A7163">
              <w:rPr>
                <w:bCs/>
              </w:rPr>
              <w:t>Rent of land (manzana</w:t>
            </w:r>
          </w:p>
        </w:tc>
        <w:tc>
          <w:tcPr>
            <w:tcW w:w="2250" w:type="dxa"/>
            <w:tcBorders>
              <w:left w:val="nil"/>
              <w:bottom w:val="single" w:sz="8" w:space="0" w:color="000000"/>
              <w:right w:val="nil"/>
            </w:tcBorders>
            <w:tcMar>
              <w:top w:w="80" w:type="nil"/>
              <w:right w:w="80" w:type="nil"/>
            </w:tcMar>
          </w:tcPr>
          <w:p w14:paraId="074C3261" w14:textId="77777777" w:rsidR="0004022E" w:rsidRPr="009A7163" w:rsidRDefault="0004022E">
            <w:pPr>
              <w:widowControl w:val="0"/>
              <w:autoSpaceDE w:val="0"/>
              <w:autoSpaceDN w:val="0"/>
              <w:adjustRightInd w:val="0"/>
              <w:spacing w:before="40" w:after="40"/>
              <w:jc w:val="both"/>
            </w:pPr>
            <w:r w:rsidRPr="009A7163">
              <w:rPr>
                <w:bCs/>
              </w:rPr>
              <w:t>C$ 1,000</w:t>
            </w:r>
          </w:p>
        </w:tc>
        <w:tc>
          <w:tcPr>
            <w:tcW w:w="2250" w:type="dxa"/>
            <w:tcBorders>
              <w:left w:val="nil"/>
              <w:bottom w:val="single" w:sz="8" w:space="0" w:color="000000"/>
              <w:right w:val="nil"/>
            </w:tcBorders>
            <w:tcMar>
              <w:top w:w="80" w:type="nil"/>
              <w:right w:w="80" w:type="nil"/>
            </w:tcMar>
          </w:tcPr>
          <w:p w14:paraId="113555B5" w14:textId="77777777" w:rsidR="0004022E" w:rsidRPr="009A7163" w:rsidRDefault="0004022E">
            <w:pPr>
              <w:widowControl w:val="0"/>
              <w:autoSpaceDE w:val="0"/>
              <w:autoSpaceDN w:val="0"/>
              <w:adjustRightInd w:val="0"/>
              <w:spacing w:before="40" w:after="40"/>
              <w:jc w:val="both"/>
            </w:pPr>
            <w:r w:rsidRPr="009A7163">
              <w:rPr>
                <w:bCs/>
              </w:rPr>
              <w:t>C$ 0</w:t>
            </w:r>
          </w:p>
        </w:tc>
      </w:tr>
      <w:tr w:rsidR="0004022E" w:rsidRPr="009A7163" w14:paraId="17EF1CAA"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32B06861" w14:textId="77777777" w:rsidR="0004022E" w:rsidRPr="009A7163" w:rsidRDefault="0004022E" w:rsidP="008C041F">
            <w:pPr>
              <w:widowControl w:val="0"/>
              <w:autoSpaceDE w:val="0"/>
              <w:autoSpaceDN w:val="0"/>
              <w:adjustRightInd w:val="0"/>
              <w:spacing w:before="40" w:after="40"/>
              <w:jc w:val="both"/>
            </w:pPr>
            <w:r w:rsidRPr="009A7163">
              <w:rPr>
                <w:bCs/>
              </w:rPr>
              <w:t>Total investment</w:t>
            </w:r>
          </w:p>
        </w:tc>
        <w:tc>
          <w:tcPr>
            <w:tcW w:w="2250" w:type="dxa"/>
            <w:tcBorders>
              <w:left w:val="nil"/>
              <w:bottom w:val="single" w:sz="8" w:space="0" w:color="000000"/>
              <w:right w:val="nil"/>
            </w:tcBorders>
            <w:tcMar>
              <w:top w:w="80" w:type="nil"/>
              <w:right w:w="80" w:type="nil"/>
            </w:tcMar>
          </w:tcPr>
          <w:p w14:paraId="34A11726" w14:textId="77777777" w:rsidR="0004022E" w:rsidRPr="009A7163" w:rsidRDefault="0004022E">
            <w:pPr>
              <w:widowControl w:val="0"/>
              <w:autoSpaceDE w:val="0"/>
              <w:autoSpaceDN w:val="0"/>
              <w:adjustRightInd w:val="0"/>
              <w:spacing w:before="40" w:after="40"/>
              <w:jc w:val="both"/>
            </w:pPr>
            <w:r w:rsidRPr="009A7163">
              <w:rPr>
                <w:bCs/>
              </w:rPr>
              <w:t>C$ 10,350</w:t>
            </w:r>
          </w:p>
        </w:tc>
        <w:tc>
          <w:tcPr>
            <w:tcW w:w="2250" w:type="dxa"/>
            <w:tcBorders>
              <w:left w:val="nil"/>
              <w:bottom w:val="single" w:sz="8" w:space="0" w:color="000000"/>
              <w:right w:val="nil"/>
            </w:tcBorders>
            <w:tcMar>
              <w:top w:w="80" w:type="nil"/>
              <w:right w:w="80" w:type="nil"/>
            </w:tcMar>
          </w:tcPr>
          <w:p w14:paraId="2301D257" w14:textId="77777777" w:rsidR="0004022E" w:rsidRPr="009A7163" w:rsidRDefault="0004022E">
            <w:pPr>
              <w:widowControl w:val="0"/>
              <w:autoSpaceDE w:val="0"/>
              <w:autoSpaceDN w:val="0"/>
              <w:adjustRightInd w:val="0"/>
              <w:spacing w:before="40" w:after="40"/>
              <w:jc w:val="both"/>
            </w:pPr>
            <w:r w:rsidRPr="009A7163">
              <w:rPr>
                <w:bCs/>
              </w:rPr>
              <w:t>C$ 4,800</w:t>
            </w:r>
          </w:p>
        </w:tc>
      </w:tr>
      <w:tr w:rsidR="0004022E" w:rsidRPr="009A7163" w14:paraId="138A0169" w14:textId="77777777" w:rsidTr="00CB5642">
        <w:tblPrEx>
          <w:tblBorders>
            <w:top w:val="none" w:sz="0" w:space="0" w:color="auto"/>
          </w:tblBorders>
        </w:tblPrEx>
        <w:tc>
          <w:tcPr>
            <w:tcW w:w="4760" w:type="dxa"/>
            <w:tcBorders>
              <w:left w:val="nil"/>
              <w:bottom w:val="single" w:sz="8" w:space="0" w:color="000000"/>
              <w:right w:val="nil"/>
            </w:tcBorders>
            <w:tcMar>
              <w:top w:w="80" w:type="nil"/>
              <w:right w:w="80" w:type="nil"/>
            </w:tcMar>
          </w:tcPr>
          <w:p w14:paraId="4B2B5D0E" w14:textId="77777777" w:rsidR="0004022E" w:rsidRPr="009A7163" w:rsidRDefault="0004022E" w:rsidP="008C041F">
            <w:pPr>
              <w:widowControl w:val="0"/>
              <w:autoSpaceDE w:val="0"/>
              <w:autoSpaceDN w:val="0"/>
              <w:adjustRightInd w:val="0"/>
              <w:spacing w:before="40" w:after="40"/>
              <w:rPr>
                <w:b/>
              </w:rPr>
            </w:pPr>
            <w:r w:rsidRPr="009A7163">
              <w:rPr>
                <w:b/>
                <w:bCs/>
              </w:rPr>
              <w:t>Total investment with women’s contribution</w:t>
            </w:r>
          </w:p>
        </w:tc>
        <w:tc>
          <w:tcPr>
            <w:tcW w:w="4500" w:type="dxa"/>
            <w:gridSpan w:val="2"/>
            <w:tcBorders>
              <w:left w:val="nil"/>
              <w:bottom w:val="single" w:sz="8" w:space="0" w:color="000000"/>
              <w:right w:val="nil"/>
            </w:tcBorders>
            <w:tcMar>
              <w:top w:w="80" w:type="nil"/>
              <w:right w:w="80" w:type="nil"/>
            </w:tcMar>
            <w:vAlign w:val="center"/>
          </w:tcPr>
          <w:p w14:paraId="599DBDDF" w14:textId="77777777" w:rsidR="0004022E" w:rsidRPr="009A7163" w:rsidRDefault="0004022E">
            <w:pPr>
              <w:widowControl w:val="0"/>
              <w:autoSpaceDE w:val="0"/>
              <w:autoSpaceDN w:val="0"/>
              <w:adjustRightInd w:val="0"/>
              <w:spacing w:before="40" w:after="40"/>
              <w:jc w:val="center"/>
              <w:rPr>
                <w:b/>
              </w:rPr>
            </w:pPr>
            <w:r w:rsidRPr="009A7163">
              <w:rPr>
                <w:b/>
                <w:bCs/>
              </w:rPr>
              <w:t>C$ 15,150</w:t>
            </w:r>
          </w:p>
        </w:tc>
      </w:tr>
      <w:tr w:rsidR="0004022E" w:rsidRPr="009A7163" w14:paraId="192CF5C8" w14:textId="77777777" w:rsidTr="00CB5642">
        <w:tc>
          <w:tcPr>
            <w:tcW w:w="4760" w:type="dxa"/>
            <w:tcBorders>
              <w:left w:val="nil"/>
              <w:bottom w:val="single" w:sz="8" w:space="0" w:color="000000"/>
              <w:right w:val="nil"/>
            </w:tcBorders>
            <w:tcMar>
              <w:top w:w="80" w:type="nil"/>
              <w:right w:w="80" w:type="nil"/>
            </w:tcMar>
          </w:tcPr>
          <w:p w14:paraId="3064D41D" w14:textId="77777777" w:rsidR="0004022E" w:rsidRPr="009A7163" w:rsidRDefault="0004022E" w:rsidP="008C041F">
            <w:pPr>
              <w:widowControl w:val="0"/>
              <w:autoSpaceDE w:val="0"/>
              <w:autoSpaceDN w:val="0"/>
              <w:adjustRightInd w:val="0"/>
              <w:spacing w:before="40" w:after="40"/>
              <w:rPr>
                <w:b/>
              </w:rPr>
            </w:pPr>
            <w:r w:rsidRPr="009A7163">
              <w:rPr>
                <w:b/>
                <w:bCs/>
              </w:rPr>
              <w:t>% of investment made by women</w:t>
            </w:r>
          </w:p>
        </w:tc>
        <w:tc>
          <w:tcPr>
            <w:tcW w:w="4500" w:type="dxa"/>
            <w:gridSpan w:val="2"/>
            <w:tcBorders>
              <w:left w:val="nil"/>
              <w:bottom w:val="single" w:sz="8" w:space="0" w:color="000000"/>
              <w:right w:val="nil"/>
            </w:tcBorders>
            <w:tcMar>
              <w:top w:w="80" w:type="nil"/>
              <w:right w:w="80" w:type="nil"/>
            </w:tcMar>
            <w:vAlign w:val="center"/>
          </w:tcPr>
          <w:p w14:paraId="272A3481" w14:textId="77777777" w:rsidR="0004022E" w:rsidRPr="009A7163" w:rsidRDefault="0004022E">
            <w:pPr>
              <w:widowControl w:val="0"/>
              <w:autoSpaceDE w:val="0"/>
              <w:autoSpaceDN w:val="0"/>
              <w:adjustRightInd w:val="0"/>
              <w:spacing w:before="40" w:after="40"/>
              <w:jc w:val="center"/>
              <w:rPr>
                <w:b/>
              </w:rPr>
            </w:pPr>
            <w:r w:rsidRPr="009A7163">
              <w:rPr>
                <w:b/>
                <w:bCs/>
              </w:rPr>
              <w:t>32%</w:t>
            </w:r>
          </w:p>
        </w:tc>
      </w:tr>
    </w:tbl>
    <w:p w14:paraId="4DBB0FC4" w14:textId="1817FE78" w:rsidR="00422A0A" w:rsidRPr="009A7163" w:rsidRDefault="00422A0A" w:rsidP="007A3A29">
      <w:pPr>
        <w:jc w:val="both"/>
        <w:rPr>
          <w:rFonts w:eastAsia="MS Mincho"/>
          <w:i/>
          <w:sz w:val="20"/>
          <w:szCs w:val="20"/>
        </w:rPr>
      </w:pPr>
      <w:r w:rsidRPr="009A7163">
        <w:rPr>
          <w:rFonts w:eastAsia="MS Mincho"/>
          <w:i/>
          <w:sz w:val="20"/>
          <w:szCs w:val="20"/>
        </w:rPr>
        <w:t>Notes:</w:t>
      </w:r>
      <w:r w:rsidRPr="009A7163">
        <w:rPr>
          <w:rFonts w:eastAsia="MS Mincho"/>
          <w:i/>
          <w:sz w:val="20"/>
          <w:szCs w:val="20"/>
          <w:vertAlign w:val="superscript"/>
        </w:rPr>
        <w:t xml:space="preserve"> a</w:t>
      </w:r>
      <w:r w:rsidRPr="009A7163">
        <w:rPr>
          <w:rFonts w:eastAsia="MS Mincho"/>
          <w:i/>
          <w:sz w:val="20"/>
          <w:szCs w:val="20"/>
        </w:rPr>
        <w:t xml:space="preserve"> </w:t>
      </w:r>
      <w:r w:rsidRPr="009A7163">
        <w:rPr>
          <w:bCs/>
          <w:i/>
          <w:sz w:val="20"/>
          <w:szCs w:val="20"/>
        </w:rPr>
        <w:t xml:space="preserve">1 manzana (Nicaragua) = 0.704 4 hectare; </w:t>
      </w:r>
      <w:r w:rsidRPr="009A7163">
        <w:rPr>
          <w:bCs/>
          <w:i/>
          <w:sz w:val="20"/>
          <w:szCs w:val="20"/>
          <w:vertAlign w:val="superscript"/>
        </w:rPr>
        <w:t>b</w:t>
      </w:r>
      <w:r w:rsidRPr="009A7163">
        <w:rPr>
          <w:bCs/>
          <w:i/>
          <w:sz w:val="20"/>
          <w:szCs w:val="20"/>
        </w:rPr>
        <w:t xml:space="preserve"> In 2015, the hundredweight of sesame seed sold at C$1400 per quintal/hundredweight. The average harvest was 22 hw (quintales). From a total of C$30,800, the profit was C$20,440</w:t>
      </w:r>
      <w:r w:rsidRPr="009A7163">
        <w:rPr>
          <w:i/>
          <w:sz w:val="20"/>
          <w:szCs w:val="20"/>
        </w:rPr>
        <w:t>.</w:t>
      </w:r>
    </w:p>
    <w:p w14:paraId="62005573" w14:textId="4E31802A" w:rsidR="00E2458D" w:rsidRPr="009A7163" w:rsidRDefault="00E2458D" w:rsidP="007A3A29">
      <w:pPr>
        <w:spacing w:before="240" w:line="360" w:lineRule="auto"/>
        <w:jc w:val="both"/>
        <w:rPr>
          <w:rFonts w:eastAsia="MS Mincho"/>
        </w:rPr>
      </w:pPr>
      <w:r w:rsidRPr="009A7163">
        <w:rPr>
          <w:rFonts w:eastAsia="MS Mincho"/>
        </w:rPr>
        <w:t>the arguments of Freire (1970)</w:t>
      </w:r>
      <w:r w:rsidRPr="009A7163">
        <w:rPr>
          <w:rFonts w:eastAsia="MS Mincho"/>
          <w:bCs/>
        </w:rPr>
        <w:t xml:space="preserve"> on the oppressed becoming the oppressor. The argument that the women should learn to anal</w:t>
      </w:r>
      <w:r w:rsidR="005F5F5A" w:rsidRPr="009A7163">
        <w:rPr>
          <w:rFonts w:eastAsia="MS Mincho"/>
          <w:bCs/>
        </w:rPr>
        <w:t>yse</w:t>
      </w:r>
      <w:r w:rsidRPr="009A7163">
        <w:rPr>
          <w:rFonts w:eastAsia="MS Mincho"/>
          <w:bCs/>
        </w:rPr>
        <w:t xml:space="preserve"> her own work and put a price on it is similar to the argument that Eyben (2012) makes on system bias. Eyben argues that </w:t>
      </w:r>
      <w:r w:rsidRPr="009A7163">
        <w:t xml:space="preserve">when care’s </w:t>
      </w:r>
      <w:r w:rsidRPr="009A7163">
        <w:lastRenderedPageBreak/>
        <w:t xml:space="preserve">invisibility is challenged, the burden of proof is thrown back onto the challenger, or in this case the oppressed. The women have to do the work of calculating the cost in order to prove its worth. </w:t>
      </w:r>
      <w:r w:rsidRPr="009A7163">
        <w:rPr>
          <w:rFonts w:eastAsia="MS Mincho"/>
        </w:rPr>
        <w:t xml:space="preserve">A woman referred to her role as something already predefined: </w:t>
      </w:r>
    </w:p>
    <w:p w14:paraId="2646A77E" w14:textId="025D409E" w:rsidR="00DD6B2E" w:rsidRPr="009A7163" w:rsidRDefault="00E2458D" w:rsidP="007A3A29">
      <w:pPr>
        <w:spacing w:after="180"/>
        <w:ind w:left="720"/>
        <w:jc w:val="both"/>
        <w:rPr>
          <w:rFonts w:eastAsia="MS Mincho"/>
        </w:rPr>
      </w:pPr>
      <w:r w:rsidRPr="009A7163">
        <w:rPr>
          <w:rFonts w:eastAsia="MS Mincho"/>
        </w:rPr>
        <w:t>I am going to tell you something: you don’t get paid because you’re a housewife and because of the law [law of the land] you have to do all the housework. It’s only when you work as a servant in another person’s house or go pick coffee on another person’s farm that you earn money. (Focus Group Women, La Reina-San Ramon, March 5, 2016)</w:t>
      </w:r>
    </w:p>
    <w:p w14:paraId="4E848F0A" w14:textId="12F072F4" w:rsidR="00DD6B2E" w:rsidRPr="009A7163" w:rsidRDefault="00DD6B2E" w:rsidP="007A3A29">
      <w:pPr>
        <w:spacing w:after="240" w:line="360" w:lineRule="auto"/>
        <w:jc w:val="both"/>
        <w:rPr>
          <w:rFonts w:eastAsia="MS Mincho"/>
        </w:rPr>
      </w:pPr>
      <w:r w:rsidRPr="009A7163">
        <w:rPr>
          <w:rFonts w:eastAsia="MS Mincho"/>
        </w:rPr>
        <w:t>Interestingly the participant makes reference to two other jobs which are low paid and where the person undertaking that role is likely to feel oppressed.</w:t>
      </w:r>
    </w:p>
    <w:p w14:paraId="13277669" w14:textId="77777777" w:rsidR="0004022E" w:rsidRPr="009A7163" w:rsidRDefault="0004022E" w:rsidP="00293176">
      <w:pPr>
        <w:pStyle w:val="Heading3"/>
        <w:spacing w:before="360"/>
        <w:rPr>
          <w:rFonts w:eastAsia="MS Mincho"/>
        </w:rPr>
      </w:pPr>
      <w:bookmarkStart w:id="114" w:name="_Toc526819330"/>
      <w:r w:rsidRPr="009A7163">
        <w:rPr>
          <w:rFonts w:eastAsia="MS Mincho"/>
        </w:rPr>
        <w:t>5.4.3  Paying for Unpaid Work: Why and How</w:t>
      </w:r>
      <w:bookmarkEnd w:id="114"/>
    </w:p>
    <w:p w14:paraId="6BF64AEC" w14:textId="63A01896" w:rsidR="0004022E" w:rsidRPr="009A7163" w:rsidRDefault="0004022E" w:rsidP="008C041F">
      <w:pPr>
        <w:spacing w:line="360" w:lineRule="auto"/>
        <w:ind w:firstLine="720"/>
        <w:jc w:val="both"/>
        <w:rPr>
          <w:rFonts w:eastAsia="MS Mincho"/>
          <w:i/>
        </w:rPr>
      </w:pPr>
      <w:r w:rsidRPr="009A7163">
        <w:rPr>
          <w:rFonts w:eastAsia="MS Mincho"/>
        </w:rPr>
        <w:t>A number of experts praised the pricing model for the ‘political’ move</w:t>
      </w:r>
      <w:r w:rsidR="00E2458D" w:rsidRPr="009A7163">
        <w:rPr>
          <w:rFonts w:eastAsia="MS Mincho"/>
        </w:rPr>
        <w:t>,</w:t>
      </w:r>
      <w:r w:rsidRPr="009A7163">
        <w:rPr>
          <w:rFonts w:eastAsia="MS Mincho"/>
        </w:rPr>
        <w:t xml:space="preserve"> highlighting </w:t>
      </w:r>
      <w:r w:rsidR="00E2458D" w:rsidRPr="009A7163">
        <w:rPr>
          <w:rFonts w:eastAsia="MS Mincho"/>
        </w:rPr>
        <w:t xml:space="preserve">that </w:t>
      </w:r>
      <w:r w:rsidRPr="009A7163">
        <w:rPr>
          <w:rFonts w:eastAsia="MS Mincho"/>
        </w:rPr>
        <w:t>this absence of women’s unpaid work is typically missed from the costings</w:t>
      </w:r>
      <w:r w:rsidRPr="009A7163">
        <w:rPr>
          <w:rFonts w:eastAsia="MS Mincho"/>
          <w:i/>
        </w:rPr>
        <w:t xml:space="preserve">. </w:t>
      </w:r>
      <w:r w:rsidRPr="009A7163">
        <w:rPr>
          <w:rFonts w:eastAsia="MS Mincho"/>
        </w:rPr>
        <w:t>Edurne Larracoechea Bohigas, a feminist academic and researcher, said</w:t>
      </w:r>
      <w:r w:rsidRPr="009A7163">
        <w:rPr>
          <w:rFonts w:eastAsia="MS Mincho"/>
          <w:i/>
        </w:rPr>
        <w:t xml:space="preserve">: </w:t>
      </w:r>
    </w:p>
    <w:p w14:paraId="62A52316" w14:textId="7E99370E" w:rsidR="0004022E" w:rsidRPr="009A7163" w:rsidRDefault="0004022E">
      <w:pPr>
        <w:spacing w:after="180"/>
        <w:ind w:left="720"/>
        <w:jc w:val="both"/>
        <w:rPr>
          <w:rFonts w:eastAsia="MS Mincho"/>
        </w:rPr>
      </w:pPr>
      <w:r w:rsidRPr="009A7163">
        <w:rPr>
          <w:rFonts w:eastAsia="MS Mincho"/>
        </w:rPr>
        <w:t xml:space="preserve">From the outset, this seems to me a really interesting proposal as a first step because it not only </w:t>
      </w:r>
      <w:r w:rsidR="00D90367" w:rsidRPr="009A7163">
        <w:rPr>
          <w:rFonts w:eastAsia="MS Mincho"/>
        </w:rPr>
        <w:t xml:space="preserve">makes </w:t>
      </w:r>
      <w:r w:rsidRPr="009A7163">
        <w:rPr>
          <w:rFonts w:eastAsia="MS Mincho"/>
        </w:rPr>
        <w:t>this work</w:t>
      </w:r>
      <w:r w:rsidR="00D90367" w:rsidRPr="009A7163">
        <w:rPr>
          <w:rFonts w:eastAsia="MS Mincho"/>
        </w:rPr>
        <w:t xml:space="preserve"> visible</w:t>
      </w:r>
      <w:r w:rsidRPr="009A7163">
        <w:rPr>
          <w:rFonts w:eastAsia="MS Mincho"/>
        </w:rPr>
        <w:t xml:space="preserve">, but also pays for it and treats it like “work”. So apart from the importance of showing its economic value, it’s also something very political as it exposes the globalised market and consumption. So it’s saying to the consumers: So you want to pay a fair price for your product, well until now there has been a lot of work that has gone into this product that has been done for free and not been paid for. We’ve now amended the price to reflect the true cost of production. So if you’re a consumer is committed to paying a fair price, this really is </w:t>
      </w:r>
      <w:r w:rsidR="00D90367" w:rsidRPr="009A7163">
        <w:rPr>
          <w:rFonts w:eastAsia="MS Mincho"/>
        </w:rPr>
        <w:t xml:space="preserve">a </w:t>
      </w:r>
      <w:r w:rsidRPr="009A7163">
        <w:rPr>
          <w:rFonts w:eastAsia="MS Mincho"/>
        </w:rPr>
        <w:t>case of justice and doing what is right. (Expert Interview, February 19, 2016).</w:t>
      </w:r>
    </w:p>
    <w:p w14:paraId="743FFDCC" w14:textId="45343FA1" w:rsidR="0004022E" w:rsidRPr="009A7163" w:rsidRDefault="00586537">
      <w:pPr>
        <w:spacing w:line="360" w:lineRule="auto"/>
        <w:jc w:val="both"/>
        <w:rPr>
          <w:rFonts w:eastAsia="MS Mincho"/>
        </w:rPr>
      </w:pPr>
      <w:r w:rsidRPr="009A7163">
        <w:rPr>
          <w:rFonts w:eastAsia="MS Mincho"/>
        </w:rPr>
        <w:t>Whilst the expert interviewee highlight</w:t>
      </w:r>
      <w:r w:rsidR="00E2458D" w:rsidRPr="009A7163">
        <w:rPr>
          <w:rFonts w:eastAsia="MS Mincho"/>
        </w:rPr>
        <w:t>ed</w:t>
      </w:r>
      <w:r w:rsidRPr="009A7163">
        <w:rPr>
          <w:rFonts w:eastAsia="MS Mincho"/>
        </w:rPr>
        <w:t xml:space="preserve"> the important political move and links it to the consumer, </w:t>
      </w:r>
      <w:r w:rsidR="001564DE" w:rsidRPr="009A7163">
        <w:rPr>
          <w:rFonts w:eastAsia="MS Mincho"/>
        </w:rPr>
        <w:t xml:space="preserve">it is interesting to perhaps reflect that the very same consumer of BSI products </w:t>
      </w:r>
      <w:r w:rsidR="00C57470" w:rsidRPr="009A7163">
        <w:rPr>
          <w:rFonts w:eastAsia="MS Mincho"/>
        </w:rPr>
        <w:t>is</w:t>
      </w:r>
      <w:r w:rsidR="001564DE" w:rsidRPr="009A7163">
        <w:rPr>
          <w:rFonts w:eastAsia="MS Mincho"/>
        </w:rPr>
        <w:t xml:space="preserve"> likely to be female</w:t>
      </w:r>
      <w:r w:rsidR="00E2458D" w:rsidRPr="009A7163">
        <w:rPr>
          <w:rFonts w:eastAsia="MS Mincho"/>
        </w:rPr>
        <w:t>.</w:t>
      </w:r>
      <w:r w:rsidR="00FB3E5E" w:rsidRPr="009A7163">
        <w:rPr>
          <w:rStyle w:val="FootnoteReference"/>
          <w:rFonts w:eastAsia="MS Mincho"/>
        </w:rPr>
        <w:footnoteReference w:id="106"/>
      </w:r>
      <w:r w:rsidR="001564DE" w:rsidRPr="009A7163">
        <w:rPr>
          <w:rFonts w:eastAsia="MS Mincho"/>
        </w:rPr>
        <w:t xml:space="preserve"> </w:t>
      </w:r>
      <w:r w:rsidR="00E2458D" w:rsidRPr="009A7163">
        <w:rPr>
          <w:rFonts w:eastAsia="MS Mincho"/>
        </w:rPr>
        <w:t>They are thus</w:t>
      </w:r>
      <w:r w:rsidR="001564DE" w:rsidRPr="009A7163">
        <w:rPr>
          <w:rFonts w:eastAsia="MS Mincho"/>
        </w:rPr>
        <w:t xml:space="preserve"> </w:t>
      </w:r>
      <w:r w:rsidR="00C57470" w:rsidRPr="009A7163">
        <w:rPr>
          <w:rFonts w:eastAsia="MS Mincho"/>
        </w:rPr>
        <w:t xml:space="preserve">likely to be </w:t>
      </w:r>
      <w:r w:rsidR="00B30771" w:rsidRPr="009A7163">
        <w:rPr>
          <w:rFonts w:eastAsia="MS Mincho"/>
        </w:rPr>
        <w:t>performing</w:t>
      </w:r>
      <w:r w:rsidR="00C57470" w:rsidRPr="009A7163">
        <w:rPr>
          <w:rFonts w:eastAsia="MS Mincho"/>
        </w:rPr>
        <w:t xml:space="preserve"> </w:t>
      </w:r>
      <w:r w:rsidR="00FB3E5E" w:rsidRPr="009A7163">
        <w:rPr>
          <w:rFonts w:eastAsia="MS Mincho"/>
        </w:rPr>
        <w:t>unpaid work or paying for childcare because the s</w:t>
      </w:r>
      <w:r w:rsidR="00C57470" w:rsidRPr="009A7163">
        <w:rPr>
          <w:rFonts w:eastAsia="MS Mincho"/>
        </w:rPr>
        <w:t>ame gendered economy exists</w:t>
      </w:r>
      <w:r w:rsidR="00DD6B2E" w:rsidRPr="009A7163">
        <w:rPr>
          <w:rFonts w:eastAsia="MS Mincho"/>
        </w:rPr>
        <w:t xml:space="preserve"> worldwide. A recent </w:t>
      </w:r>
      <w:r w:rsidR="00B30771" w:rsidRPr="009A7163">
        <w:rPr>
          <w:rFonts w:eastAsia="MS Mincho"/>
        </w:rPr>
        <w:t xml:space="preserve"> </w:t>
      </w:r>
      <w:r w:rsidR="00DD6B2E" w:rsidRPr="009A7163">
        <w:rPr>
          <w:rFonts w:eastAsia="MS Mincho"/>
        </w:rPr>
        <w:t>calculation suggest there is</w:t>
      </w:r>
      <w:r w:rsidR="00B30771" w:rsidRPr="009A7163">
        <w:rPr>
          <w:rFonts w:eastAsia="MS Mincho"/>
        </w:rPr>
        <w:t xml:space="preserve"> </w:t>
      </w:r>
      <w:r w:rsidR="00942746" w:rsidRPr="009A7163">
        <w:rPr>
          <w:rFonts w:eastAsia="MS Mincho"/>
        </w:rPr>
        <w:t>‘</w:t>
      </w:r>
      <w:r w:rsidR="00B30771" w:rsidRPr="009A7163">
        <w:rPr>
          <w:rFonts w:ascii="Times" w:hAnsi="Times"/>
        </w:rPr>
        <w:t>an equivalent to 2.0 billion people working 8 hours per day with no remuneration</w:t>
      </w:r>
      <w:r w:rsidR="00942746" w:rsidRPr="009A7163">
        <w:rPr>
          <w:rFonts w:ascii="Times" w:hAnsi="Times"/>
        </w:rPr>
        <w:t>…</w:t>
      </w:r>
      <w:r w:rsidR="00B30771" w:rsidRPr="009A7163">
        <w:rPr>
          <w:rFonts w:ascii="Times" w:hAnsi="Times"/>
        </w:rPr>
        <w:t xml:space="preserve">amounting to 9 per cent of global GDP, which corresponds to </w:t>
      </w:r>
      <w:r w:rsidR="00B30771" w:rsidRPr="009A7163">
        <w:rPr>
          <w:rFonts w:ascii="Times" w:hAnsi="Times"/>
        </w:rPr>
        <w:lastRenderedPageBreak/>
        <w:t>US$11 trillion (purchasing power parity 2011</w:t>
      </w:r>
      <w:r w:rsidR="00942746" w:rsidRPr="009A7163">
        <w:rPr>
          <w:rFonts w:ascii="Times" w:hAnsi="Times"/>
        </w:rPr>
        <w:t>)’</w:t>
      </w:r>
      <w:r w:rsidR="00B30771" w:rsidRPr="009A7163">
        <w:rPr>
          <w:rFonts w:ascii="Times" w:hAnsi="Times"/>
        </w:rPr>
        <w:t xml:space="preserve"> (Addati et al</w:t>
      </w:r>
      <w:r w:rsidR="00E2458D" w:rsidRPr="009A7163">
        <w:rPr>
          <w:rFonts w:ascii="Times" w:hAnsi="Times"/>
        </w:rPr>
        <w:t>.</w:t>
      </w:r>
      <w:r w:rsidR="00B30771" w:rsidRPr="009A7163">
        <w:rPr>
          <w:rFonts w:ascii="Times" w:hAnsi="Times"/>
        </w:rPr>
        <w:t>, 2018, p.</w:t>
      </w:r>
      <w:r w:rsidR="00942746" w:rsidRPr="009A7163">
        <w:rPr>
          <w:rFonts w:ascii="Times" w:hAnsi="Times"/>
        </w:rPr>
        <w:t xml:space="preserve"> </w:t>
      </w:r>
      <w:r w:rsidR="00B30771" w:rsidRPr="009A7163">
        <w:rPr>
          <w:rFonts w:ascii="Times" w:hAnsi="Times"/>
        </w:rPr>
        <w:t xml:space="preserve">xxix). </w:t>
      </w:r>
      <w:r w:rsidR="00B30771" w:rsidRPr="009A7163">
        <w:rPr>
          <w:rFonts w:eastAsia="MS Mincho"/>
        </w:rPr>
        <w:t>Thus d</w:t>
      </w:r>
      <w:r w:rsidR="00FB3E5E" w:rsidRPr="009A7163">
        <w:rPr>
          <w:rFonts w:eastAsia="MS Mincho"/>
        </w:rPr>
        <w:t xml:space="preserve">espite the </w:t>
      </w:r>
      <w:r w:rsidR="00393961" w:rsidRPr="009A7163">
        <w:rPr>
          <w:rFonts w:eastAsia="MS Mincho"/>
        </w:rPr>
        <w:t>criticism</w:t>
      </w:r>
      <w:r w:rsidR="00FB3E5E" w:rsidRPr="009A7163">
        <w:rPr>
          <w:rFonts w:eastAsia="MS Mincho"/>
        </w:rPr>
        <w:t xml:space="preserve"> of the pricing model,</w:t>
      </w:r>
      <w:r w:rsidR="001564DE" w:rsidRPr="009A7163">
        <w:rPr>
          <w:rFonts w:eastAsia="MS Mincho"/>
        </w:rPr>
        <w:t xml:space="preserve"> </w:t>
      </w:r>
      <w:r w:rsidR="0004022E" w:rsidRPr="009A7163">
        <w:rPr>
          <w:rFonts w:eastAsia="MS Mincho"/>
        </w:rPr>
        <w:t xml:space="preserve">the argument of </w:t>
      </w:r>
      <w:r w:rsidR="00D90367" w:rsidRPr="009A7163">
        <w:rPr>
          <w:rFonts w:eastAsia="MS Mincho"/>
        </w:rPr>
        <w:t xml:space="preserve">making the </w:t>
      </w:r>
      <w:r w:rsidR="0004022E" w:rsidRPr="009A7163">
        <w:rPr>
          <w:rFonts w:eastAsia="MS Mincho"/>
        </w:rPr>
        <w:t xml:space="preserve"> cost </w:t>
      </w:r>
      <w:r w:rsidR="00D90367" w:rsidRPr="009A7163">
        <w:rPr>
          <w:rFonts w:eastAsia="MS Mincho"/>
        </w:rPr>
        <w:t xml:space="preserve">visible </w:t>
      </w:r>
      <w:r w:rsidR="0004022E" w:rsidRPr="009A7163">
        <w:rPr>
          <w:rFonts w:eastAsia="MS Mincho"/>
        </w:rPr>
        <w:t xml:space="preserve">and paying for it was considered important in order to change how we look at pricing and </w:t>
      </w:r>
      <w:r w:rsidR="00393961" w:rsidRPr="009A7163">
        <w:rPr>
          <w:rFonts w:eastAsia="MS Mincho"/>
        </w:rPr>
        <w:t>women’s unpaid work.</w:t>
      </w:r>
    </w:p>
    <w:p w14:paraId="55F87025" w14:textId="55BAD2EF" w:rsidR="0004022E" w:rsidRPr="009A7163" w:rsidRDefault="0004022E">
      <w:pPr>
        <w:spacing w:line="360" w:lineRule="auto"/>
        <w:ind w:firstLine="720"/>
        <w:jc w:val="both"/>
        <w:rPr>
          <w:rFonts w:eastAsia="MS Mincho"/>
        </w:rPr>
      </w:pPr>
      <w:r w:rsidRPr="009A7163">
        <w:rPr>
          <w:rFonts w:eastAsia="MS Mincho"/>
        </w:rPr>
        <w:t>An</w:t>
      </w:r>
      <w:r w:rsidR="009F1C76" w:rsidRPr="009A7163">
        <w:rPr>
          <w:rFonts w:eastAsia="MS Mincho"/>
        </w:rPr>
        <w:t>other</w:t>
      </w:r>
      <w:r w:rsidRPr="009A7163">
        <w:rPr>
          <w:rFonts w:eastAsia="MS Mincho"/>
        </w:rPr>
        <w:t xml:space="preserve"> issue highlighted in the fieldwork data was the relationship between paying for unpaid work and how that connects to product quality and in particular how women’s unpaid work guarantees health and safety. The manager and president of the UCA San Ramón, Blanca Rosa Molina, stated that the indirect work of women in coffee production is important to acknowledge and renumerate: </w:t>
      </w:r>
    </w:p>
    <w:p w14:paraId="36F33128" w14:textId="5C274877" w:rsidR="0004022E" w:rsidRPr="009A7163" w:rsidRDefault="0004022E">
      <w:pPr>
        <w:spacing w:after="180"/>
        <w:ind w:left="720"/>
        <w:jc w:val="both"/>
        <w:rPr>
          <w:rFonts w:eastAsia="MS Mincho"/>
        </w:rPr>
      </w:pPr>
      <w:r w:rsidRPr="009A7163">
        <w:rPr>
          <w:rFonts w:eastAsia="MS Mincho"/>
        </w:rPr>
        <w:t>The women do all the cleaning of the house, materials, clothes, food</w:t>
      </w:r>
      <w:r w:rsidR="00FE5EB3" w:rsidRPr="009A7163">
        <w:rPr>
          <w:rFonts w:eastAsia="MS Mincho"/>
        </w:rPr>
        <w:t>…</w:t>
      </w:r>
      <w:r w:rsidR="00E53E84" w:rsidRPr="009A7163">
        <w:rPr>
          <w:rFonts w:eastAsia="MS Mincho"/>
        </w:rPr>
        <w:t>T</w:t>
      </w:r>
      <w:r w:rsidRPr="009A7163">
        <w:rPr>
          <w:rFonts w:eastAsia="MS Mincho"/>
        </w:rPr>
        <w:t>hey are responsible for hygiene and so if you want to offer a product of quality to a specialist market you also need to assure quality in the health and safety aspect of production. (Expert Interview, February 26, 2016)</w:t>
      </w:r>
    </w:p>
    <w:p w14:paraId="2AB18CB8" w14:textId="180BD536" w:rsidR="0004022E" w:rsidRPr="009A7163" w:rsidRDefault="0004022E">
      <w:pPr>
        <w:spacing w:line="360" w:lineRule="auto"/>
        <w:jc w:val="both"/>
        <w:rPr>
          <w:rFonts w:eastAsia="MS Mincho"/>
          <w:i/>
        </w:rPr>
      </w:pPr>
      <w:r w:rsidRPr="009A7163">
        <w:rPr>
          <w:rFonts w:eastAsia="MS Mincho"/>
        </w:rPr>
        <w:t>This concurs with the literature that states that quality requirements of premium markets such as Fair Trade and organic can increase women’s labour burden, as they perform key quality producing steps such as harvesting, post-harvesting processing and grading (Imhoff and Lee, 2007; Lyon et al., 2010). The women in the San Ramón case study noted these tasks: hand weeding, nursery management, pruning, planting, seed selection and wet milling and drying. A number of these activities are located close to or in the household space.</w:t>
      </w:r>
    </w:p>
    <w:p w14:paraId="30D49606" w14:textId="30BC72A6" w:rsidR="008A1623" w:rsidRPr="009A7163" w:rsidRDefault="0004022E" w:rsidP="007A3A29">
      <w:pPr>
        <w:pStyle w:val="NormalWeb"/>
        <w:spacing w:before="0" w:beforeAutospacing="0" w:after="0" w:afterAutospacing="0" w:line="360" w:lineRule="auto"/>
        <w:ind w:firstLine="720"/>
        <w:jc w:val="both"/>
      </w:pPr>
      <w:r w:rsidRPr="009A7163">
        <w:rPr>
          <w:rFonts w:eastAsia="MS Mincho"/>
        </w:rPr>
        <w:t xml:space="preserve">In terms of the pricing model and how to pay and recognise women’s work, an interesting and also alarming idea was raised by the men on how they normally pay women for their unpaid work. In the men’s focus group in Achuapa, violence was mentioned in the context of ‘poor performance’ in relation to household chores. The men mentioned that the payment for domestic work is good </w:t>
      </w:r>
      <w:r w:rsidR="002F3702" w:rsidRPr="009A7163">
        <w:rPr>
          <w:rFonts w:eastAsia="MS Mincho"/>
        </w:rPr>
        <w:t>behaviour</w:t>
      </w:r>
      <w:r w:rsidRPr="009A7163">
        <w:rPr>
          <w:rFonts w:eastAsia="MS Mincho"/>
        </w:rPr>
        <w:t xml:space="preserve"> on their part and not treating their wives poorly, e.g., using unkind words or hitting them. Some also shared that in the past they used to say to their wives ‘you are worthless’ and ‘you serve no purpose’ (Focus Group Men Achuapa, February 6, 2015). In the focus group with women, these same words were repeated as the women recalled how they are treated if they do not undertake all their household obligations.</w:t>
      </w:r>
      <w:r w:rsidR="007B4701" w:rsidRPr="009A7163">
        <w:rPr>
          <w:rFonts w:eastAsia="MS Mincho"/>
        </w:rPr>
        <w:t xml:space="preserve"> </w:t>
      </w:r>
      <w:r w:rsidR="008A1623" w:rsidRPr="009A7163">
        <w:rPr>
          <w:rFonts w:eastAsia="MS Mincho"/>
        </w:rPr>
        <w:t>Emotional abuse is a part of intimate partner violence</w:t>
      </w:r>
      <w:r w:rsidR="00E53E84" w:rsidRPr="009A7163">
        <w:rPr>
          <w:rFonts w:eastAsia="MS Mincho"/>
        </w:rPr>
        <w:t>,</w:t>
      </w:r>
      <w:r w:rsidR="008A1623" w:rsidRPr="009A7163">
        <w:rPr>
          <w:rFonts w:eastAsia="MS Mincho"/>
        </w:rPr>
        <w:t xml:space="preserve"> which is very common in Nicaragua</w:t>
      </w:r>
      <w:r w:rsidR="00E53E84" w:rsidRPr="009A7163">
        <w:rPr>
          <w:rFonts w:eastAsia="MS Mincho"/>
        </w:rPr>
        <w:t>.</w:t>
      </w:r>
      <w:r w:rsidR="00E53E84" w:rsidRPr="009A7163">
        <w:rPr>
          <w:rStyle w:val="FootnoteReference"/>
          <w:rFonts w:eastAsia="MS Mincho"/>
        </w:rPr>
        <w:footnoteReference w:id="107"/>
      </w:r>
      <w:r w:rsidR="008A1623" w:rsidRPr="009A7163">
        <w:rPr>
          <w:rFonts w:eastAsia="MS Mincho"/>
        </w:rPr>
        <w:t xml:space="preserve"> In a report </w:t>
      </w:r>
      <w:r w:rsidR="00E53E84" w:rsidRPr="009A7163">
        <w:rPr>
          <w:rFonts w:eastAsia="MS Mincho"/>
        </w:rPr>
        <w:t>that</w:t>
      </w:r>
      <w:r w:rsidR="008A1623" w:rsidRPr="009A7163">
        <w:rPr>
          <w:rFonts w:eastAsia="MS Mincho"/>
        </w:rPr>
        <w:t xml:space="preserve"> </w:t>
      </w:r>
      <w:r w:rsidR="008A1623" w:rsidRPr="009A7163">
        <w:rPr>
          <w:rFonts w:eastAsia="MS Mincho"/>
        </w:rPr>
        <w:lastRenderedPageBreak/>
        <w:t>compare</w:t>
      </w:r>
      <w:r w:rsidR="00E53E84" w:rsidRPr="009A7163">
        <w:rPr>
          <w:rFonts w:eastAsia="MS Mincho"/>
        </w:rPr>
        <w:t>d</w:t>
      </w:r>
      <w:r w:rsidR="008A1623" w:rsidRPr="009A7163">
        <w:rPr>
          <w:rFonts w:eastAsia="MS Mincho"/>
        </w:rPr>
        <w:t xml:space="preserve"> surveys undertaken in 12 countries in Latin America, </w:t>
      </w:r>
      <w:r w:rsidR="00E53E84" w:rsidRPr="009A7163">
        <w:rPr>
          <w:rFonts w:eastAsia="MS Mincho"/>
        </w:rPr>
        <w:t>t</w:t>
      </w:r>
      <w:r w:rsidR="008A1623" w:rsidRPr="009A7163">
        <w:rPr>
          <w:rFonts w:eastAsia="MS Mincho"/>
        </w:rPr>
        <w:t>he highest accounts of emotional abuse</w:t>
      </w:r>
      <w:r w:rsidR="00E53E84" w:rsidRPr="009A7163">
        <w:rPr>
          <w:rFonts w:eastAsia="MS Mincho"/>
        </w:rPr>
        <w:t xml:space="preserve"> were reported for Nicaragua</w:t>
      </w:r>
      <w:r w:rsidR="008A1623" w:rsidRPr="009A7163">
        <w:rPr>
          <w:rFonts w:eastAsia="MS Mincho"/>
        </w:rPr>
        <w:t xml:space="preserve"> (Bott et al</w:t>
      </w:r>
      <w:r w:rsidR="00E53E84" w:rsidRPr="009A7163">
        <w:rPr>
          <w:rFonts w:eastAsia="MS Mincho"/>
        </w:rPr>
        <w:t>.</w:t>
      </w:r>
      <w:r w:rsidR="008A1623" w:rsidRPr="009A7163">
        <w:rPr>
          <w:rFonts w:eastAsia="MS Mincho"/>
        </w:rPr>
        <w:t xml:space="preserve">, 2012, p. 66). </w:t>
      </w:r>
      <w:r w:rsidR="008A1623" w:rsidRPr="009A7163">
        <w:t>Domestic violence is also recognised as a public health problem in Nicaragua (Brandt Broegaard, 2013). In Leon</w:t>
      </w:r>
      <w:r w:rsidR="00E53E84" w:rsidRPr="009A7163">
        <w:t>,</w:t>
      </w:r>
      <w:r w:rsidR="008A1623" w:rsidRPr="009A7163">
        <w:t xml:space="preserve"> for example</w:t>
      </w:r>
      <w:r w:rsidR="00E53E84" w:rsidRPr="009A7163">
        <w:t>,</w:t>
      </w:r>
      <w:r w:rsidR="008A1623" w:rsidRPr="009A7163">
        <w:t xml:space="preserve"> where the sesame cooperative is situated, a study showed that </w:t>
      </w:r>
      <w:r w:rsidR="00E53E84" w:rsidRPr="009A7163">
        <w:t>‘</w:t>
      </w:r>
      <w:r w:rsidR="008A1623" w:rsidRPr="009A7163">
        <w:t>among ever-married women, 52% reported having experienced physical partner abuse at some point in their lives</w:t>
      </w:r>
      <w:r w:rsidR="00E53E84" w:rsidRPr="009A7163">
        <w:t>’</w:t>
      </w:r>
      <w:r w:rsidR="008A1623" w:rsidRPr="009A7163">
        <w:t xml:space="preserve"> and that </w:t>
      </w:r>
      <w:r w:rsidR="00E53E84" w:rsidRPr="009A7163">
        <w:t>‘</w:t>
      </w:r>
      <w:r w:rsidR="008A1623" w:rsidRPr="009A7163">
        <w:t>a considerate overlap was found between physical, emotional and sexual violence</w:t>
      </w:r>
      <w:r w:rsidR="00FE5EB3" w:rsidRPr="009A7163">
        <w:t>…</w:t>
      </w:r>
      <w:r w:rsidR="008A1623" w:rsidRPr="009A7163">
        <w:t>with 21% of ever-married women reporting all three kinds of abuse’ (Ellsberg et al., 2002, p. 1595). Ex</w:t>
      </w:r>
      <w:r w:rsidR="008A1623" w:rsidRPr="009A7163">
        <w:rPr>
          <w:lang w:val="en-US"/>
        </w:rPr>
        <w:t>treme jealousy and control have also been identified as constant features of the abusive relationship. Ellsberg et al</w:t>
      </w:r>
      <w:r w:rsidR="00E53E84" w:rsidRPr="009A7163">
        <w:rPr>
          <w:lang w:val="en-US"/>
        </w:rPr>
        <w:t>.</w:t>
      </w:r>
      <w:r w:rsidR="008A1623" w:rsidRPr="009A7163">
        <w:rPr>
          <w:lang w:val="en-US"/>
        </w:rPr>
        <w:t xml:space="preserve"> (2000) argue that: </w:t>
      </w:r>
    </w:p>
    <w:p w14:paraId="668C4057" w14:textId="488726C4" w:rsidR="008A1623" w:rsidRPr="009A7163" w:rsidRDefault="008A1623" w:rsidP="007A3A29">
      <w:pPr>
        <w:pStyle w:val="NormalWeb"/>
        <w:spacing w:before="0" w:beforeAutospacing="0" w:after="180" w:afterAutospacing="0"/>
        <w:ind w:left="720"/>
        <w:jc w:val="both"/>
        <w:rPr>
          <w:lang w:val="en-US"/>
        </w:rPr>
      </w:pPr>
      <w:r w:rsidRPr="009A7163">
        <w:rPr>
          <w:lang w:val="en-US"/>
        </w:rPr>
        <w:t>Further, the data indicate that battered women frequently experience feelings of shame, isolation and entrapment which, together with a lack of family and community support, often contribute to women's difficulty in recognizing and disengaging from a violent relationship. These findings are consistent with theoretical conceptualizations of domestic violence developed in other countries, suggesting that, to a large degree, women's experiences of violence transcend specific cultural contexts. (p.</w:t>
      </w:r>
      <w:r w:rsidR="00E53E84" w:rsidRPr="009A7163">
        <w:rPr>
          <w:lang w:val="en-US"/>
        </w:rPr>
        <w:t xml:space="preserve"> </w:t>
      </w:r>
      <w:r w:rsidRPr="009A7163">
        <w:rPr>
          <w:lang w:val="en-US"/>
        </w:rPr>
        <w:t>1959)</w:t>
      </w:r>
    </w:p>
    <w:p w14:paraId="699A90CE" w14:textId="5428466C" w:rsidR="006B7F53" w:rsidRPr="009A7163" w:rsidRDefault="008A1623">
      <w:pPr>
        <w:spacing w:line="360" w:lineRule="auto"/>
        <w:jc w:val="both"/>
      </w:pPr>
      <w:r w:rsidRPr="009A7163">
        <w:rPr>
          <w:lang w:val="en-US"/>
        </w:rPr>
        <w:t xml:space="preserve">The phrases that the interviewees used in my own research are identical to results of a study undertaken by Ellsberg and her colleagues in Nicaragua in 2000. In their paper they reported that emotional abuse and name calling </w:t>
      </w:r>
      <w:r w:rsidR="00E53E84" w:rsidRPr="009A7163">
        <w:rPr>
          <w:lang w:val="en-US"/>
        </w:rPr>
        <w:t>with phrases such as ‘</w:t>
      </w:r>
      <w:r w:rsidRPr="009A7163">
        <w:rPr>
          <w:rFonts w:eastAsiaTheme="minorHAnsi"/>
          <w:lang w:val="en-US" w:eastAsia="en-GB"/>
        </w:rPr>
        <w:t>You're an animal, an idiot, you are worthless</w:t>
      </w:r>
      <w:r w:rsidR="00E53E84" w:rsidRPr="009A7163">
        <w:rPr>
          <w:rFonts w:eastAsiaTheme="minorHAnsi"/>
          <w:lang w:val="en-US" w:eastAsia="en-GB"/>
        </w:rPr>
        <w:t>…</w:t>
      </w:r>
      <w:r w:rsidRPr="009A7163">
        <w:rPr>
          <w:rFonts w:eastAsiaTheme="minorHAnsi"/>
          <w:lang w:val="en-US" w:eastAsia="en-GB"/>
        </w:rPr>
        <w:t>'</w:t>
      </w:r>
      <w:r w:rsidRPr="009A7163">
        <w:rPr>
          <w:lang w:val="en-US"/>
        </w:rPr>
        <w:t xml:space="preserve"> w</w:t>
      </w:r>
      <w:r w:rsidR="00E53E84" w:rsidRPr="009A7163">
        <w:rPr>
          <w:lang w:val="en-US"/>
        </w:rPr>
        <w:t>ere</w:t>
      </w:r>
      <w:r w:rsidRPr="009A7163">
        <w:rPr>
          <w:lang w:val="en-US"/>
        </w:rPr>
        <w:t xml:space="preserve"> used frequently (Ellsberg et al</w:t>
      </w:r>
      <w:r w:rsidR="00E53E84" w:rsidRPr="009A7163">
        <w:rPr>
          <w:lang w:val="en-US"/>
        </w:rPr>
        <w:t>.</w:t>
      </w:r>
      <w:r w:rsidRPr="009A7163">
        <w:rPr>
          <w:lang w:val="en-US"/>
        </w:rPr>
        <w:t>, 2000, p.</w:t>
      </w:r>
      <w:r w:rsidR="00E53E84" w:rsidRPr="009A7163">
        <w:rPr>
          <w:lang w:val="en-US"/>
        </w:rPr>
        <w:t xml:space="preserve"> </w:t>
      </w:r>
      <w:r w:rsidRPr="009A7163">
        <w:rPr>
          <w:lang w:val="en-US"/>
        </w:rPr>
        <w:t xml:space="preserve">1600). Research in Nicaragua states that the </w:t>
      </w:r>
      <w:r w:rsidR="00E53E84" w:rsidRPr="009A7163">
        <w:rPr>
          <w:lang w:val="en-US"/>
        </w:rPr>
        <w:t>‘</w:t>
      </w:r>
      <w:r w:rsidRPr="009A7163">
        <w:rPr>
          <w:lang w:val="en-US"/>
        </w:rPr>
        <w:t>hegemonic masculinity paradigm in this setting [Nicaragua] is “machismo</w:t>
      </w:r>
      <w:r w:rsidR="00E53E84" w:rsidRPr="009A7163">
        <w:rPr>
          <w:lang w:val="en-US"/>
        </w:rPr>
        <w:t>”</w:t>
      </w:r>
      <w:r w:rsidRPr="009A7163">
        <w:rPr>
          <w:lang w:val="en-US"/>
        </w:rPr>
        <w:t>, and within it men are expected to exert power to dominate and control others, especially women</w:t>
      </w:r>
      <w:r w:rsidR="00E53E84" w:rsidRPr="009A7163">
        <w:rPr>
          <w:lang w:val="en-US"/>
        </w:rPr>
        <w:t>’</w:t>
      </w:r>
      <w:r w:rsidRPr="009A7163">
        <w:rPr>
          <w:lang w:val="en-US"/>
        </w:rPr>
        <w:t xml:space="preserve"> (Torres, 2011). Popular ranchera</w:t>
      </w:r>
      <w:r w:rsidR="00C05B8F" w:rsidRPr="009A7163">
        <w:rPr>
          <w:rStyle w:val="FootnoteReference"/>
          <w:lang w:val="en-US"/>
        </w:rPr>
        <w:footnoteReference w:id="108"/>
      </w:r>
      <w:r w:rsidRPr="009A7163">
        <w:rPr>
          <w:lang w:val="en-US"/>
        </w:rPr>
        <w:t xml:space="preserve"> songs in Nicaragua like </w:t>
      </w:r>
      <w:r w:rsidR="00E53E84" w:rsidRPr="009A7163">
        <w:rPr>
          <w:lang w:val="en-US"/>
        </w:rPr>
        <w:t>‘</w:t>
      </w:r>
      <w:r w:rsidRPr="009A7163">
        <w:rPr>
          <w:lang w:val="en-US"/>
        </w:rPr>
        <w:t>El Rey</w:t>
      </w:r>
      <w:r w:rsidR="00E53E84" w:rsidRPr="009A7163">
        <w:rPr>
          <w:lang w:val="en-US"/>
        </w:rPr>
        <w:t>’</w:t>
      </w:r>
      <w:r w:rsidRPr="009A7163">
        <w:rPr>
          <w:lang w:val="en-US"/>
        </w:rPr>
        <w:t xml:space="preserve"> (The King) with the repeated chorus</w:t>
      </w:r>
      <w:r w:rsidR="00E53E84" w:rsidRPr="009A7163">
        <w:rPr>
          <w:lang w:val="en-US"/>
        </w:rPr>
        <w:t>, ‘</w:t>
      </w:r>
      <w:r w:rsidRPr="009A7163">
        <w:t>With or without money I always do what I want, and my words are the law I don't have neither a throne nor a queen nor anyone that understand me, but I keep being the king</w:t>
      </w:r>
      <w:r w:rsidR="00E53E84" w:rsidRPr="009A7163">
        <w:t>’,</w:t>
      </w:r>
      <w:r w:rsidRPr="009A7163">
        <w:rPr>
          <w:lang w:val="en-US"/>
        </w:rPr>
        <w:t xml:space="preserve"> encapsulate machismo.</w:t>
      </w:r>
      <w:r w:rsidR="00E53E84" w:rsidRPr="009A7163">
        <w:rPr>
          <w:rStyle w:val="FootnoteReference"/>
          <w:lang w:val="en-US"/>
        </w:rPr>
        <w:footnoteReference w:id="109"/>
      </w:r>
      <w:r w:rsidR="006B7F53" w:rsidRPr="009A7163">
        <w:rPr>
          <w:lang w:val="en-US"/>
        </w:rPr>
        <w:t xml:space="preserve"> This</w:t>
      </w:r>
      <w:r w:rsidRPr="009A7163">
        <w:rPr>
          <w:lang w:val="en-US"/>
        </w:rPr>
        <w:t xml:space="preserve"> socialization of men and women in Nicaragua is heavily influenced by </w:t>
      </w:r>
      <w:r w:rsidR="00E53E84" w:rsidRPr="009A7163">
        <w:rPr>
          <w:lang w:val="en-US"/>
        </w:rPr>
        <w:t>m</w:t>
      </w:r>
      <w:r w:rsidRPr="009A7163">
        <w:rPr>
          <w:lang w:val="en-US"/>
        </w:rPr>
        <w:t xml:space="preserve">achismo and </w:t>
      </w:r>
      <w:r w:rsidR="00E53E84" w:rsidRPr="009A7163">
        <w:rPr>
          <w:lang w:val="en-US"/>
        </w:rPr>
        <w:t>m</w:t>
      </w:r>
      <w:r w:rsidRPr="009A7163">
        <w:rPr>
          <w:lang w:val="en-US"/>
        </w:rPr>
        <w:t xml:space="preserve">arianismo (see </w:t>
      </w:r>
      <w:r w:rsidR="00B74287" w:rsidRPr="009A7163">
        <w:rPr>
          <w:lang w:val="en-US"/>
        </w:rPr>
        <w:t>Chapter Four, S</w:t>
      </w:r>
      <w:r w:rsidRPr="009A7163">
        <w:rPr>
          <w:lang w:val="en-US"/>
        </w:rPr>
        <w:t>ection 4.3) and has been identified as a cause of violence in Nicaragua (</w:t>
      </w:r>
      <w:r w:rsidR="00B74287" w:rsidRPr="009A7163">
        <w:rPr>
          <w:lang w:val="en-US"/>
        </w:rPr>
        <w:t>s</w:t>
      </w:r>
      <w:r w:rsidRPr="009A7163">
        <w:rPr>
          <w:lang w:val="en-US"/>
        </w:rPr>
        <w:t>ee Ellsberg et al</w:t>
      </w:r>
      <w:r w:rsidR="00E53E84" w:rsidRPr="009A7163">
        <w:rPr>
          <w:lang w:val="en-US"/>
        </w:rPr>
        <w:t>.</w:t>
      </w:r>
      <w:r w:rsidRPr="009A7163">
        <w:rPr>
          <w:lang w:val="en-US"/>
        </w:rPr>
        <w:t>, 2000).</w:t>
      </w:r>
      <w:r w:rsidR="00E53E84" w:rsidRPr="009A7163">
        <w:rPr>
          <w:rStyle w:val="FootnoteReference"/>
          <w:lang w:val="en-US"/>
        </w:rPr>
        <w:footnoteReference w:id="110"/>
      </w:r>
      <w:r w:rsidR="00E53E84" w:rsidRPr="009A7163">
        <w:rPr>
          <w:lang w:val="en-US"/>
        </w:rPr>
        <w:t xml:space="preserve"> </w:t>
      </w:r>
      <w:r w:rsidR="006B7F53" w:rsidRPr="009A7163">
        <w:rPr>
          <w:lang w:val="en-US"/>
        </w:rPr>
        <w:t xml:space="preserve"> </w:t>
      </w:r>
      <w:r w:rsidRPr="009A7163">
        <w:rPr>
          <w:lang w:val="en-US"/>
        </w:rPr>
        <w:t>H</w:t>
      </w:r>
      <w:r w:rsidR="001B536B" w:rsidRPr="009A7163">
        <w:rPr>
          <w:lang w:val="en-US"/>
        </w:rPr>
        <w:t>ei</w:t>
      </w:r>
      <w:r w:rsidRPr="009A7163">
        <w:rPr>
          <w:lang w:val="en-US"/>
        </w:rPr>
        <w:t xml:space="preserve">se (1998) </w:t>
      </w:r>
      <w:r w:rsidR="006B7F53" w:rsidRPr="009A7163">
        <w:rPr>
          <w:lang w:val="en-US"/>
        </w:rPr>
        <w:t xml:space="preserve">argues </w:t>
      </w:r>
      <w:r w:rsidR="006B7F53" w:rsidRPr="009A7163">
        <w:rPr>
          <w:lang w:val="en-US"/>
        </w:rPr>
        <w:lastRenderedPageBreak/>
        <w:t>that</w:t>
      </w:r>
      <w:r w:rsidRPr="009A7163">
        <w:rPr>
          <w:lang w:val="en-US"/>
        </w:rPr>
        <w:t xml:space="preserve"> numerous studies from around the world have suggested that violence against women is most common in societies where gender roles are rigidly defined and enforced, and where the concept of masculinity is linked to toughness, male honour</w:t>
      </w:r>
      <w:r w:rsidR="001B536B" w:rsidRPr="009A7163">
        <w:rPr>
          <w:lang w:val="en-US"/>
        </w:rPr>
        <w:t xml:space="preserve"> or dominance (</w:t>
      </w:r>
      <w:r w:rsidRPr="009A7163">
        <w:rPr>
          <w:lang w:val="en-US"/>
        </w:rPr>
        <w:t>p.</w:t>
      </w:r>
      <w:r w:rsidR="00916725" w:rsidRPr="009A7163">
        <w:rPr>
          <w:lang w:val="en-US"/>
        </w:rPr>
        <w:t xml:space="preserve"> </w:t>
      </w:r>
      <w:r w:rsidRPr="009A7163">
        <w:rPr>
          <w:lang w:val="en-US"/>
        </w:rPr>
        <w:t xml:space="preserve">277). </w:t>
      </w:r>
      <w:r w:rsidR="0004022E" w:rsidRPr="009A7163">
        <w:rPr>
          <w:rFonts w:eastAsia="MS Mincho"/>
        </w:rPr>
        <w:t>Th</w:t>
      </w:r>
      <w:r w:rsidR="006B7F53" w:rsidRPr="009A7163">
        <w:rPr>
          <w:rFonts w:eastAsia="MS Mincho"/>
        </w:rPr>
        <w:t>e research on violence in Nicaragua</w:t>
      </w:r>
      <w:r w:rsidR="00916725" w:rsidRPr="009A7163">
        <w:rPr>
          <w:rFonts w:eastAsia="MS Mincho"/>
        </w:rPr>
        <w:t xml:space="preserve"> once again highlights </w:t>
      </w:r>
      <w:r w:rsidR="0004022E" w:rsidRPr="009A7163">
        <w:rPr>
          <w:rFonts w:eastAsia="MS Mincho"/>
        </w:rPr>
        <w:t>the issue of social norms</w:t>
      </w:r>
      <w:r w:rsidR="00916725" w:rsidRPr="009A7163">
        <w:rPr>
          <w:rFonts w:eastAsia="MS Mincho"/>
        </w:rPr>
        <w:t>,</w:t>
      </w:r>
      <w:r w:rsidR="0004022E" w:rsidRPr="009A7163">
        <w:rPr>
          <w:rFonts w:eastAsia="MS Mincho"/>
        </w:rPr>
        <w:t xml:space="preserve"> and the value of women is associated </w:t>
      </w:r>
      <w:r w:rsidR="00C972AF" w:rsidRPr="009A7163">
        <w:rPr>
          <w:rFonts w:eastAsia="MS Mincho"/>
        </w:rPr>
        <w:t xml:space="preserve">connected with </w:t>
      </w:r>
      <w:r w:rsidR="0004022E" w:rsidRPr="009A7163">
        <w:rPr>
          <w:rFonts w:eastAsia="MS Mincho"/>
        </w:rPr>
        <w:t>their reproductive role.</w:t>
      </w:r>
      <w:r w:rsidR="0004022E" w:rsidRPr="009A7163">
        <w:t xml:space="preserve"> </w:t>
      </w:r>
    </w:p>
    <w:p w14:paraId="787049BB" w14:textId="28229280" w:rsidR="0004022E" w:rsidRPr="009A7163" w:rsidRDefault="006B7F53" w:rsidP="007A3A29">
      <w:pPr>
        <w:spacing w:line="360" w:lineRule="auto"/>
        <w:ind w:firstLine="720"/>
        <w:jc w:val="both"/>
        <w:rPr>
          <w:lang w:val="en-US"/>
        </w:rPr>
      </w:pPr>
      <w:r w:rsidRPr="009A7163">
        <w:t>The importance of acknowledging entrenched social norms and gender roles is crucial. I</w:t>
      </w:r>
      <w:r w:rsidR="0004022E" w:rsidRPr="009A7163">
        <w:t xml:space="preserve">t is important to reflect here what will improve or made worse by a model that equates household work with women’s work. </w:t>
      </w:r>
      <w:r w:rsidR="0004022E" w:rsidRPr="009A7163">
        <w:rPr>
          <w:rFonts w:eastAsia="MS Mincho"/>
        </w:rPr>
        <w:t xml:space="preserve">Does the payment to (mainly) women reify their position and move against the pursuit of gender equality via the employment route? Are we back to the wages for housework/domestic labour debate highlighted in </w:t>
      </w:r>
      <w:r w:rsidR="00B44AC2" w:rsidRPr="009A7163">
        <w:rPr>
          <w:rFonts w:eastAsia="MS Mincho"/>
        </w:rPr>
        <w:t>Chapter Two</w:t>
      </w:r>
      <w:r w:rsidR="00916725" w:rsidRPr="009A7163">
        <w:rPr>
          <w:rFonts w:eastAsia="MS Mincho"/>
        </w:rPr>
        <w:t>?</w:t>
      </w:r>
    </w:p>
    <w:p w14:paraId="06C97170" w14:textId="515AF63D" w:rsidR="0004022E" w:rsidRPr="009A7163" w:rsidRDefault="0004022E">
      <w:pPr>
        <w:spacing w:line="360" w:lineRule="auto"/>
        <w:ind w:firstLine="720"/>
        <w:jc w:val="both"/>
        <w:rPr>
          <w:rFonts w:eastAsia="MS Mincho"/>
        </w:rPr>
      </w:pPr>
      <w:r w:rsidRPr="009A7163">
        <w:rPr>
          <w:rFonts w:eastAsia="MS Mincho"/>
        </w:rPr>
        <w:t>The Former Senior Buyer for BSI reflected on the way they decided to price women’s unpaid work and made a few important points. She acknowledged that it is actually a token payment and that the pricing was actually based on a loose concept of ‘recognising women’s work’. She also highlighted the tension of keeping the commercial price competitive. She recognised that there is disconnect in the proposition</w:t>
      </w:r>
      <w:r w:rsidR="00916725" w:rsidRPr="009A7163">
        <w:rPr>
          <w:rFonts w:eastAsia="MS Mincho"/>
        </w:rPr>
        <w:t>,</w:t>
      </w:r>
      <w:r w:rsidRPr="009A7163">
        <w:rPr>
          <w:rFonts w:eastAsia="MS Mincho"/>
        </w:rPr>
        <w:t xml:space="preserve"> as they are not actually paying directly for women’s unpaid work (e.g., it does not go directly into the hands of the women who produced the sesame)</w:t>
      </w:r>
      <w:r w:rsidR="00916725" w:rsidRPr="009A7163">
        <w:rPr>
          <w:rFonts w:eastAsia="MS Mincho"/>
        </w:rPr>
        <w:t>, As such,</w:t>
      </w:r>
      <w:r w:rsidRPr="009A7163">
        <w:rPr>
          <w:rFonts w:eastAsia="MS Mincho"/>
        </w:rPr>
        <w:t xml:space="preserve"> she reflected </w:t>
      </w:r>
      <w:r w:rsidR="00916725" w:rsidRPr="009A7163">
        <w:rPr>
          <w:rFonts w:eastAsia="MS Mincho"/>
        </w:rPr>
        <w:t xml:space="preserve">on </w:t>
      </w:r>
      <w:r w:rsidRPr="009A7163">
        <w:rPr>
          <w:rFonts w:eastAsia="MS Mincho"/>
        </w:rPr>
        <w:t>whether the payment should be allocated differently, meaning not as a line in the costs of production but paid as a premium in acknowledgment of women’s work and with the vision of supporting women’s empowerment.</w:t>
      </w:r>
      <w:r w:rsidRPr="009A7163">
        <w:rPr>
          <w:rFonts w:eastAsia="MS Mincho"/>
          <w:vertAlign w:val="superscript"/>
        </w:rPr>
        <w:footnoteReference w:id="111"/>
      </w:r>
      <w:r w:rsidRPr="009A7163">
        <w:rPr>
          <w:rFonts w:eastAsia="MS Mincho"/>
        </w:rPr>
        <w:t xml:space="preserve"> The senior buyer commented on the disconnect between the proposed initiative to value women’s unpaid work and the mechanism for paying for that work:</w:t>
      </w:r>
    </w:p>
    <w:p w14:paraId="79119BBE" w14:textId="1079D1A3" w:rsidR="0004022E" w:rsidRPr="009A7163" w:rsidRDefault="0004022E">
      <w:pPr>
        <w:spacing w:after="160"/>
        <w:ind w:left="720"/>
        <w:jc w:val="both"/>
        <w:rPr>
          <w:rFonts w:eastAsia="MS Mincho"/>
        </w:rPr>
      </w:pPr>
      <w:r w:rsidRPr="009A7163">
        <w:rPr>
          <w:rFonts w:eastAsia="MS Mincho"/>
        </w:rPr>
        <w:t>I think the concern that we had as well was that we were promoting and we had agreed to pay for unpaid work, and there is this disconnect because we are not paying for unpaid work. We are not paying the women in those households for the work they’ve done, yet we are claiming we are, and so this was always an issue for me, which is why I guess we need to review it. (Expert Interview, Former Senior Buyer for BSI, February 23, 2017)</w:t>
      </w:r>
    </w:p>
    <w:p w14:paraId="69C70DE7" w14:textId="28F516F5" w:rsidR="00463045" w:rsidRPr="009A7163" w:rsidRDefault="005B0320">
      <w:pPr>
        <w:spacing w:line="360" w:lineRule="auto"/>
        <w:jc w:val="both"/>
        <w:rPr>
          <w:rFonts w:eastAsia="MS Mincho"/>
        </w:rPr>
      </w:pPr>
      <w:r w:rsidRPr="009A7163">
        <w:rPr>
          <w:rFonts w:eastAsia="MS Mincho"/>
        </w:rPr>
        <w:lastRenderedPageBreak/>
        <w:t xml:space="preserve">The </w:t>
      </w:r>
      <w:r w:rsidR="00CA3F18" w:rsidRPr="009A7163">
        <w:rPr>
          <w:rFonts w:eastAsia="MS Mincho"/>
        </w:rPr>
        <w:t>BSI senior buyer above highlights the contradiction between what the recognition for the pricing model represents and what happens in reality. The pricing model clearly does not pay the women for either the true cost of their work nor does it pay the women d</w:t>
      </w:r>
      <w:r w:rsidR="000173C5" w:rsidRPr="009A7163">
        <w:rPr>
          <w:rFonts w:eastAsia="MS Mincho"/>
        </w:rPr>
        <w:t>irectly who have done this work</w:t>
      </w:r>
      <w:r w:rsidR="00916725" w:rsidRPr="009A7163">
        <w:rPr>
          <w:rFonts w:eastAsia="MS Mincho"/>
        </w:rPr>
        <w:t>. This is because</w:t>
      </w:r>
      <w:r w:rsidR="000173C5" w:rsidRPr="009A7163">
        <w:rPr>
          <w:rFonts w:eastAsia="MS Mincho"/>
        </w:rPr>
        <w:t xml:space="preserve"> the fund is open to any woman in the community</w:t>
      </w:r>
      <w:r w:rsidR="00916725" w:rsidRPr="009A7163">
        <w:rPr>
          <w:rFonts w:eastAsia="MS Mincho"/>
        </w:rPr>
        <w:t xml:space="preserve"> regardless of whether they are a</w:t>
      </w:r>
      <w:r w:rsidR="000173C5" w:rsidRPr="009A7163">
        <w:rPr>
          <w:rFonts w:eastAsia="MS Mincho"/>
        </w:rPr>
        <w:t xml:space="preserve"> member </w:t>
      </w:r>
      <w:r w:rsidR="00916725" w:rsidRPr="009A7163">
        <w:rPr>
          <w:rFonts w:eastAsia="MS Mincho"/>
        </w:rPr>
        <w:t xml:space="preserve">of the initiative </w:t>
      </w:r>
      <w:r w:rsidR="000173C5" w:rsidRPr="009A7163">
        <w:rPr>
          <w:rFonts w:eastAsia="MS Mincho"/>
        </w:rPr>
        <w:t>or not, sesame grower or not. The decision to channel the recognition into a micro credit fund is also a channel that needs to be reviewed. The former BSI buyer sugges</w:t>
      </w:r>
      <w:r w:rsidR="00647658" w:rsidRPr="009A7163">
        <w:rPr>
          <w:rFonts w:eastAsia="MS Mincho"/>
        </w:rPr>
        <w:t>ed</w:t>
      </w:r>
      <w:r w:rsidR="000173C5" w:rsidRPr="009A7163">
        <w:rPr>
          <w:rFonts w:eastAsia="MS Mincho"/>
        </w:rPr>
        <w:t>s a fund directed at women will have impact whatever the model. She s</w:t>
      </w:r>
      <w:r w:rsidR="00647658" w:rsidRPr="009A7163">
        <w:rPr>
          <w:rFonts w:eastAsia="MS Mincho"/>
        </w:rPr>
        <w:t>aid</w:t>
      </w:r>
      <w:r w:rsidR="000173C5" w:rsidRPr="009A7163">
        <w:rPr>
          <w:rFonts w:eastAsia="MS Mincho"/>
        </w:rPr>
        <w:t>:</w:t>
      </w:r>
    </w:p>
    <w:p w14:paraId="5369D5E2" w14:textId="3630647E" w:rsidR="0004022E" w:rsidRPr="009A7163" w:rsidRDefault="0004022E">
      <w:pPr>
        <w:spacing w:after="180"/>
        <w:ind w:left="720"/>
        <w:jc w:val="both"/>
        <w:rPr>
          <w:rFonts w:eastAsia="MS Mincho"/>
          <w:b/>
        </w:rPr>
      </w:pPr>
      <w:r w:rsidRPr="009A7163">
        <w:rPr>
          <w:rFonts w:eastAsia="MS Mincho"/>
        </w:rPr>
        <w:t xml:space="preserve">The pricing model itself, the loose way that the premium was calculated to pay for the women’s fund at the moment it seems to have worked and I </w:t>
      </w:r>
      <w:r w:rsidRPr="009A7163">
        <w:rPr>
          <w:rFonts w:eastAsia="MS Mincho"/>
          <w:u w:val="single"/>
        </w:rPr>
        <w:t>don’t</w:t>
      </w:r>
      <w:r w:rsidRPr="009A7163">
        <w:rPr>
          <w:rFonts w:eastAsia="MS Mincho"/>
        </w:rPr>
        <w:t xml:space="preserve"> know </w:t>
      </w:r>
      <w:r w:rsidR="000173C5" w:rsidRPr="009A7163">
        <w:rPr>
          <w:rFonts w:eastAsia="MS Mincho"/>
        </w:rPr>
        <w:t xml:space="preserve">what will happen </w:t>
      </w:r>
      <w:r w:rsidRPr="009A7163">
        <w:rPr>
          <w:rFonts w:eastAsia="MS Mincho"/>
        </w:rPr>
        <w:t xml:space="preserve">if it changes and if a rigorous and very detailed calculation </w:t>
      </w:r>
      <w:r w:rsidR="000173C5" w:rsidRPr="009A7163">
        <w:rPr>
          <w:rFonts w:eastAsia="MS Mincho"/>
        </w:rPr>
        <w:t xml:space="preserve">will </w:t>
      </w:r>
      <w:r w:rsidRPr="009A7163">
        <w:rPr>
          <w:rFonts w:eastAsia="MS Mincho"/>
        </w:rPr>
        <w:t xml:space="preserve">make the price more competitive then it won’t work. Currently as a token amount to recognise the work that is only being </w:t>
      </w:r>
      <w:r w:rsidR="000173C5" w:rsidRPr="009A7163">
        <w:rPr>
          <w:rFonts w:eastAsia="MS Mincho"/>
        </w:rPr>
        <w:t xml:space="preserve">done by </w:t>
      </w:r>
      <w:r w:rsidRPr="009A7163">
        <w:rPr>
          <w:rFonts w:eastAsia="MS Mincho"/>
        </w:rPr>
        <w:t>women, I think that as a concept it is easy enough for buyers to understand, it’s easy enough and good enough. It seems to have brought about that conversation at the community level and that</w:t>
      </w:r>
      <w:r w:rsidR="002C2A09" w:rsidRPr="009A7163">
        <w:rPr>
          <w:rFonts w:eastAsia="MS Mincho"/>
        </w:rPr>
        <w:t xml:space="preserve"> </w:t>
      </w:r>
      <w:r w:rsidRPr="009A7163">
        <w:rPr>
          <w:rFonts w:eastAsia="MS Mincho"/>
        </w:rPr>
        <w:t>is great. Whether it is based on an actual reflection of what women do or not, I think that’s secondary</w:t>
      </w:r>
      <w:r w:rsidR="00FE5EB3" w:rsidRPr="009A7163">
        <w:rPr>
          <w:rFonts w:eastAsia="MS Mincho"/>
        </w:rPr>
        <w:t>…</w:t>
      </w:r>
      <w:r w:rsidR="00916725" w:rsidRPr="009A7163">
        <w:rPr>
          <w:rFonts w:eastAsia="MS Mincho"/>
        </w:rPr>
        <w:t>T</w:t>
      </w:r>
      <w:r w:rsidRPr="009A7163">
        <w:rPr>
          <w:rFonts w:eastAsia="MS Mincho"/>
        </w:rPr>
        <w:t>he most important thing has been to get the concept accepted and discussed. That has been very successful. Second, if you have a fund directed at women, you can have an impact and so whether you call it a community fund directed at women or a fund to recognise the unpaid work of women, that’s to be discussed</w:t>
      </w:r>
      <w:r w:rsidRPr="009A7163">
        <w:rPr>
          <w:rFonts w:eastAsia="MS Mincho"/>
          <w:b/>
        </w:rPr>
        <w:t xml:space="preserve">. </w:t>
      </w:r>
      <w:r w:rsidRPr="009A7163">
        <w:rPr>
          <w:rFonts w:eastAsia="MS Mincho"/>
        </w:rPr>
        <w:t>(Expert Interview, Former Senior Buyer for BSI, February 23, 2017</w:t>
      </w:r>
      <w:r w:rsidR="00647658" w:rsidRPr="009A7163">
        <w:rPr>
          <w:rFonts w:eastAsia="MS Mincho"/>
        </w:rPr>
        <w:t>; emphasis by interviewee</w:t>
      </w:r>
      <w:r w:rsidRPr="009A7163">
        <w:rPr>
          <w:rFonts w:eastAsia="MS Mincho"/>
        </w:rPr>
        <w:t>)</w:t>
      </w:r>
    </w:p>
    <w:p w14:paraId="3367DC49" w14:textId="47FA0D2E" w:rsidR="000F6659" w:rsidRPr="009A7163" w:rsidRDefault="000173C5" w:rsidP="007A3A29">
      <w:pPr>
        <w:spacing w:line="360" w:lineRule="auto"/>
        <w:ind w:firstLine="720"/>
        <w:jc w:val="both"/>
        <w:rPr>
          <w:rFonts w:eastAsia="MS Mincho"/>
        </w:rPr>
      </w:pPr>
      <w:r w:rsidRPr="009A7163">
        <w:rPr>
          <w:rFonts w:eastAsia="MS Mincho"/>
        </w:rPr>
        <w:t>The former BSI</w:t>
      </w:r>
      <w:r w:rsidR="00F62D5B" w:rsidRPr="009A7163">
        <w:rPr>
          <w:rFonts w:eastAsia="MS Mincho"/>
        </w:rPr>
        <w:t>’s</w:t>
      </w:r>
      <w:r w:rsidRPr="009A7163">
        <w:rPr>
          <w:rFonts w:eastAsia="MS Mincho"/>
        </w:rPr>
        <w:t xml:space="preserve"> argument that a fund for women is likely to have impact </w:t>
      </w:r>
      <w:r w:rsidR="00C10AF8" w:rsidRPr="009A7163">
        <w:rPr>
          <w:rFonts w:eastAsia="MS Mincho"/>
        </w:rPr>
        <w:t>(</w:t>
      </w:r>
      <w:r w:rsidRPr="009A7163">
        <w:rPr>
          <w:rFonts w:eastAsia="MS Mincho"/>
        </w:rPr>
        <w:t>whether it’s micro credit fund</w:t>
      </w:r>
      <w:r w:rsidR="00C10AF8" w:rsidRPr="009A7163">
        <w:rPr>
          <w:rFonts w:eastAsia="MS Mincho"/>
        </w:rPr>
        <w:t xml:space="preserve"> or other type of one)</w:t>
      </w:r>
      <w:r w:rsidRPr="009A7163">
        <w:rPr>
          <w:rFonts w:eastAsia="MS Mincho"/>
        </w:rPr>
        <w:t xml:space="preserve"> raises a</w:t>
      </w:r>
      <w:r w:rsidR="00AE5799" w:rsidRPr="009A7163">
        <w:rPr>
          <w:rFonts w:eastAsia="MS Mincho"/>
        </w:rPr>
        <w:t>n important issue. Kabeer</w:t>
      </w:r>
      <w:r w:rsidR="00071A89" w:rsidRPr="009A7163">
        <w:rPr>
          <w:rFonts w:eastAsia="MS Mincho"/>
        </w:rPr>
        <w:t xml:space="preserve"> </w:t>
      </w:r>
      <w:r w:rsidR="00C10AF8" w:rsidRPr="009A7163">
        <w:rPr>
          <w:rFonts w:eastAsia="MS Mincho"/>
        </w:rPr>
        <w:t>(2005)</w:t>
      </w:r>
      <w:r w:rsidR="00916725" w:rsidRPr="009A7163">
        <w:rPr>
          <w:rFonts w:eastAsia="MS Mincho"/>
        </w:rPr>
        <w:t xml:space="preserve"> </w:t>
      </w:r>
      <w:r w:rsidR="00071A89" w:rsidRPr="009A7163">
        <w:rPr>
          <w:rFonts w:eastAsia="MS Mincho"/>
        </w:rPr>
        <w:t>argue</w:t>
      </w:r>
      <w:r w:rsidR="00916725" w:rsidRPr="009A7163">
        <w:rPr>
          <w:rFonts w:eastAsia="MS Mincho"/>
        </w:rPr>
        <w:t>s</w:t>
      </w:r>
      <w:r w:rsidR="00071A89" w:rsidRPr="009A7163">
        <w:rPr>
          <w:rFonts w:eastAsia="MS Mincho"/>
        </w:rPr>
        <w:t xml:space="preserve"> </w:t>
      </w:r>
      <w:r w:rsidR="00916725" w:rsidRPr="009A7163">
        <w:rPr>
          <w:rFonts w:eastAsia="MS Mincho"/>
        </w:rPr>
        <w:t>for</w:t>
      </w:r>
      <w:r w:rsidR="00071A89" w:rsidRPr="009A7163">
        <w:rPr>
          <w:rFonts w:eastAsia="MS Mincho"/>
        </w:rPr>
        <w:t xml:space="preserve"> access to microfinance for women</w:t>
      </w:r>
      <w:r w:rsidR="000F6659" w:rsidRPr="009A7163">
        <w:rPr>
          <w:rFonts w:eastAsia="MS Mincho"/>
        </w:rPr>
        <w:t>:</w:t>
      </w:r>
    </w:p>
    <w:p w14:paraId="45F8EA02" w14:textId="5ED86A49" w:rsidR="00CA3F18" w:rsidRPr="009A7163" w:rsidRDefault="001107D3" w:rsidP="007A3A29">
      <w:pPr>
        <w:spacing w:after="180"/>
        <w:ind w:left="720" w:firstLine="60"/>
        <w:jc w:val="both"/>
        <w:rPr>
          <w:rFonts w:eastAsia="MS Mincho"/>
        </w:rPr>
      </w:pPr>
      <w:r w:rsidRPr="009A7163">
        <w:rPr>
          <w:rFonts w:eastAsia="MS Mincho"/>
        </w:rPr>
        <w:t>[Microfinance] d</w:t>
      </w:r>
      <w:r w:rsidR="00071A89" w:rsidRPr="009A7163">
        <w:rPr>
          <w:rFonts w:eastAsia="MS Mincho"/>
        </w:rPr>
        <w:t xml:space="preserve">oes not </w:t>
      </w:r>
      <w:r w:rsidR="000F6659" w:rsidRPr="009A7163">
        <w:rPr>
          <w:rFonts w:eastAsia="MS Mincho"/>
        </w:rPr>
        <w:t>“</w:t>
      </w:r>
      <w:r w:rsidR="00071A89" w:rsidRPr="009A7163">
        <w:rPr>
          <w:rFonts w:eastAsia="MS Mincho"/>
        </w:rPr>
        <w:t>automatically</w:t>
      </w:r>
      <w:r w:rsidR="000F6659" w:rsidRPr="009A7163">
        <w:rPr>
          <w:rFonts w:eastAsia="MS Mincho"/>
        </w:rPr>
        <w:t>”</w:t>
      </w:r>
      <w:r w:rsidR="00071A89" w:rsidRPr="009A7163">
        <w:rPr>
          <w:rFonts w:eastAsia="MS Mincho"/>
        </w:rPr>
        <w:t xml:space="preserve"> translate into empowerment </w:t>
      </w:r>
      <w:r w:rsidRPr="009A7163">
        <w:rPr>
          <w:rFonts w:eastAsia="MS Mincho"/>
        </w:rPr>
        <w:t>a</w:t>
      </w:r>
      <w:r w:rsidR="00CA3F18" w:rsidRPr="009A7163">
        <w:rPr>
          <w:rFonts w:eastAsia="MS Mincho"/>
        </w:rPr>
        <w:t>ny more than do education, political quotas, access to waged work or any of the other interventions that feature in the literature on women’s empowerment. There</w:t>
      </w:r>
      <w:r w:rsidR="00071A89" w:rsidRPr="009A7163">
        <w:rPr>
          <w:rFonts w:eastAsia="MS Mincho"/>
        </w:rPr>
        <w:t xml:space="preserve"> are no magic bullets, no pana</w:t>
      </w:r>
      <w:r w:rsidR="00CA3F18" w:rsidRPr="009A7163">
        <w:rPr>
          <w:rFonts w:eastAsia="MS Mincho"/>
        </w:rPr>
        <w:t>ceas, no blueprints, no readymade formulas which bring about the radical structural transformation that the empowerment of the poor, and of poor women, implies. These various interventions are simply different entry points into this larger project, each with the potential for social transformation, but each contingent on context, commitment and capacity if this potential is to be realised</w:t>
      </w:r>
      <w:r w:rsidR="000F6659" w:rsidRPr="009A7163">
        <w:rPr>
          <w:rFonts w:eastAsia="MS Mincho"/>
        </w:rPr>
        <w:t xml:space="preserve">. </w:t>
      </w:r>
      <w:r w:rsidR="000173C5" w:rsidRPr="009A7163">
        <w:rPr>
          <w:rFonts w:eastAsia="MS Mincho"/>
        </w:rPr>
        <w:t>(Kabeer, 2005, p.</w:t>
      </w:r>
      <w:r w:rsidR="00916725" w:rsidRPr="009A7163">
        <w:rPr>
          <w:rFonts w:eastAsia="MS Mincho"/>
        </w:rPr>
        <w:t xml:space="preserve"> </w:t>
      </w:r>
      <w:r w:rsidR="000173C5" w:rsidRPr="009A7163">
        <w:rPr>
          <w:rFonts w:eastAsia="MS Mincho"/>
        </w:rPr>
        <w:t>4718)</w:t>
      </w:r>
    </w:p>
    <w:p w14:paraId="1E3F2B73" w14:textId="0749822F" w:rsidR="0004022E" w:rsidRPr="009A7163" w:rsidRDefault="002C2A09">
      <w:pPr>
        <w:spacing w:after="240" w:line="360" w:lineRule="auto"/>
        <w:ind w:firstLine="720"/>
        <w:jc w:val="both"/>
        <w:rPr>
          <w:rFonts w:eastAsia="MS Mincho"/>
        </w:rPr>
      </w:pPr>
      <w:r w:rsidRPr="009A7163">
        <w:rPr>
          <w:rFonts w:eastAsia="MS Mincho"/>
        </w:rPr>
        <w:t>However,</w:t>
      </w:r>
      <w:r w:rsidR="00071A89" w:rsidRPr="009A7163">
        <w:rPr>
          <w:rFonts w:eastAsia="MS Mincho"/>
        </w:rPr>
        <w:t xml:space="preserve"> as the </w:t>
      </w:r>
      <w:r w:rsidR="00916725" w:rsidRPr="009A7163">
        <w:rPr>
          <w:rFonts w:eastAsia="MS Mincho"/>
        </w:rPr>
        <w:t>s</w:t>
      </w:r>
      <w:r w:rsidR="00071A89" w:rsidRPr="009A7163">
        <w:rPr>
          <w:rFonts w:eastAsia="MS Mincho"/>
        </w:rPr>
        <w:t>enior buyer highlights,</w:t>
      </w:r>
      <w:r w:rsidR="0004022E" w:rsidRPr="009A7163">
        <w:rPr>
          <w:rFonts w:eastAsia="MS Mincho"/>
        </w:rPr>
        <w:t xml:space="preserve"> one successful part of the initiative is how it has opened up spaces to discuss what unpaid work </w:t>
      </w:r>
      <w:r w:rsidR="009651DE" w:rsidRPr="009A7163">
        <w:rPr>
          <w:rFonts w:eastAsia="MS Mincho"/>
        </w:rPr>
        <w:t xml:space="preserve">constitutes </w:t>
      </w:r>
      <w:r w:rsidR="0004022E" w:rsidRPr="009A7163">
        <w:rPr>
          <w:rFonts w:eastAsia="MS Mincho"/>
        </w:rPr>
        <w:t xml:space="preserve">and how it can be valued.  </w:t>
      </w:r>
      <w:r w:rsidR="00071A89" w:rsidRPr="009A7163">
        <w:rPr>
          <w:rFonts w:eastAsia="MS Mincho"/>
        </w:rPr>
        <w:t>Therefore,</w:t>
      </w:r>
      <w:r w:rsidR="0004022E" w:rsidRPr="009A7163">
        <w:rPr>
          <w:rFonts w:eastAsia="MS Mincho"/>
        </w:rPr>
        <w:t xml:space="preserve"> like the </w:t>
      </w:r>
      <w:r w:rsidR="009651DE" w:rsidRPr="009A7163">
        <w:rPr>
          <w:rFonts w:eastAsia="MS Mincho"/>
        </w:rPr>
        <w:t>s</w:t>
      </w:r>
      <w:r w:rsidR="0004022E" w:rsidRPr="009A7163">
        <w:rPr>
          <w:rFonts w:eastAsia="MS Mincho"/>
        </w:rPr>
        <w:t xml:space="preserve">enior buyer alludes to, it can be argued that by recognising unpaid work, it makes visible the spaces that can be improved in the </w:t>
      </w:r>
      <w:r w:rsidR="001107D3" w:rsidRPr="009A7163">
        <w:rPr>
          <w:rFonts w:eastAsia="MS Mincho"/>
        </w:rPr>
        <w:t>F</w:t>
      </w:r>
      <w:r w:rsidR="00647658" w:rsidRPr="009A7163">
        <w:rPr>
          <w:rFonts w:eastAsia="MS Mincho"/>
        </w:rPr>
        <w:t>T</w:t>
      </w:r>
      <w:r w:rsidR="0004022E" w:rsidRPr="009A7163">
        <w:rPr>
          <w:rFonts w:eastAsia="MS Mincho"/>
        </w:rPr>
        <w:t xml:space="preserve"> supply chain by asking how much work is really undertaken in the production of goods and how </w:t>
      </w:r>
      <w:r w:rsidR="0004022E" w:rsidRPr="009A7163">
        <w:rPr>
          <w:rFonts w:eastAsia="MS Mincho"/>
        </w:rPr>
        <w:lastRenderedPageBreak/>
        <w:t>much does it actually cost. These gaps are fundamental opportunities to learn about where to go next.</w:t>
      </w:r>
    </w:p>
    <w:p w14:paraId="7872A747" w14:textId="09A3CE46" w:rsidR="0004022E" w:rsidRPr="009A7163" w:rsidRDefault="0004022E" w:rsidP="00293176">
      <w:pPr>
        <w:pStyle w:val="Heading2"/>
        <w:rPr>
          <w:rFonts w:eastAsia="MS Mincho"/>
          <w:lang w:val="en-GB"/>
        </w:rPr>
      </w:pPr>
      <w:bookmarkStart w:id="115" w:name="_Toc526819331"/>
      <w:r w:rsidRPr="009A7163">
        <w:rPr>
          <w:rFonts w:eastAsia="MS Mincho"/>
          <w:lang w:val="en-GB"/>
        </w:rPr>
        <w:t>5.5  Conclusion</w:t>
      </w:r>
      <w:bookmarkEnd w:id="115"/>
    </w:p>
    <w:p w14:paraId="61883A17" w14:textId="49E58EDB" w:rsidR="0004022E" w:rsidRPr="009A7163" w:rsidRDefault="0004022E" w:rsidP="008C041F">
      <w:pPr>
        <w:spacing w:line="360" w:lineRule="auto"/>
        <w:ind w:firstLine="720"/>
        <w:jc w:val="both"/>
        <w:rPr>
          <w:rFonts w:eastAsia="MS Mincho"/>
        </w:rPr>
      </w:pPr>
      <w:r w:rsidRPr="009A7163">
        <w:rPr>
          <w:rFonts w:eastAsia="MS Mincho"/>
        </w:rPr>
        <w:t>The research highlights how the participants viewed unpaid work as invisible. Participants made the link between both work and unpaid work as being vital to production and whilst the concept can be loose and vague, their reality supersedes the definition of economic vs non-economic work (in the UN-SNA accounts) and which the first</w:t>
      </w:r>
      <w:r w:rsidR="00627EF4" w:rsidRPr="009A7163">
        <w:rPr>
          <w:rFonts w:eastAsia="MS Mincho"/>
        </w:rPr>
        <w:t xml:space="preserve"> TUS study in Nicaragua by FIDEG</w:t>
      </w:r>
      <w:r w:rsidRPr="009A7163">
        <w:rPr>
          <w:rFonts w:eastAsia="MS Mincho"/>
        </w:rPr>
        <w:t xml:space="preserve"> concluded (</w:t>
      </w:r>
      <w:r w:rsidR="001107D3" w:rsidRPr="009A7163">
        <w:rPr>
          <w:rFonts w:eastAsia="MS Mincho"/>
        </w:rPr>
        <w:t xml:space="preserve">Renzi and Agurto, </w:t>
      </w:r>
      <w:r w:rsidRPr="009A7163">
        <w:rPr>
          <w:rFonts w:eastAsia="MS Mincho"/>
        </w:rPr>
        <w:t>199</w:t>
      </w:r>
      <w:r w:rsidR="001107D3" w:rsidRPr="009A7163">
        <w:rPr>
          <w:rFonts w:eastAsia="MS Mincho"/>
        </w:rPr>
        <w:t>8</w:t>
      </w:r>
      <w:r w:rsidRPr="009A7163">
        <w:rPr>
          <w:rFonts w:eastAsia="MS Mincho"/>
        </w:rPr>
        <w:t>, p.</w:t>
      </w:r>
      <w:r w:rsidR="0012567C" w:rsidRPr="009A7163">
        <w:rPr>
          <w:rFonts w:eastAsia="MS Mincho"/>
        </w:rPr>
        <w:t xml:space="preserve"> </w:t>
      </w:r>
      <w:r w:rsidRPr="009A7163">
        <w:rPr>
          <w:rFonts w:eastAsia="MS Mincho"/>
        </w:rPr>
        <w:t>67). This points to analysis made in some of the key informant interviews that argue for a feminist analysis of the economy. The economy has been equated to markets, and therein markets have been placed at the centre of the whole discourse. This binary structure is gendered. Women are excluded from the economy, but they are indispensable and vital to its functioning. Feminist economics as well as some of those interviewed propose the concept of ‘sustainability of life’ as the central analytical category of economics in order to have ‘people-centred economy’. Sustainability of life would displace markets as the function. As Fontana and Eybend (2009) argue</w:t>
      </w:r>
      <w:r w:rsidR="00171CF0" w:rsidRPr="009A7163">
        <w:rPr>
          <w:rFonts w:eastAsia="MS Mincho"/>
        </w:rPr>
        <w:t>:</w:t>
      </w:r>
    </w:p>
    <w:p w14:paraId="42296264" w14:textId="72E3DD36" w:rsidR="0004022E" w:rsidRPr="009A7163" w:rsidRDefault="0004022E" w:rsidP="008C041F">
      <w:pPr>
        <w:spacing w:after="180"/>
        <w:ind w:left="720"/>
        <w:jc w:val="both"/>
        <w:rPr>
          <w:rFonts w:eastAsia="MS Mincho"/>
        </w:rPr>
      </w:pPr>
      <w:r w:rsidRPr="009A7163">
        <w:rPr>
          <w:rFonts w:eastAsia="MS Mincho"/>
        </w:rPr>
        <w:t xml:space="preserve">In the skewed existing system, where the market sphere receives greater weight and visibility than the non-market sphere, the direction of resources and energy tends to flow from the reproduction of persons to the production of commodities. An agenda for change concerns reversing this direction in favour of a more humane process in which the quality reproduction of people is the goal and commodity production is the means. </w:t>
      </w:r>
      <w:r w:rsidR="00F832D7" w:rsidRPr="009A7163">
        <w:rPr>
          <w:rFonts w:eastAsia="MS Mincho"/>
        </w:rPr>
        <w:t>(p. 4)</w:t>
      </w:r>
    </w:p>
    <w:p w14:paraId="48B06E98" w14:textId="17E5523D" w:rsidR="0004022E" w:rsidRPr="009A7163" w:rsidRDefault="0004022E">
      <w:pPr>
        <w:spacing w:line="360" w:lineRule="auto"/>
        <w:jc w:val="both"/>
        <w:rPr>
          <w:rFonts w:eastAsia="MS Mincho"/>
        </w:rPr>
      </w:pPr>
      <w:r w:rsidRPr="009A7163">
        <w:rPr>
          <w:rFonts w:eastAsia="MS Mincho"/>
        </w:rPr>
        <w:t xml:space="preserve">This is similar to Gibson-Graham’s alternative economies model (1996) where they deconstruct the economy from ‘capitalocentrism’ to imagine the economy differently, as discussed in </w:t>
      </w:r>
      <w:r w:rsidR="00B44AC2" w:rsidRPr="009A7163">
        <w:rPr>
          <w:rFonts w:eastAsia="MS Mincho"/>
        </w:rPr>
        <w:t>Chapter Two</w:t>
      </w:r>
      <w:r w:rsidRPr="009A7163">
        <w:rPr>
          <w:rFonts w:eastAsia="MS Mincho"/>
        </w:rPr>
        <w:t xml:space="preserve">. Measuring time use is challenging from offset and whilst TUSs are a good starting point, they can never offer a complete picture of the complex realities. The research process showed interviews, focus groups and work in couples was very insightful and showed contradictions in how the participants spoke about and viewed time use. Mixed-methods were thus ideal for capturing these dynamics. The reflections from the participants on the definitions of unpaid work </w:t>
      </w:r>
      <w:r w:rsidR="0012567C" w:rsidRPr="009A7163">
        <w:rPr>
          <w:rFonts w:eastAsia="MS Mincho"/>
        </w:rPr>
        <w:t>are</w:t>
      </w:r>
      <w:r w:rsidRPr="009A7163">
        <w:rPr>
          <w:rFonts w:eastAsia="MS Mincho"/>
        </w:rPr>
        <w:t xml:space="preserve"> important</w:t>
      </w:r>
      <w:r w:rsidR="0012567C" w:rsidRPr="009A7163">
        <w:rPr>
          <w:rFonts w:eastAsia="MS Mincho"/>
        </w:rPr>
        <w:t>,</w:t>
      </w:r>
      <w:r w:rsidRPr="009A7163">
        <w:rPr>
          <w:rFonts w:eastAsia="MS Mincho"/>
        </w:rPr>
        <w:t xml:space="preserve"> and whilst the definitions of unpaid work show variations in the research, the act of asking people to define and reflect upon unpaid work led to </w:t>
      </w:r>
      <w:r w:rsidR="00F832D7" w:rsidRPr="009A7163">
        <w:rPr>
          <w:rFonts w:eastAsia="MS Mincho"/>
        </w:rPr>
        <w:t>several</w:t>
      </w:r>
      <w:r w:rsidRPr="009A7163">
        <w:rPr>
          <w:rFonts w:eastAsia="MS Mincho"/>
        </w:rPr>
        <w:t xml:space="preserve"> points: First, the act of measuring unpaid work has rarely been done. In Nicaragua, there are only two national studies. Second, this led to discussions not only in the community, but also with other industry players as noted in the roundtable discussion. </w:t>
      </w:r>
    </w:p>
    <w:p w14:paraId="338F9603" w14:textId="0B537E89" w:rsidR="0004022E" w:rsidRPr="009A7163" w:rsidRDefault="0004022E">
      <w:pPr>
        <w:spacing w:line="360" w:lineRule="auto"/>
        <w:ind w:firstLine="720"/>
        <w:jc w:val="both"/>
        <w:rPr>
          <w:rFonts w:eastAsia="MS Mincho"/>
        </w:rPr>
      </w:pPr>
      <w:r w:rsidRPr="009A7163">
        <w:rPr>
          <w:rFonts w:eastAsia="MS Mincho"/>
        </w:rPr>
        <w:lastRenderedPageBreak/>
        <w:t>Pricing raised issues of what should be included and led to in some cases, the men arguing that they too are underpaid, which raises issues of the living wage debate. It also pointed to oppression on multiple levels</w:t>
      </w:r>
      <w:r w:rsidR="0012567C" w:rsidRPr="009A7163">
        <w:rPr>
          <w:rFonts w:eastAsia="MS Mincho"/>
        </w:rPr>
        <w:t>:</w:t>
      </w:r>
      <w:r w:rsidRPr="009A7163">
        <w:rPr>
          <w:rFonts w:eastAsia="MS Mincho"/>
        </w:rPr>
        <w:t xml:space="preserve"> </w:t>
      </w:r>
      <w:r w:rsidR="0012567C" w:rsidRPr="009A7163">
        <w:rPr>
          <w:rFonts w:eastAsia="MS Mincho"/>
        </w:rPr>
        <w:t>men</w:t>
      </w:r>
      <w:r w:rsidRPr="009A7163">
        <w:rPr>
          <w:rFonts w:eastAsia="MS Mincho"/>
        </w:rPr>
        <w:t xml:space="preserve"> felt they were also underpaid and younger women and girls were forced to take on unpaid work</w:t>
      </w:r>
      <w:r w:rsidR="0012567C" w:rsidRPr="009A7163">
        <w:rPr>
          <w:rFonts w:eastAsia="MS Mincho"/>
        </w:rPr>
        <w:t>,</w:t>
      </w:r>
      <w:r w:rsidRPr="009A7163">
        <w:rPr>
          <w:rFonts w:eastAsia="MS Mincho"/>
        </w:rPr>
        <w:t xml:space="preserve"> which will be touched upon in the next chapter. The issue of how much women should be paid and how should it be valued led to discussions on the spectrum of what can be class</w:t>
      </w:r>
      <w:r w:rsidR="00F832D7" w:rsidRPr="009A7163">
        <w:rPr>
          <w:rFonts w:eastAsia="MS Mincho"/>
        </w:rPr>
        <w:t>ified</w:t>
      </w:r>
      <w:r w:rsidRPr="009A7163">
        <w:rPr>
          <w:rFonts w:eastAsia="MS Mincho"/>
        </w:rPr>
        <w:t xml:space="preserve"> as unpaid work and who should pay was more complicated. Valuing unpaid labour also raises a number of issues and in particular that incorporating domestic labour into new definitions of economic activity does not necessarily achieve feminist goals of decentring the market and revealing the feminine other. This leads to the proposal of the concept of ‘sustainability of life’ (social </w:t>
      </w:r>
      <w:r w:rsidR="000F6659" w:rsidRPr="009A7163">
        <w:rPr>
          <w:rFonts w:eastAsia="MS Mincho"/>
        </w:rPr>
        <w:t>provisioning</w:t>
      </w:r>
      <w:r w:rsidRPr="009A7163">
        <w:rPr>
          <w:rFonts w:eastAsia="MS Mincho"/>
        </w:rPr>
        <w:t>), as opposed to using economic/non-economic, work/not work</w:t>
      </w:r>
      <w:r w:rsidR="0012567C" w:rsidRPr="009A7163">
        <w:rPr>
          <w:rFonts w:eastAsia="MS Mincho"/>
        </w:rPr>
        <w:t xml:space="preserve"> or</w:t>
      </w:r>
      <w:r w:rsidRPr="009A7163">
        <w:rPr>
          <w:rFonts w:eastAsia="MS Mincho"/>
        </w:rPr>
        <w:t xml:space="preserve"> masculine/feminine. The proposal would be, as Carrasco (2003) observe</w:t>
      </w:r>
      <w:r w:rsidR="0012567C" w:rsidRPr="009A7163">
        <w:rPr>
          <w:rFonts w:eastAsia="MS Mincho"/>
        </w:rPr>
        <w:t>s</w:t>
      </w:r>
      <w:r w:rsidRPr="009A7163">
        <w:rPr>
          <w:rFonts w:eastAsia="MS Mincho"/>
        </w:rPr>
        <w:t>, ‘to explicitly focus on how each society solves its problems in sustaining human life</w:t>
      </w:r>
      <w:r w:rsidR="00FE5EB3" w:rsidRPr="009A7163">
        <w:rPr>
          <w:rFonts w:eastAsia="MS Mincho"/>
        </w:rPr>
        <w:t>…</w:t>
      </w:r>
      <w:r w:rsidRPr="009A7163">
        <w:rPr>
          <w:rFonts w:eastAsia="MS Mincho"/>
        </w:rPr>
        <w:t>which mechanisms are used to meet human needs’ (p. 12). Carrasco (2003, p. 1) further argue</w:t>
      </w:r>
      <w:r w:rsidR="0012567C" w:rsidRPr="009A7163">
        <w:rPr>
          <w:rFonts w:eastAsia="MS Mincho"/>
        </w:rPr>
        <w:t>s</w:t>
      </w:r>
      <w:r w:rsidRPr="009A7163">
        <w:rPr>
          <w:rFonts w:eastAsia="MS Mincho"/>
        </w:rPr>
        <w:t>:</w:t>
      </w:r>
    </w:p>
    <w:p w14:paraId="267AADEF" w14:textId="77777777" w:rsidR="0004022E" w:rsidRPr="009A7163" w:rsidRDefault="0004022E">
      <w:pPr>
        <w:spacing w:after="180"/>
        <w:ind w:left="720"/>
        <w:jc w:val="both"/>
        <w:rPr>
          <w:rFonts w:eastAsia="MS Mincho"/>
        </w:rPr>
      </w:pPr>
      <w:r w:rsidRPr="009A7163">
        <w:rPr>
          <w:rFonts w:eastAsia="MS Mincho"/>
        </w:rPr>
        <w:t>By focusing explicitly on how each society solves its problems of sustaining human life, it will certainly offer us a new perspective on social organization and allow us to make visible all the parts of the process that tend to be implicit and which are not usually named. This new perspective also makes it possible to highlight the specific interests which are of priority to a society, to recover all work processes, to name those who take responsibility for the care of life, to study gender and power relations and, consequently, to analyse how time is structured and the working life different sectors of the population. (my translation)</w:t>
      </w:r>
    </w:p>
    <w:p w14:paraId="4B6F702E" w14:textId="77777777" w:rsidR="0004022E" w:rsidRPr="009A7163" w:rsidRDefault="0004022E">
      <w:pPr>
        <w:spacing w:line="360" w:lineRule="auto"/>
        <w:ind w:firstLine="720"/>
        <w:jc w:val="both"/>
      </w:pPr>
      <w:r w:rsidRPr="009A7163">
        <w:rPr>
          <w:rFonts w:eastAsia="MS Mincho"/>
        </w:rPr>
        <w:t xml:space="preserve">An analysis of time use that considers the proposal of ‘the sustainability of life’ would entail an emphasis on power relationships and the social organization of work in a given context. In order to analyse power relations, first it is important to examine time and labour distribution as well as roles and responsibilities. This leads on to the next chapter which looks at family distribution of time and labour in both case studies. </w:t>
      </w:r>
    </w:p>
    <w:p w14:paraId="67FE49BA" w14:textId="77777777" w:rsidR="0004022E" w:rsidRPr="009A7163" w:rsidRDefault="0004022E">
      <w:pPr>
        <w:rPr>
          <w:b/>
          <w:lang w:val="es-NI"/>
        </w:rPr>
      </w:pPr>
    </w:p>
    <w:p w14:paraId="13D42801" w14:textId="77777777" w:rsidR="00171CF0" w:rsidRPr="009A7163" w:rsidRDefault="00171CF0" w:rsidP="00FE246F">
      <w:pPr>
        <w:rPr>
          <w:b/>
          <w:lang w:val="es-NI"/>
        </w:rPr>
        <w:sectPr w:rsidR="00171CF0" w:rsidRPr="009A7163" w:rsidSect="00171CF0">
          <w:footnotePr>
            <w:numRestart w:val="eachSect"/>
          </w:footnotePr>
          <w:pgSz w:w="11907" w:h="16839" w:code="9"/>
          <w:pgMar w:top="1440" w:right="1440" w:bottom="1440" w:left="2160" w:header="706" w:footer="706" w:gutter="0"/>
          <w:cols w:space="708"/>
          <w:docGrid w:linePitch="360"/>
        </w:sectPr>
      </w:pPr>
    </w:p>
    <w:p w14:paraId="3E7A66AD" w14:textId="6072122F" w:rsidR="008C041F" w:rsidRPr="009A7163" w:rsidRDefault="008C041F" w:rsidP="00293176">
      <w:pPr>
        <w:pStyle w:val="Heading1"/>
        <w:rPr>
          <w:sz w:val="28"/>
        </w:rPr>
      </w:pPr>
      <w:bookmarkStart w:id="116" w:name="_Toc526819332"/>
      <w:r w:rsidRPr="009A7163">
        <w:rPr>
          <w:sz w:val="28"/>
        </w:rPr>
        <w:lastRenderedPageBreak/>
        <w:t>Chapter Six: Time Use and Distribution of Paid and Unpaid Work</w:t>
      </w:r>
      <w:bookmarkEnd w:id="116"/>
    </w:p>
    <w:p w14:paraId="768546A2" w14:textId="62306FC5" w:rsidR="00C20FCD" w:rsidRPr="009A7163" w:rsidRDefault="00C20FCD" w:rsidP="00293176">
      <w:pPr>
        <w:pStyle w:val="NoSpacing"/>
        <w:rPr>
          <w:sz w:val="28"/>
        </w:rPr>
      </w:pPr>
    </w:p>
    <w:p w14:paraId="71F3B580" w14:textId="77777777" w:rsidR="00C20FCD" w:rsidRPr="009A7163" w:rsidRDefault="00C20FCD" w:rsidP="00293176">
      <w:pPr>
        <w:pStyle w:val="NoSpacing"/>
        <w:rPr>
          <w:rFonts w:eastAsiaTheme="minorHAnsi"/>
          <w:lang w:val="en-GB" w:eastAsia="en-GB"/>
        </w:rPr>
      </w:pPr>
    </w:p>
    <w:p w14:paraId="2D86EB0F" w14:textId="0D2BE9CB" w:rsidR="00C20FCD" w:rsidRPr="009A7163" w:rsidRDefault="00A133BF" w:rsidP="00293176">
      <w:pPr>
        <w:pStyle w:val="Heading2"/>
        <w:rPr>
          <w:rFonts w:eastAsiaTheme="minorHAnsi"/>
          <w:lang w:val="en-GB" w:eastAsia="en-GB"/>
        </w:rPr>
      </w:pPr>
      <w:bookmarkStart w:id="117" w:name="_Toc526819333"/>
      <w:r w:rsidRPr="009A7163">
        <w:rPr>
          <w:rFonts w:eastAsiaTheme="minorHAnsi"/>
          <w:lang w:val="en-GB" w:eastAsia="en-GB"/>
        </w:rPr>
        <w:t xml:space="preserve">6.1  </w:t>
      </w:r>
      <w:r w:rsidR="00C20FCD" w:rsidRPr="009A7163">
        <w:rPr>
          <w:rFonts w:eastAsiaTheme="minorHAnsi"/>
          <w:lang w:val="en-GB" w:eastAsia="en-GB"/>
        </w:rPr>
        <w:t>Introduction</w:t>
      </w:r>
      <w:bookmarkEnd w:id="117"/>
    </w:p>
    <w:p w14:paraId="2BF46628" w14:textId="43CC69B1"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This chapter will discuss the</w:t>
      </w:r>
      <w:r w:rsidRPr="009A7163">
        <w:rPr>
          <w:rFonts w:eastAsiaTheme="minorHAnsi"/>
          <w:b/>
          <w:lang w:eastAsia="en-GB"/>
        </w:rPr>
        <w:t xml:space="preserve"> </w:t>
      </w:r>
      <w:r w:rsidRPr="009A7163">
        <w:rPr>
          <w:rFonts w:eastAsiaTheme="minorHAnsi"/>
          <w:lang w:eastAsia="en-GB"/>
        </w:rPr>
        <w:t>family distribution of paid and unpaid labour in and among coffee and sesame producers and factors that influence this distribution.  The chapter will touch on key messages from the fieldwork from the two case studies. Findings will draw upon results from the sample and overall group,</w:t>
      </w:r>
      <w:r w:rsidRPr="009A7163">
        <w:rPr>
          <w:rFonts w:eastAsiaTheme="minorHAnsi"/>
          <w:vertAlign w:val="superscript"/>
          <w:lang w:eastAsia="en-GB"/>
        </w:rPr>
        <w:footnoteReference w:id="112"/>
      </w:r>
      <w:r w:rsidRPr="009A7163">
        <w:rPr>
          <w:rFonts w:eastAsiaTheme="minorHAnsi"/>
          <w:lang w:eastAsia="en-GB"/>
        </w:rPr>
        <w:t xml:space="preserve"> as well as focus group discussions, household surveys and expert interviews. Findings show the amount of work has not changed since joining the initiative and social norms continue to define roles, responsibilities and time use. The burden of work that falls proportionately on the women this affects their choices and access to resources. What follows is a discussion of key messages from each case study.</w:t>
      </w:r>
    </w:p>
    <w:p w14:paraId="59FFDFDA" w14:textId="7D42690F" w:rsidR="00C20FCD" w:rsidRPr="009A7163" w:rsidRDefault="00A133BF" w:rsidP="00293176">
      <w:pPr>
        <w:pStyle w:val="Heading2"/>
        <w:rPr>
          <w:rFonts w:eastAsiaTheme="minorHAnsi"/>
          <w:lang w:val="en-GB" w:eastAsia="en-GB"/>
        </w:rPr>
      </w:pPr>
      <w:bookmarkStart w:id="118" w:name="_Toc526819334"/>
      <w:r w:rsidRPr="009A7163">
        <w:rPr>
          <w:rFonts w:eastAsiaTheme="minorHAnsi"/>
          <w:lang w:val="en-GB" w:eastAsia="en-GB"/>
        </w:rPr>
        <w:t xml:space="preserve">6.2  </w:t>
      </w:r>
      <w:r w:rsidR="00C20FCD" w:rsidRPr="009A7163">
        <w:rPr>
          <w:rFonts w:eastAsiaTheme="minorHAnsi"/>
          <w:lang w:val="en-GB" w:eastAsia="en-GB"/>
        </w:rPr>
        <w:t>Case Study One: Sesame</w:t>
      </w:r>
      <w:bookmarkEnd w:id="118"/>
    </w:p>
    <w:p w14:paraId="483B876F" w14:textId="52D06D52"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Women's days in sesame production are long, arduous and repetitive. Women work over 10 hours</w:t>
      </w:r>
      <w:r w:rsidR="00D702E8" w:rsidRPr="009A7163">
        <w:rPr>
          <w:rFonts w:eastAsiaTheme="minorHAnsi"/>
          <w:vertAlign w:val="superscript"/>
          <w:lang w:eastAsia="en-GB"/>
        </w:rPr>
        <w:t xml:space="preserve"> </w:t>
      </w:r>
      <w:r w:rsidRPr="009A7163">
        <w:rPr>
          <w:rFonts w:eastAsiaTheme="minorHAnsi"/>
          <w:lang w:eastAsia="en-GB"/>
        </w:rPr>
        <w:t>per day and this includes paid work, community work and unpaid work (</w:t>
      </w:r>
      <w:r w:rsidR="003F4DB5" w:rsidRPr="009A7163">
        <w:rPr>
          <w:rFonts w:eastAsiaTheme="minorHAnsi"/>
          <w:lang w:eastAsia="en-GB"/>
        </w:rPr>
        <w:t>discussed in Chapter Two</w:t>
      </w:r>
      <w:r w:rsidRPr="009A7163">
        <w:rPr>
          <w:rFonts w:eastAsiaTheme="minorHAnsi"/>
          <w:lang w:eastAsia="en-GB"/>
        </w:rPr>
        <w:t>). In the overall group, the women worked on average 11 hours per day and this did not change during the yearly agricultural cycle. The results from the sample group showed that women worked on average 10 hours per day; however, this increased to 12 hours in the non-harvest</w:t>
      </w:r>
      <w:r w:rsidR="00020A19" w:rsidRPr="009A7163">
        <w:rPr>
          <w:rStyle w:val="FootnoteReference"/>
          <w:rFonts w:eastAsiaTheme="minorHAnsi"/>
          <w:lang w:eastAsia="en-GB"/>
        </w:rPr>
        <w:footnoteReference w:id="113"/>
      </w:r>
      <w:r w:rsidRPr="009A7163">
        <w:rPr>
          <w:rFonts w:eastAsiaTheme="minorHAnsi"/>
          <w:lang w:eastAsia="en-GB"/>
        </w:rPr>
        <w:t xml:space="preserve"> </w:t>
      </w:r>
      <w:r w:rsidR="0012567C" w:rsidRPr="009A7163">
        <w:rPr>
          <w:rFonts w:eastAsiaTheme="minorHAnsi"/>
          <w:lang w:eastAsia="en-GB"/>
        </w:rPr>
        <w:t>during which time</w:t>
      </w:r>
      <w:r w:rsidRPr="009A7163">
        <w:rPr>
          <w:rFonts w:eastAsiaTheme="minorHAnsi"/>
          <w:lang w:eastAsia="en-GB"/>
        </w:rPr>
        <w:t xml:space="preserve"> more community and paid work was undertaken.</w:t>
      </w:r>
      <w:r w:rsidR="003B3CE3" w:rsidRPr="009A7163">
        <w:rPr>
          <w:rFonts w:eastAsiaTheme="minorHAnsi"/>
          <w:lang w:eastAsia="en-GB"/>
        </w:rPr>
        <w:t xml:space="preserve"> </w:t>
      </w:r>
      <w:r w:rsidRPr="009A7163">
        <w:rPr>
          <w:rFonts w:eastAsiaTheme="minorHAnsi"/>
          <w:lang w:eastAsia="en-GB"/>
        </w:rPr>
        <w:t>During the harvest period, no community work was re</w:t>
      </w:r>
      <w:r w:rsidR="0012567C" w:rsidRPr="009A7163">
        <w:rPr>
          <w:rFonts w:eastAsiaTheme="minorHAnsi"/>
          <w:lang w:eastAsia="en-GB"/>
        </w:rPr>
        <w:t>cord</w:t>
      </w:r>
      <w:r w:rsidRPr="009A7163">
        <w:rPr>
          <w:rFonts w:eastAsiaTheme="minorHAnsi"/>
          <w:lang w:eastAsia="en-GB"/>
        </w:rPr>
        <w:t>ed</w:t>
      </w:r>
      <w:r w:rsidR="0012567C" w:rsidRPr="009A7163">
        <w:rPr>
          <w:rFonts w:eastAsiaTheme="minorHAnsi"/>
          <w:lang w:eastAsia="en-GB"/>
        </w:rPr>
        <w:t>,</w:t>
      </w:r>
      <w:r w:rsidRPr="009A7163">
        <w:rPr>
          <w:rFonts w:eastAsiaTheme="minorHAnsi"/>
          <w:lang w:eastAsia="en-GB"/>
        </w:rPr>
        <w:t xml:space="preserve"> but during the non-harvest period it totalled on average 0.5 hours per day</w:t>
      </w:r>
      <w:r w:rsidR="0012567C" w:rsidRPr="009A7163">
        <w:rPr>
          <w:rFonts w:eastAsiaTheme="minorHAnsi"/>
          <w:lang w:eastAsia="en-GB"/>
        </w:rPr>
        <w:t>. T</w:t>
      </w:r>
      <w:r w:rsidRPr="009A7163">
        <w:rPr>
          <w:rFonts w:eastAsiaTheme="minorHAnsi"/>
          <w:lang w:eastAsia="en-GB"/>
        </w:rPr>
        <w:t xml:space="preserve">he reported community activities were meetings related to the initiative. The majority of the work women reported undertaking was </w:t>
      </w:r>
      <w:r w:rsidR="00647658" w:rsidRPr="009A7163">
        <w:rPr>
          <w:rFonts w:eastAsiaTheme="minorHAnsi"/>
          <w:lang w:eastAsia="en-GB"/>
        </w:rPr>
        <w:t>unpaid care work (UCW)</w:t>
      </w:r>
      <w:r w:rsidRPr="009A7163">
        <w:rPr>
          <w:rFonts w:eastAsiaTheme="minorHAnsi"/>
          <w:lang w:eastAsia="en-GB"/>
        </w:rPr>
        <w:t xml:space="preserve">, which took up to 8 hours on average per day. </w:t>
      </w:r>
      <w:r w:rsidR="003A2C87" w:rsidRPr="009A7163">
        <w:rPr>
          <w:rFonts w:eastAsiaTheme="minorHAnsi"/>
          <w:lang w:eastAsia="en-GB"/>
        </w:rPr>
        <w:t>UCW</w:t>
      </w:r>
      <w:r w:rsidRPr="009A7163">
        <w:rPr>
          <w:rFonts w:eastAsiaTheme="minorHAnsi"/>
          <w:lang w:eastAsia="en-GB"/>
        </w:rPr>
        <w:t xml:space="preserve"> activities included: cooking, collecting water and firewood, washing and ironing clothes, cleaning the house, working on their house and doing repairs, household shopping, childcare, care of animals and care of sick, elderly and pregnant women. The overall group and the sample group spent an average of 8 hours a day on these activities. Monotony and lack of freedom to move </w:t>
      </w:r>
      <w:r w:rsidRPr="009A7163">
        <w:rPr>
          <w:rFonts w:eastAsiaTheme="minorHAnsi"/>
          <w:lang w:eastAsia="en-GB"/>
        </w:rPr>
        <w:lastRenderedPageBreak/>
        <w:t>was also mentioned in the focus groups and interviews when the women spoke about their time. One women spoke of the monotony of her daily routine and another of her lack of mobility during harvest time:</w:t>
      </w:r>
    </w:p>
    <w:p w14:paraId="2EC793FA" w14:textId="3795DA54" w:rsidR="00C20FCD" w:rsidRPr="009A7163" w:rsidRDefault="00C20FCD" w:rsidP="00293176">
      <w:pPr>
        <w:spacing w:after="180"/>
        <w:ind w:left="720"/>
        <w:jc w:val="both"/>
        <w:rPr>
          <w:rFonts w:eastAsiaTheme="minorHAnsi"/>
          <w:lang w:eastAsia="en-GB"/>
        </w:rPr>
      </w:pPr>
      <w:r w:rsidRPr="009A7163">
        <w:rPr>
          <w:rFonts w:eastAsiaTheme="minorHAnsi"/>
          <w:lang w:eastAsia="en-GB"/>
        </w:rPr>
        <w:t>It does feel different at harvest time but only because we have money. Work is either the same or even harder</w:t>
      </w:r>
      <w:r w:rsidR="00647658" w:rsidRPr="009A7163">
        <w:rPr>
          <w:rFonts w:eastAsiaTheme="minorHAnsi"/>
          <w:lang w:eastAsia="en-GB"/>
        </w:rPr>
        <w:t>,</w:t>
      </w:r>
      <w:r w:rsidRPr="009A7163">
        <w:rPr>
          <w:rFonts w:eastAsiaTheme="minorHAnsi"/>
          <w:lang w:eastAsia="en-GB"/>
        </w:rPr>
        <w:t xml:space="preserve"> and really even at harvest time, we always have to do the same type of work</w:t>
      </w:r>
      <w:r w:rsidR="00FE5EB3" w:rsidRPr="009A7163">
        <w:rPr>
          <w:rFonts w:eastAsiaTheme="minorHAnsi"/>
          <w:lang w:eastAsia="en-GB"/>
        </w:rPr>
        <w:t>…</w:t>
      </w:r>
      <w:r w:rsidRPr="009A7163">
        <w:rPr>
          <w:rFonts w:eastAsiaTheme="minorHAnsi"/>
          <w:lang w:eastAsia="en-GB"/>
        </w:rPr>
        <w:t>the only difference is we have money and corn, wheat, beans</w:t>
      </w:r>
      <w:r w:rsidR="00FE5EB3" w:rsidRPr="009A7163">
        <w:rPr>
          <w:rFonts w:eastAsiaTheme="minorHAnsi"/>
          <w:lang w:eastAsia="en-GB"/>
        </w:rPr>
        <w:t>…</w:t>
      </w:r>
      <w:r w:rsidR="00647658" w:rsidRPr="009A7163">
        <w:rPr>
          <w:rFonts w:eastAsiaTheme="minorHAnsi"/>
          <w:lang w:eastAsia="en-GB"/>
        </w:rPr>
        <w:t xml:space="preserve"> </w:t>
      </w:r>
      <w:r w:rsidRPr="009A7163">
        <w:rPr>
          <w:rFonts w:eastAsiaTheme="minorHAnsi"/>
          <w:lang w:eastAsia="en-GB"/>
        </w:rPr>
        <w:t>(Interview, female, 45–54 years old, married, daughter of member, producer, less than three years in the initiative)</w:t>
      </w:r>
    </w:p>
    <w:p w14:paraId="3984B1D1" w14:textId="49C6E518" w:rsidR="00C20FCD" w:rsidRPr="009A7163" w:rsidRDefault="00C20FCD" w:rsidP="00293176">
      <w:pPr>
        <w:widowControl w:val="0"/>
        <w:tabs>
          <w:tab w:val="left" w:pos="220"/>
          <w:tab w:val="left" w:pos="720"/>
        </w:tabs>
        <w:autoSpaceDE w:val="0"/>
        <w:autoSpaceDN w:val="0"/>
        <w:adjustRightInd w:val="0"/>
        <w:spacing w:after="180"/>
        <w:ind w:left="720"/>
        <w:jc w:val="both"/>
        <w:rPr>
          <w:rFonts w:eastAsiaTheme="minorHAnsi"/>
          <w:lang w:eastAsia="en-GB"/>
        </w:rPr>
      </w:pPr>
      <w:r w:rsidRPr="009A7163">
        <w:rPr>
          <w:rFonts w:eastAsiaTheme="minorHAnsi"/>
          <w:lang w:eastAsia="en-GB"/>
        </w:rPr>
        <w:t>If I can, I will go out</w:t>
      </w:r>
      <w:r w:rsidR="0012567C" w:rsidRPr="009A7163">
        <w:rPr>
          <w:rFonts w:eastAsiaTheme="minorHAnsi"/>
          <w:lang w:eastAsia="en-GB"/>
        </w:rPr>
        <w:t>,</w:t>
      </w:r>
      <w:r w:rsidRPr="009A7163">
        <w:rPr>
          <w:rFonts w:eastAsiaTheme="minorHAnsi"/>
          <w:lang w:eastAsia="en-GB"/>
        </w:rPr>
        <w:t xml:space="preserve"> but when its harvest time I don’t ever leave the house. (Interview, 35–44 years old, married, member, producer, less than 3 years in the initiative)</w:t>
      </w:r>
    </w:p>
    <w:p w14:paraId="32A66A28" w14:textId="22F7983F"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The burden of unpaid work falls on women due to persistent social norms, which will be explored in more detail in </w:t>
      </w:r>
      <w:r w:rsidR="00B44AC2" w:rsidRPr="009A7163">
        <w:rPr>
          <w:rFonts w:eastAsiaTheme="minorHAnsi"/>
          <w:lang w:eastAsia="en-GB"/>
        </w:rPr>
        <w:t>Chapter Six</w:t>
      </w:r>
      <w:r w:rsidRPr="009A7163">
        <w:rPr>
          <w:rFonts w:eastAsiaTheme="minorHAnsi"/>
          <w:lang w:eastAsia="en-GB"/>
        </w:rPr>
        <w:t>. The prevalence of rigid social norms was highlighted in a number of the focus groups. One man said: ‘Honestly, us men won’t make tortillas, I for one, don’t like it. It’s not because it’s hard to do but because making tortillas is a really domestic job</w:t>
      </w:r>
      <w:r w:rsidR="00FE5EB3" w:rsidRPr="009A7163">
        <w:rPr>
          <w:rFonts w:eastAsiaTheme="minorHAnsi"/>
          <w:lang w:eastAsia="en-GB"/>
        </w:rPr>
        <w:t>…</w:t>
      </w:r>
      <w:r w:rsidRPr="009A7163">
        <w:rPr>
          <w:rFonts w:eastAsiaTheme="minorHAnsi"/>
          <w:lang w:eastAsia="en-GB"/>
        </w:rPr>
        <w:t xml:space="preserve">its more for women than for men’ (Focus Group Men, Achuapa, February 6, 2015). The household survey results also show that after the women, daughters and daughters-in-law perform the majority of </w:t>
      </w:r>
      <w:r w:rsidR="003A2C87" w:rsidRPr="009A7163">
        <w:rPr>
          <w:rFonts w:eastAsiaTheme="minorHAnsi"/>
          <w:lang w:eastAsia="en-GB"/>
        </w:rPr>
        <w:t>UCW</w:t>
      </w:r>
      <w:r w:rsidRPr="009A7163">
        <w:rPr>
          <w:rFonts w:eastAsiaTheme="minorHAnsi"/>
          <w:lang w:eastAsia="en-GB"/>
        </w:rPr>
        <w:t xml:space="preserve"> (35%). Very little work is redistributed to men (17%) or sons (13%) as depicted in Figure </w:t>
      </w:r>
      <w:r w:rsidR="00A133BF" w:rsidRPr="009A7163">
        <w:rPr>
          <w:rFonts w:eastAsiaTheme="minorHAnsi"/>
          <w:lang w:eastAsia="en-GB"/>
        </w:rPr>
        <w:t>6.1</w:t>
      </w:r>
      <w:r w:rsidRPr="009A7163">
        <w:rPr>
          <w:rFonts w:eastAsiaTheme="minorHAnsi"/>
          <w:lang w:eastAsia="en-GB"/>
        </w:rPr>
        <w:t>.</w:t>
      </w:r>
    </w:p>
    <w:p w14:paraId="6EA3E4A1" w14:textId="496F983E" w:rsidR="00C20FCD" w:rsidRPr="009A7163" w:rsidRDefault="00C20FCD" w:rsidP="00293176">
      <w:pPr>
        <w:pStyle w:val="FigureTOCCaption"/>
        <w:rPr>
          <w:rFonts w:eastAsiaTheme="minorHAnsi"/>
          <w:lang w:val="en-GB" w:eastAsia="en-GB"/>
        </w:rPr>
      </w:pPr>
      <w:bookmarkStart w:id="119" w:name="_Toc526710026"/>
      <w:r w:rsidRPr="009A7163">
        <w:rPr>
          <w:rFonts w:eastAsiaTheme="minorHAnsi"/>
          <w:lang w:val="en-GB" w:eastAsia="en-GB"/>
        </w:rPr>
        <w:t xml:space="preserve">Figure </w:t>
      </w:r>
      <w:r w:rsidR="00A133BF" w:rsidRPr="009A7163">
        <w:rPr>
          <w:rFonts w:eastAsiaTheme="minorHAnsi"/>
          <w:lang w:val="en-GB" w:eastAsia="en-GB"/>
        </w:rPr>
        <w:t>6.1.</w:t>
      </w:r>
      <w:r w:rsidRPr="009A7163">
        <w:rPr>
          <w:rFonts w:eastAsiaTheme="minorHAnsi"/>
          <w:lang w:val="en-GB" w:eastAsia="en-GB"/>
        </w:rPr>
        <w:t xml:space="preserve"> Household Survey Question 6.1</w:t>
      </w:r>
      <w:bookmarkEnd w:id="119"/>
    </w:p>
    <w:p w14:paraId="2086EE66" w14:textId="77777777" w:rsidR="00C20FCD" w:rsidRPr="009A7163" w:rsidRDefault="00C20FCD" w:rsidP="008C041F">
      <w:pPr>
        <w:spacing w:line="360" w:lineRule="auto"/>
        <w:rPr>
          <w:rFonts w:eastAsiaTheme="minorHAnsi"/>
          <w:lang w:eastAsia="en-GB"/>
        </w:rPr>
      </w:pPr>
      <w:r w:rsidRPr="009A7163">
        <w:rPr>
          <w:rFonts w:eastAsiaTheme="minorHAnsi"/>
          <w:noProof/>
          <w:lang w:eastAsia="en-GB"/>
        </w:rPr>
        <w:drawing>
          <wp:inline distT="0" distB="0" distL="0" distR="0" wp14:anchorId="3B550A0E" wp14:editId="30799F2B">
            <wp:extent cx="5851877" cy="3567289"/>
            <wp:effectExtent l="0" t="0" r="3175" b="19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7486E8" w14:textId="43CE3249" w:rsidR="00C20FCD" w:rsidRPr="009A7163" w:rsidRDefault="005F5040" w:rsidP="00293176">
      <w:pPr>
        <w:spacing w:before="360" w:line="360" w:lineRule="auto"/>
        <w:ind w:firstLine="720"/>
        <w:jc w:val="both"/>
        <w:rPr>
          <w:rFonts w:eastAsiaTheme="minorHAnsi"/>
          <w:lang w:eastAsia="en-GB"/>
        </w:rPr>
      </w:pPr>
      <w:r w:rsidRPr="009A7163">
        <w:rPr>
          <w:rFonts w:eastAsiaTheme="minorHAnsi"/>
          <w:lang w:eastAsia="en-GB"/>
        </w:rPr>
        <w:lastRenderedPageBreak/>
        <w:t xml:space="preserve">The data collected from TUS as well as focus groups, surveys and interview with key informants all indicated that </w:t>
      </w:r>
      <w:r w:rsidR="00C20FCD" w:rsidRPr="009A7163">
        <w:rPr>
          <w:rFonts w:eastAsiaTheme="minorHAnsi"/>
          <w:lang w:eastAsia="en-GB"/>
        </w:rPr>
        <w:t xml:space="preserve">women and younger women undertake </w:t>
      </w:r>
      <w:r w:rsidR="003A2C87" w:rsidRPr="009A7163">
        <w:rPr>
          <w:rFonts w:eastAsiaTheme="minorHAnsi"/>
          <w:lang w:eastAsia="en-GB"/>
        </w:rPr>
        <w:t>UCW</w:t>
      </w:r>
      <w:r w:rsidR="00C20FCD" w:rsidRPr="009A7163">
        <w:rPr>
          <w:rFonts w:eastAsiaTheme="minorHAnsi"/>
          <w:lang w:eastAsia="en-GB"/>
        </w:rPr>
        <w:t xml:space="preserve">. One women in the focus group in Achuapa said: ‘For me to participate in work of the initiative, even like this meeting now, I [have to] leave my 11 year old daughter in charge. She has to collect water, grind the corn, cook. When I am sick, my four boys wash their own clothes and this is a real help for me’ (Focus Group Women, Achuapa, February 6, 2015). The men also said that when their wives were not there they send their children (girls and boys) to do the pending unpaid work as a means to ‘help’ their wives but without directly getting involved or seeing it as part of their responsibility to (Focus Group Men, Achuapa, February 6, 2015). This highlights the issue of intersectionality. </w:t>
      </w:r>
      <w:r w:rsidR="00563851" w:rsidRPr="009A7163">
        <w:rPr>
          <w:rFonts w:eastAsiaTheme="minorHAnsi"/>
          <w:lang w:eastAsia="en-GB"/>
        </w:rPr>
        <w:t>Ana Portocarrero</w:t>
      </w:r>
      <w:r w:rsidR="005B207F" w:rsidRPr="009A7163">
        <w:rPr>
          <w:rFonts w:eastAsiaTheme="minorHAnsi"/>
          <w:lang w:eastAsia="en-GB"/>
        </w:rPr>
        <w:t>,</w:t>
      </w:r>
      <w:r w:rsidR="00C20FCD" w:rsidRPr="009A7163">
        <w:rPr>
          <w:rFonts w:eastAsiaTheme="minorHAnsi"/>
          <w:lang w:eastAsia="en-GB"/>
        </w:rPr>
        <w:t xml:space="preserve"> Academic Coordinator for a Master’s Gender Program at the Universidad Centroamericana in Managua, said the following:</w:t>
      </w:r>
    </w:p>
    <w:p w14:paraId="586879E6" w14:textId="586BE18D" w:rsidR="00C20FCD" w:rsidRPr="009A7163" w:rsidRDefault="00C20FCD" w:rsidP="00293176">
      <w:pPr>
        <w:spacing w:after="180"/>
        <w:ind w:left="720"/>
        <w:jc w:val="both"/>
        <w:rPr>
          <w:rFonts w:eastAsiaTheme="minorHAnsi"/>
          <w:lang w:eastAsia="en-GB"/>
        </w:rPr>
      </w:pPr>
      <w:r w:rsidRPr="009A7163">
        <w:rPr>
          <w:rFonts w:eastAsiaTheme="minorHAnsi"/>
          <w:lang w:eastAsia="en-GB"/>
        </w:rPr>
        <w:t>Depending on the spaces, I think it’s always the people with less privilege, who are typically women and also typically girls</w:t>
      </w:r>
      <w:r w:rsidR="006B0BC9" w:rsidRPr="009A7163">
        <w:rPr>
          <w:rFonts w:eastAsiaTheme="minorHAnsi"/>
          <w:lang w:eastAsia="en-GB"/>
        </w:rPr>
        <w:t>…</w:t>
      </w:r>
      <w:r w:rsidRPr="009A7163">
        <w:rPr>
          <w:rFonts w:eastAsiaTheme="minorHAnsi"/>
          <w:lang w:eastAsia="en-GB"/>
        </w:rPr>
        <w:t>however, if it’s in a household where the woman has had to migrate for work, young boys will have to take over. It depends on power dynamics in the household, who has more or less power, and so generally those who do the unpaid care work are the people with less decision-making power which is often the women and girls. However, when a household’s structures change, other people have to take on a lot of the unpaid work such as grandmothers, aunts, or the wife of a son. However, unpaid care work is also undertaken by men who can’t get a job. So, it’s not always so rigid. In a small number of cases men do work because they can’t get work. (Expert Interview, March 14, 2016)</w:t>
      </w:r>
    </w:p>
    <w:p w14:paraId="3B196411" w14:textId="7399828D" w:rsidR="00C20FCD" w:rsidRPr="009A7163" w:rsidRDefault="00C20FCD" w:rsidP="008C041F">
      <w:pPr>
        <w:spacing w:line="360" w:lineRule="auto"/>
        <w:jc w:val="both"/>
        <w:rPr>
          <w:rFonts w:eastAsiaTheme="minorHAnsi"/>
          <w:lang w:eastAsia="en-GB"/>
        </w:rPr>
      </w:pPr>
      <w:r w:rsidRPr="009A7163">
        <w:rPr>
          <w:rFonts w:eastAsiaTheme="minorHAnsi"/>
          <w:lang w:eastAsia="en-GB"/>
        </w:rPr>
        <w:t xml:space="preserve">Here her quote reflects the ‘accordion effect’ common in Nicaragua (Agurto and Guido, 2001), which is the tendency of family members to come together when the resources allow and separate when there is scarcity of resources and one or other member needs to migrate to find work. In this instance, the family becomes a central resource for the social reproduction of the </w:t>
      </w:r>
      <w:r w:rsidR="005F5040" w:rsidRPr="009A7163">
        <w:rPr>
          <w:rFonts w:eastAsiaTheme="minorHAnsi"/>
          <w:lang w:eastAsia="en-GB"/>
        </w:rPr>
        <w:t xml:space="preserve">individuals </w:t>
      </w:r>
      <w:r w:rsidRPr="009A7163">
        <w:rPr>
          <w:rFonts w:eastAsiaTheme="minorHAnsi"/>
          <w:lang w:eastAsia="en-GB"/>
        </w:rPr>
        <w:t xml:space="preserve">and their families. These networks allow every day essential activities like </w:t>
      </w:r>
      <w:r w:rsidR="003A2C87" w:rsidRPr="009A7163">
        <w:rPr>
          <w:rFonts w:eastAsiaTheme="minorHAnsi"/>
          <w:lang w:eastAsia="en-GB"/>
        </w:rPr>
        <w:t>UCW</w:t>
      </w:r>
      <w:r w:rsidRPr="009A7163">
        <w:rPr>
          <w:rFonts w:eastAsiaTheme="minorHAnsi"/>
          <w:lang w:eastAsia="en-GB"/>
        </w:rPr>
        <w:t xml:space="preserve"> to continue. One women from Achuapa spoke about the effects of migration. Her daughter and her husband had left for Panama leaving her with two young children under the age of five. She said: </w:t>
      </w:r>
    </w:p>
    <w:p w14:paraId="5820AF26" w14:textId="1994A844" w:rsidR="00C20FCD" w:rsidRPr="009A7163" w:rsidRDefault="00C20FCD" w:rsidP="00293176">
      <w:pPr>
        <w:spacing w:after="180"/>
        <w:ind w:left="720"/>
        <w:jc w:val="both"/>
        <w:rPr>
          <w:rFonts w:eastAsiaTheme="minorHAnsi"/>
          <w:lang w:eastAsia="en-GB"/>
        </w:rPr>
      </w:pPr>
      <w:r w:rsidRPr="009A7163">
        <w:rPr>
          <w:rFonts w:eastAsiaTheme="minorHAnsi"/>
          <w:lang w:eastAsia="en-GB"/>
        </w:rPr>
        <w:t>This time it’s really hard as I am looking after two young children and the boy is a baby and so it makes it harder to work. It’s really hard to go collect water, to work with the women, to meet up with them and, if I do, I have to take them and it’s the same if I want to go to church</w:t>
      </w:r>
      <w:r w:rsidR="006B0BC9" w:rsidRPr="009A7163">
        <w:rPr>
          <w:rFonts w:eastAsiaTheme="minorHAnsi"/>
          <w:lang w:eastAsia="en-GB"/>
        </w:rPr>
        <w:t>…</w:t>
      </w:r>
      <w:r w:rsidRPr="009A7163">
        <w:rPr>
          <w:rFonts w:eastAsiaTheme="minorHAnsi"/>
          <w:lang w:eastAsia="en-GB"/>
        </w:rPr>
        <w:t>when their parents were here it was different</w:t>
      </w:r>
      <w:r w:rsidR="006B0BC9" w:rsidRPr="009A7163">
        <w:rPr>
          <w:rFonts w:eastAsiaTheme="minorHAnsi"/>
          <w:lang w:eastAsia="en-GB"/>
        </w:rPr>
        <w:t>…</w:t>
      </w:r>
      <w:r w:rsidRPr="009A7163">
        <w:rPr>
          <w:rFonts w:eastAsiaTheme="minorHAnsi"/>
          <w:lang w:eastAsia="en-GB"/>
        </w:rPr>
        <w:t xml:space="preserve">now life is harder for me and it’s so tiring. (Individual interview, woman, 45–54 years old, married, not a member, sesame producer, less than three years in the initiative, </w:t>
      </w:r>
      <w:r w:rsidR="00D702E8" w:rsidRPr="009A7163">
        <w:rPr>
          <w:rFonts w:eastAsiaTheme="minorHAnsi"/>
          <w:lang w:eastAsia="en-GB"/>
        </w:rPr>
        <w:t>June 12, 2015</w:t>
      </w:r>
      <w:r w:rsidRPr="009A7163">
        <w:rPr>
          <w:rFonts w:eastAsiaTheme="minorHAnsi"/>
          <w:lang w:eastAsia="en-GB"/>
        </w:rPr>
        <w:t xml:space="preserve">) </w:t>
      </w:r>
    </w:p>
    <w:p w14:paraId="78EC2FE0" w14:textId="77777777" w:rsidR="00C20FCD" w:rsidRPr="009A7163" w:rsidRDefault="00C20FCD" w:rsidP="008C041F">
      <w:pPr>
        <w:spacing w:line="360" w:lineRule="auto"/>
        <w:jc w:val="both"/>
        <w:rPr>
          <w:rFonts w:eastAsiaTheme="minorHAnsi"/>
          <w:lang w:eastAsia="en-GB"/>
        </w:rPr>
      </w:pPr>
      <w:r w:rsidRPr="009A7163">
        <w:rPr>
          <w:rFonts w:eastAsiaTheme="minorHAnsi"/>
          <w:lang w:eastAsia="en-GB"/>
        </w:rPr>
        <w:lastRenderedPageBreak/>
        <w:t>This highlights what other scholars have noted about time pressure on rural women. Of particular concern for rural women are the allocation of time and the continuous juggling of responsibilities to accommodate the needs of their family. Feminist economists examine ‘time – use, allocation, burden, investment, and availability – as a resource of limited supply. Coupled with gendered roles and responsibilities, access to time is a crucial factor of survival’ (McBride, 2012, p. 35).</w:t>
      </w:r>
    </w:p>
    <w:p w14:paraId="17F593DF" w14:textId="2DEFB880" w:rsidR="00C20FCD" w:rsidRPr="009A7163" w:rsidRDefault="00C20FCD">
      <w:pPr>
        <w:spacing w:line="360" w:lineRule="auto"/>
        <w:ind w:firstLine="720"/>
        <w:jc w:val="both"/>
        <w:rPr>
          <w:rFonts w:eastAsiaTheme="minorHAnsi"/>
          <w:lang w:eastAsia="en-GB"/>
        </w:rPr>
      </w:pPr>
      <w:r w:rsidRPr="009A7163">
        <w:rPr>
          <w:rFonts w:eastAsiaTheme="minorHAnsi"/>
          <w:lang w:eastAsia="en-GB"/>
        </w:rPr>
        <w:t xml:space="preserve">Another key finding from the fieldwork was that no time </w:t>
      </w:r>
      <w:r w:rsidR="005B207F" w:rsidRPr="009A7163">
        <w:rPr>
          <w:rFonts w:eastAsiaTheme="minorHAnsi"/>
          <w:lang w:eastAsia="en-GB"/>
        </w:rPr>
        <w:t xml:space="preserve">(0 hours) </w:t>
      </w:r>
      <w:r w:rsidRPr="009A7163">
        <w:rPr>
          <w:rFonts w:eastAsiaTheme="minorHAnsi"/>
          <w:lang w:eastAsia="en-GB"/>
        </w:rPr>
        <w:t>was reported to be spent on unpaid work related to sesame production (e.g., agricultural tasks) in the time use surveys (</w:t>
      </w:r>
      <w:r w:rsidR="005B207F" w:rsidRPr="009A7163">
        <w:rPr>
          <w:rFonts w:eastAsiaTheme="minorHAnsi"/>
          <w:lang w:eastAsia="en-GB"/>
        </w:rPr>
        <w:t>TUS</w:t>
      </w:r>
      <w:r w:rsidRPr="009A7163">
        <w:rPr>
          <w:rFonts w:eastAsiaTheme="minorHAnsi"/>
          <w:lang w:eastAsia="en-GB"/>
        </w:rPr>
        <w:t>). However, in the focus group, the women did report ‘helping’ their partners with (as opposed to working on) the following agricultural tasks: preparing land for harvest, removing suckers from a plant (</w:t>
      </w:r>
      <w:r w:rsidRPr="009A7163">
        <w:rPr>
          <w:rFonts w:eastAsiaTheme="minorHAnsi"/>
          <w:i/>
          <w:lang w:eastAsia="en-GB"/>
        </w:rPr>
        <w:t>deshijar</w:t>
      </w:r>
      <w:r w:rsidRPr="009A7163">
        <w:rPr>
          <w:rFonts w:eastAsiaTheme="minorHAnsi"/>
          <w:lang w:eastAsia="en-GB"/>
        </w:rPr>
        <w:t xml:space="preserve">), pruning and cleaning the sesame, picking sesame, looking after the day labourers and cooking for them and family workers (Focus Group Women, Achuapa, February 6, 2015). Women frequently mentioned that they </w:t>
      </w:r>
      <w:r w:rsidR="00250728" w:rsidRPr="009A7163">
        <w:rPr>
          <w:rFonts w:eastAsiaTheme="minorHAnsi"/>
          <w:lang w:eastAsia="en-GB"/>
        </w:rPr>
        <w:t xml:space="preserve">do agricultural work with </w:t>
      </w:r>
      <w:r w:rsidR="00A872E5" w:rsidRPr="009A7163">
        <w:rPr>
          <w:rFonts w:eastAsiaTheme="minorHAnsi"/>
          <w:lang w:eastAsia="en-GB"/>
        </w:rPr>
        <w:t>men</w:t>
      </w:r>
      <w:r w:rsidRPr="009A7163">
        <w:rPr>
          <w:rFonts w:eastAsiaTheme="minorHAnsi"/>
          <w:lang w:eastAsia="en-GB"/>
        </w:rPr>
        <w:t xml:space="preserve"> once their work in the house is done. This differs from men who come home and rest once their work is done (Focus Group Men, Achuapa, February 6, 2015). </w:t>
      </w:r>
    </w:p>
    <w:p w14:paraId="43369047" w14:textId="6085C896" w:rsidR="00C20FCD" w:rsidRPr="009A7163" w:rsidRDefault="00C20FCD">
      <w:pPr>
        <w:spacing w:line="360" w:lineRule="auto"/>
        <w:ind w:firstLine="720"/>
        <w:jc w:val="both"/>
        <w:rPr>
          <w:rFonts w:eastAsiaTheme="minorHAnsi"/>
          <w:lang w:eastAsia="en-GB"/>
        </w:rPr>
      </w:pPr>
      <w:r w:rsidRPr="009A7163">
        <w:rPr>
          <w:rFonts w:eastAsiaTheme="minorHAnsi"/>
          <w:lang w:eastAsia="en-GB"/>
        </w:rPr>
        <w:t>The idea of leaving the house and resting were mentioned a number of times. Women also reported only one hour’s rest per day in both the overall and sample group, which was very different to the men who cited that their work day ended once they came back from the fields, typically between 12–2pm. The activities men reported doing when they returned from the fields were the following: resting, listening to radio, watching TV, receiving visits and religious activities (pray/read the Bible). In this quote below, one woman producer talked about the burden of work at harvest time and how work without rest makes her life joyless. She stated:</w:t>
      </w:r>
    </w:p>
    <w:p w14:paraId="1F49CB76" w14:textId="75909013" w:rsidR="00C20FCD" w:rsidRPr="009A7163" w:rsidRDefault="00C20FCD" w:rsidP="00293176">
      <w:pPr>
        <w:tabs>
          <w:tab w:val="left" w:pos="1300"/>
        </w:tabs>
        <w:spacing w:after="180"/>
        <w:ind w:left="720"/>
        <w:jc w:val="both"/>
        <w:rPr>
          <w:rFonts w:eastAsiaTheme="minorHAnsi"/>
          <w:lang w:eastAsia="en-GB"/>
        </w:rPr>
      </w:pPr>
      <w:r w:rsidRPr="009A7163">
        <w:rPr>
          <w:rFonts w:eastAsiaTheme="minorHAnsi"/>
          <w:lang w:eastAsia="en-GB"/>
        </w:rPr>
        <w:t>At harvest time, my days feel really short because I have so much work to do</w:t>
      </w:r>
      <w:r w:rsidR="00FE5EB3" w:rsidRPr="009A7163">
        <w:rPr>
          <w:rFonts w:eastAsiaTheme="minorHAnsi"/>
          <w:lang w:eastAsia="en-GB"/>
        </w:rPr>
        <w:t>…</w:t>
      </w:r>
      <w:r w:rsidRPr="009A7163">
        <w:rPr>
          <w:rFonts w:eastAsiaTheme="minorHAnsi"/>
          <w:lang w:eastAsia="en-GB"/>
        </w:rPr>
        <w:t>I have to cook food in time for the men to take it to the fields and prepare coffee. This means I am up by 4am and so these days are harder during harvest time, really hard and there’s no joy for me. And it’s always the same in December because you‘re have work to do with the bean, wheat and corn harvest</w:t>
      </w:r>
      <w:r w:rsidR="00563851" w:rsidRPr="009A7163">
        <w:rPr>
          <w:i/>
          <w:lang w:eastAsia="en-GB"/>
        </w:rPr>
        <w:t xml:space="preserve"> </w:t>
      </w:r>
      <w:r w:rsidRPr="009A7163">
        <w:rPr>
          <w:rFonts w:eastAsiaTheme="minorHAnsi"/>
          <w:lang w:eastAsia="en-GB"/>
        </w:rPr>
        <w:t>and at the same time you have to make sure everyone is fed and nothing is missing. So, there’s no joy. There’s no happiness, no Christmas for me. (Female, 45–54, rural, producer, non-member and no links to the cooperative, 5 years in initiative)</w:t>
      </w:r>
    </w:p>
    <w:p w14:paraId="6D0F3545" w14:textId="77777777" w:rsidR="00C20FCD" w:rsidRPr="009A7163" w:rsidRDefault="00C20FCD" w:rsidP="008C041F">
      <w:pPr>
        <w:spacing w:line="360" w:lineRule="auto"/>
        <w:jc w:val="both"/>
        <w:rPr>
          <w:rFonts w:eastAsiaTheme="minorHAnsi"/>
          <w:lang w:eastAsia="en-GB"/>
        </w:rPr>
      </w:pPr>
      <w:r w:rsidRPr="009A7163">
        <w:rPr>
          <w:rFonts w:eastAsiaTheme="minorHAnsi"/>
          <w:lang w:eastAsia="en-GB"/>
        </w:rPr>
        <w:t>Here is what one female, non-producer</w:t>
      </w:r>
      <w:r w:rsidRPr="009A7163">
        <w:rPr>
          <w:rFonts w:eastAsiaTheme="minorHAnsi"/>
          <w:vertAlign w:val="superscript"/>
          <w:lang w:eastAsia="en-GB"/>
        </w:rPr>
        <w:footnoteReference w:id="114"/>
      </w:r>
      <w:r w:rsidRPr="009A7163">
        <w:rPr>
          <w:rFonts w:eastAsiaTheme="minorHAnsi"/>
          <w:lang w:eastAsia="en-GB"/>
        </w:rPr>
        <w:t xml:space="preserve"> said about work at harvest time:</w:t>
      </w:r>
    </w:p>
    <w:p w14:paraId="7B7B9C3D" w14:textId="6D346BAA" w:rsidR="00C20FCD" w:rsidRPr="009A7163" w:rsidRDefault="00C20FCD" w:rsidP="00293176">
      <w:pPr>
        <w:spacing w:after="180"/>
        <w:ind w:left="720"/>
        <w:jc w:val="both"/>
        <w:rPr>
          <w:rFonts w:eastAsiaTheme="minorHAnsi"/>
          <w:lang w:eastAsia="en-GB"/>
        </w:rPr>
      </w:pPr>
      <w:r w:rsidRPr="009A7163">
        <w:rPr>
          <w:rFonts w:eastAsiaTheme="minorHAnsi"/>
          <w:lang w:eastAsia="en-GB"/>
        </w:rPr>
        <w:lastRenderedPageBreak/>
        <w:t>Between 4 and 4</w:t>
      </w:r>
      <w:r w:rsidR="005F5040" w:rsidRPr="009A7163">
        <w:rPr>
          <w:rFonts w:eastAsiaTheme="minorHAnsi"/>
          <w:lang w:eastAsia="en-GB"/>
        </w:rPr>
        <w:t>:</w:t>
      </w:r>
      <w:r w:rsidRPr="009A7163">
        <w:rPr>
          <w:rFonts w:eastAsiaTheme="minorHAnsi"/>
          <w:lang w:eastAsia="en-GB"/>
        </w:rPr>
        <w:t>30am we are up, and sometimes even earlier because as soon as we open our eyes we are already thinking about making breakfast for our husband so that he can go to work and then for the children</w:t>
      </w:r>
      <w:r w:rsidR="005F5040" w:rsidRPr="009A7163">
        <w:rPr>
          <w:rFonts w:eastAsiaTheme="minorHAnsi"/>
          <w:lang w:eastAsia="en-GB"/>
        </w:rPr>
        <w:t>. N</w:t>
      </w:r>
      <w:r w:rsidRPr="009A7163">
        <w:rPr>
          <w:rFonts w:eastAsiaTheme="minorHAnsi"/>
          <w:lang w:eastAsia="en-GB"/>
        </w:rPr>
        <w:t>ext we have to organ</w:t>
      </w:r>
      <w:r w:rsidR="00C95A06" w:rsidRPr="009A7163">
        <w:rPr>
          <w:rFonts w:eastAsiaTheme="minorHAnsi"/>
          <w:lang w:eastAsia="en-GB"/>
        </w:rPr>
        <w:t>ise</w:t>
      </w:r>
      <w:r w:rsidRPr="009A7163">
        <w:rPr>
          <w:rFonts w:eastAsiaTheme="minorHAnsi"/>
          <w:lang w:eastAsia="en-GB"/>
        </w:rPr>
        <w:t xml:space="preserve"> all the cleaning and the house for the rest of the day. And if we have to go and help our husband in the fields, we do. If no one is around to help collect firewood, we do that as well and even if we have to go far to find it, we have to do it because we can’t be late with the food. We also have to milk the cows and we frequently have to help transport</w:t>
      </w:r>
      <w:r w:rsidR="005F5040" w:rsidRPr="009A7163">
        <w:rPr>
          <w:rFonts w:eastAsiaTheme="minorHAnsi"/>
          <w:lang w:eastAsia="en-GB"/>
        </w:rPr>
        <w:t xml:space="preserve"> or </w:t>
      </w:r>
      <w:r w:rsidRPr="009A7163">
        <w:rPr>
          <w:rFonts w:eastAsiaTheme="minorHAnsi"/>
          <w:lang w:eastAsia="en-GB"/>
        </w:rPr>
        <w:t>carry the harvest produce from one place to another. We also have to help with the bean harvest, pulling out the beans</w:t>
      </w:r>
      <w:r w:rsidR="00FE5EB3" w:rsidRPr="009A7163">
        <w:rPr>
          <w:rFonts w:eastAsiaTheme="minorHAnsi"/>
          <w:lang w:eastAsia="en-GB"/>
        </w:rPr>
        <w:t>…</w:t>
      </w:r>
      <w:r w:rsidRPr="009A7163">
        <w:rPr>
          <w:rFonts w:eastAsiaTheme="minorHAnsi"/>
          <w:lang w:eastAsia="en-GB"/>
        </w:rPr>
        <w:t xml:space="preserve">so we’re often there helping and so any work on the farm is not unknown to us because we often do that kind of work as well. (Female, 45–54, rural, non-producer, member 5 years in initiative) </w:t>
      </w:r>
    </w:p>
    <w:p w14:paraId="5025B9E2" w14:textId="77777777" w:rsidR="00C20FCD" w:rsidRPr="009A7163" w:rsidRDefault="00C20FCD" w:rsidP="008C041F">
      <w:pPr>
        <w:spacing w:line="360" w:lineRule="auto"/>
        <w:jc w:val="both"/>
        <w:rPr>
          <w:shd w:val="clear" w:color="auto" w:fill="FFFFFF"/>
          <w:lang w:eastAsia="en-GB"/>
        </w:rPr>
      </w:pPr>
      <w:r w:rsidRPr="009A7163">
        <w:rPr>
          <w:rFonts w:eastAsiaTheme="minorHAnsi"/>
          <w:lang w:eastAsia="en-GB"/>
        </w:rPr>
        <w:t>Another woman explained that women also help with the planning and financing of the sesame harvest:</w:t>
      </w:r>
    </w:p>
    <w:p w14:paraId="5258F854" w14:textId="77777777" w:rsidR="00C20FCD" w:rsidRPr="009A7163" w:rsidRDefault="00C20FCD" w:rsidP="00293176">
      <w:pPr>
        <w:spacing w:after="180"/>
        <w:ind w:left="720"/>
        <w:jc w:val="both"/>
        <w:rPr>
          <w:shd w:val="clear" w:color="auto" w:fill="FFFFFF"/>
          <w:lang w:eastAsia="en-GB"/>
        </w:rPr>
      </w:pPr>
      <w:r w:rsidRPr="009A7163">
        <w:rPr>
          <w:shd w:val="clear" w:color="auto" w:fill="FFFFFF"/>
          <w:lang w:eastAsia="en-GB"/>
        </w:rPr>
        <w:t>Another thing that helps with the sesame harvest is to plan your work. Sometimes we will come to an agreement with our husbands, we’ll talk, have a dialogue with one another and say: “Next year I am going to harvest X amount of sesame for example” and so one will come to an agreement and agree on that. Sometimes one will have some money too and so you’ll be able to help your man by paying for a day labourer and all of that kind of stuff. Us women are more economical and we save! So, we reach an agreement and help in this way. This is about planning work.</w:t>
      </w:r>
      <w:r w:rsidRPr="009A7163">
        <w:rPr>
          <w:rFonts w:eastAsiaTheme="minorHAnsi"/>
          <w:lang w:eastAsia="en-GB"/>
        </w:rPr>
        <w:t xml:space="preserve"> (Focus Group women Achuapa, February 6, 2015)</w:t>
      </w:r>
    </w:p>
    <w:p w14:paraId="3A3B9791" w14:textId="72AF73B1" w:rsidR="00C20FCD" w:rsidRPr="009A7163" w:rsidRDefault="00C20FCD" w:rsidP="008C041F">
      <w:pPr>
        <w:spacing w:line="360" w:lineRule="auto"/>
        <w:jc w:val="both"/>
        <w:rPr>
          <w:rFonts w:eastAsiaTheme="minorHAnsi"/>
          <w:lang w:eastAsia="en-GB"/>
        </w:rPr>
      </w:pPr>
      <w:r w:rsidRPr="009A7163">
        <w:rPr>
          <w:rFonts w:eastAsiaTheme="minorHAnsi"/>
          <w:lang w:eastAsia="en-GB"/>
        </w:rPr>
        <w:t>Whilst women report earnings like the woman above, on the whole women undertake very little paid work and what work they do is generally done within the household space. The following income generating activities were reported: home-made handicrafts, home-based store that sells all kinds of products (</w:t>
      </w:r>
      <w:r w:rsidRPr="009A7163">
        <w:rPr>
          <w:rFonts w:eastAsiaTheme="minorHAnsi"/>
          <w:i/>
          <w:lang w:eastAsia="en-GB"/>
        </w:rPr>
        <w:t>pulperia</w:t>
      </w:r>
      <w:r w:rsidRPr="009A7163">
        <w:rPr>
          <w:rFonts w:eastAsiaTheme="minorHAnsi"/>
          <w:lang w:eastAsia="en-GB"/>
        </w:rPr>
        <w:t>), making and selling tortillas from home, sewing and clothes repairs, cake and bread making and work for the cooperative. Kabeer (2012) argue</w:t>
      </w:r>
      <w:r w:rsidR="005F5040" w:rsidRPr="009A7163">
        <w:rPr>
          <w:rFonts w:eastAsiaTheme="minorHAnsi"/>
          <w:lang w:eastAsia="en-GB"/>
        </w:rPr>
        <w:t>s</w:t>
      </w:r>
      <w:r w:rsidRPr="009A7163">
        <w:rPr>
          <w:rFonts w:eastAsiaTheme="minorHAnsi"/>
          <w:lang w:eastAsia="en-GB"/>
        </w:rPr>
        <w:t xml:space="preserve"> that a large number of studies have shown that economic activity within the confines of family relations, particularly unpaid productive work in farm and family enterprises hold out the weakest transformative potential for women’s lives, and that self-employment may be a default position for many women</w:t>
      </w:r>
      <w:r w:rsidR="005B207F" w:rsidRPr="009A7163">
        <w:rPr>
          <w:rFonts w:eastAsiaTheme="minorHAnsi"/>
          <w:lang w:eastAsia="en-GB"/>
        </w:rPr>
        <w:t xml:space="preserve"> (p. 18)</w:t>
      </w:r>
      <w:r w:rsidRPr="009A7163">
        <w:rPr>
          <w:rFonts w:eastAsiaTheme="minorHAnsi"/>
          <w:lang w:eastAsia="en-GB"/>
        </w:rPr>
        <w:t>. Furthermore, Kabeer (2012) argue</w:t>
      </w:r>
      <w:r w:rsidR="005F5040" w:rsidRPr="009A7163">
        <w:rPr>
          <w:rFonts w:eastAsiaTheme="minorHAnsi"/>
          <w:lang w:eastAsia="en-GB"/>
        </w:rPr>
        <w:t>s</w:t>
      </w:r>
      <w:r w:rsidRPr="009A7163">
        <w:rPr>
          <w:rFonts w:eastAsiaTheme="minorHAnsi"/>
          <w:lang w:eastAsia="en-GB"/>
        </w:rPr>
        <w:t>:</w:t>
      </w:r>
    </w:p>
    <w:p w14:paraId="1B32627B" w14:textId="32EEEEE4"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The ILO classifies both own account work and unwaged family labour as </w:t>
      </w:r>
      <w:r w:rsidR="005F5040" w:rsidRPr="009A7163">
        <w:rPr>
          <w:rFonts w:eastAsiaTheme="minorHAnsi"/>
          <w:lang w:eastAsia="en-GB"/>
        </w:rPr>
        <w:t>“</w:t>
      </w:r>
      <w:r w:rsidRPr="009A7163">
        <w:rPr>
          <w:rFonts w:eastAsiaTheme="minorHAnsi"/>
          <w:lang w:eastAsia="en-GB"/>
        </w:rPr>
        <w:t>vulnerable</w:t>
      </w:r>
      <w:r w:rsidR="005F5040" w:rsidRPr="009A7163">
        <w:rPr>
          <w:rFonts w:eastAsiaTheme="minorHAnsi"/>
          <w:lang w:eastAsia="en-GB"/>
        </w:rPr>
        <w:t>”</w:t>
      </w:r>
      <w:r w:rsidRPr="009A7163">
        <w:rPr>
          <w:rFonts w:eastAsiaTheme="minorHAnsi"/>
          <w:lang w:eastAsia="en-GB"/>
        </w:rPr>
        <w:t xml:space="preserve"> work, offering little or no remuneration, characterised by risk and uncertainty and outside the remit of legal and social protection. For women in particular, participation as unwaged family labour does little to challenge their subordinate position within the family or expand their social networks beyond it.</w:t>
      </w:r>
      <w:r w:rsidR="005B207F" w:rsidRPr="009A7163">
        <w:rPr>
          <w:rFonts w:eastAsiaTheme="minorHAnsi"/>
          <w:lang w:eastAsia="en-GB"/>
        </w:rPr>
        <w:t xml:space="preserve"> (p. 24)</w:t>
      </w:r>
    </w:p>
    <w:p w14:paraId="76F8C320" w14:textId="689B00E4" w:rsidR="00C20FCD" w:rsidRPr="009A7163" w:rsidRDefault="00C20FCD" w:rsidP="008C041F">
      <w:pPr>
        <w:spacing w:line="360" w:lineRule="auto"/>
        <w:jc w:val="both"/>
        <w:rPr>
          <w:rFonts w:eastAsiaTheme="minorHAnsi"/>
          <w:lang w:eastAsia="en-GB"/>
        </w:rPr>
      </w:pPr>
      <w:r w:rsidRPr="009A7163">
        <w:rPr>
          <w:rFonts w:eastAsiaTheme="minorHAnsi"/>
          <w:lang w:eastAsia="en-GB"/>
        </w:rPr>
        <w:t>Kabeer (2012) stated that the concentration of many poor women in survivalist forms of self-employment where they are unable to grow their enterprises reflects the markets and larger structural issues at play and explain</w:t>
      </w:r>
      <w:r w:rsidR="005F5040" w:rsidRPr="009A7163">
        <w:rPr>
          <w:rFonts w:eastAsiaTheme="minorHAnsi"/>
          <w:lang w:eastAsia="en-GB"/>
        </w:rPr>
        <w:t>s</w:t>
      </w:r>
      <w:r w:rsidRPr="009A7163">
        <w:rPr>
          <w:rFonts w:eastAsiaTheme="minorHAnsi"/>
          <w:lang w:eastAsia="en-GB"/>
        </w:rPr>
        <w:t xml:space="preserve"> further: </w:t>
      </w:r>
    </w:p>
    <w:p w14:paraId="4062968A" w14:textId="3E14F748" w:rsidR="00C20FCD" w:rsidRPr="009A7163" w:rsidRDefault="00C20FCD" w:rsidP="00293176">
      <w:pPr>
        <w:spacing w:after="180"/>
        <w:ind w:left="720"/>
        <w:jc w:val="both"/>
        <w:rPr>
          <w:rFonts w:eastAsiaTheme="minorHAnsi"/>
          <w:lang w:eastAsia="en-GB"/>
        </w:rPr>
      </w:pPr>
      <w:r w:rsidRPr="009A7163">
        <w:rPr>
          <w:rFonts w:eastAsiaTheme="minorHAnsi"/>
          <w:lang w:eastAsia="en-GB"/>
        </w:rPr>
        <w:lastRenderedPageBreak/>
        <w:t xml:space="preserve">Where women’s entrepreneurial activities are dictated by considerations other than the profitability of their enterprise, the chances of transition to the accumulation end of the spectrum are likely to be difficult, if not impossible. Not all of them will have the necessary entrepreneurial ability, their priorities may lie in ensuring their family’s survival and welfare, they may find it difficult to hire and manage labour, to exercise the requisite degree of mobility. (p. 32)  </w:t>
      </w:r>
    </w:p>
    <w:p w14:paraId="213605F9" w14:textId="455F4B5D" w:rsidR="00C20FCD" w:rsidRPr="009A7163" w:rsidRDefault="00C20FCD" w:rsidP="008C041F">
      <w:pPr>
        <w:spacing w:line="360" w:lineRule="auto"/>
        <w:jc w:val="both"/>
        <w:rPr>
          <w:rFonts w:eastAsiaTheme="minorHAnsi"/>
          <w:lang w:eastAsia="en-GB"/>
        </w:rPr>
      </w:pPr>
      <w:r w:rsidRPr="009A7163">
        <w:rPr>
          <w:rFonts w:eastAsiaTheme="minorHAnsi"/>
          <w:lang w:eastAsia="en-GB"/>
        </w:rPr>
        <w:t>Kabeer (2012)</w:t>
      </w:r>
      <w:r w:rsidR="00290C8B" w:rsidRPr="009A7163">
        <w:rPr>
          <w:rFonts w:eastAsiaTheme="minorHAnsi"/>
          <w:lang w:eastAsia="en-GB"/>
        </w:rPr>
        <w:t>,</w:t>
      </w:r>
      <w:r w:rsidRPr="009A7163">
        <w:rPr>
          <w:rFonts w:eastAsiaTheme="minorHAnsi"/>
          <w:lang w:eastAsia="en-GB"/>
        </w:rPr>
        <w:t xml:space="preserve"> in this seminal article</w:t>
      </w:r>
      <w:r w:rsidR="00290C8B" w:rsidRPr="009A7163">
        <w:rPr>
          <w:rFonts w:eastAsiaTheme="minorHAnsi"/>
          <w:lang w:eastAsia="en-GB"/>
        </w:rPr>
        <w:t>,</w:t>
      </w:r>
      <w:r w:rsidRPr="009A7163">
        <w:rPr>
          <w:rFonts w:eastAsiaTheme="minorHAnsi"/>
          <w:lang w:eastAsia="en-GB"/>
        </w:rPr>
        <w:t xml:space="preserve"> argue</w:t>
      </w:r>
      <w:r w:rsidR="00290C8B" w:rsidRPr="009A7163">
        <w:rPr>
          <w:rFonts w:eastAsiaTheme="minorHAnsi"/>
          <w:lang w:eastAsia="en-GB"/>
        </w:rPr>
        <w:t>s</w:t>
      </w:r>
      <w:r w:rsidRPr="009A7163">
        <w:rPr>
          <w:rFonts w:eastAsiaTheme="minorHAnsi"/>
          <w:lang w:eastAsia="en-GB"/>
        </w:rPr>
        <w:t xml:space="preserve"> that ‘not all forms of economic activity are equally empowering and that studies show that formal regular paid work waged work has the greatest transformative potential although paid work outside the domestic domain can also have positive impacts on women’s lives’ (p. 50).</w:t>
      </w:r>
    </w:p>
    <w:p w14:paraId="308FF321" w14:textId="116D9ACA"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Some women in the initiative undertake paid work. The overall group spent on average one hour a day on paid work across the research rounds.</w:t>
      </w:r>
      <w:r w:rsidR="003F4DB5" w:rsidRPr="009A7163">
        <w:rPr>
          <w:rFonts w:eastAsiaTheme="minorHAnsi"/>
          <w:lang w:eastAsia="en-GB"/>
        </w:rPr>
        <w:t xml:space="preserve"> </w:t>
      </w:r>
      <w:r w:rsidRPr="009A7163">
        <w:rPr>
          <w:rFonts w:eastAsiaTheme="minorHAnsi"/>
          <w:lang w:eastAsia="en-GB"/>
        </w:rPr>
        <w:t>In the sample group, this doubled to two hours</w:t>
      </w:r>
      <w:r w:rsidR="00290C8B" w:rsidRPr="009A7163">
        <w:rPr>
          <w:rFonts w:eastAsiaTheme="minorHAnsi"/>
          <w:lang w:eastAsia="en-GB"/>
        </w:rPr>
        <w:t>,</w:t>
      </w:r>
      <w:r w:rsidRPr="009A7163">
        <w:rPr>
          <w:rFonts w:eastAsiaTheme="minorHAnsi"/>
          <w:lang w:eastAsia="en-GB"/>
        </w:rPr>
        <w:t xml:space="preserve"> but the change was due to the second research round which consisted of only four people and of which two worked for the cooperative. Although only a </w:t>
      </w:r>
      <w:r w:rsidR="00290C8B" w:rsidRPr="009A7163">
        <w:rPr>
          <w:rFonts w:eastAsiaTheme="minorHAnsi"/>
          <w:lang w:eastAsia="en-GB"/>
        </w:rPr>
        <w:t>few</w:t>
      </w:r>
      <w:r w:rsidRPr="009A7163">
        <w:rPr>
          <w:rFonts w:eastAsiaTheme="minorHAnsi"/>
          <w:lang w:eastAsia="en-GB"/>
        </w:rPr>
        <w:t xml:space="preserve"> of the women work for the cooperative, the examples are interesting and worth exploring in more detail. The remainder of this section looks at two examples from the sesame case study and these are presented as vignettes (the data of which comes from interviews, fieldwork notes and observations) that provide further insight into these examples. In both instances, the women perform unpaid work and also </w:t>
      </w:r>
      <w:r w:rsidR="003A2C87" w:rsidRPr="009A7163">
        <w:rPr>
          <w:rFonts w:eastAsiaTheme="minorHAnsi"/>
          <w:lang w:eastAsia="en-GB"/>
        </w:rPr>
        <w:t>UCW</w:t>
      </w:r>
      <w:r w:rsidRPr="009A7163">
        <w:rPr>
          <w:rFonts w:eastAsiaTheme="minorHAnsi"/>
          <w:lang w:eastAsia="en-GB"/>
        </w:rPr>
        <w:t xml:space="preserve"> in addition to the paid work and have stereotypical gendered, female jobs (i.e., preparing food, cleaning, attending to others). The first vignette is of a woman who works as a promoter for the initiative employed by the cooperative. The second vignette is from Teresa who is a paid employee of the cooperative. Her work is to package sesame products for local consumption</w:t>
      </w:r>
      <w:r w:rsidR="00290C8B" w:rsidRPr="009A7163">
        <w:rPr>
          <w:rFonts w:eastAsiaTheme="minorHAnsi"/>
          <w:lang w:eastAsia="en-GB"/>
        </w:rPr>
        <w:t>,</w:t>
      </w:r>
      <w:r w:rsidRPr="009A7163">
        <w:rPr>
          <w:rFonts w:eastAsiaTheme="minorHAnsi"/>
          <w:lang w:eastAsia="en-GB"/>
        </w:rPr>
        <w:t xml:space="preserve"> but her keen entrepreneurship has led her to develop new products for the cooperative (e.g., tahini, wines made from local fruits, sesame energy bars) </w:t>
      </w:r>
      <w:r w:rsidR="00290C8B" w:rsidRPr="009A7163">
        <w:rPr>
          <w:rFonts w:eastAsiaTheme="minorHAnsi"/>
          <w:lang w:eastAsia="en-GB"/>
        </w:rPr>
        <w:t>that</w:t>
      </w:r>
      <w:r w:rsidRPr="009A7163">
        <w:rPr>
          <w:rFonts w:eastAsiaTheme="minorHAnsi"/>
          <w:lang w:eastAsia="en-GB"/>
        </w:rPr>
        <w:t xml:space="preserve"> she is not paid for. She also now cooks healthy </w:t>
      </w:r>
      <w:r w:rsidR="006A5022" w:rsidRPr="009A7163">
        <w:rPr>
          <w:rFonts w:eastAsiaTheme="minorHAnsi"/>
          <w:lang w:eastAsia="en-GB"/>
        </w:rPr>
        <w:t>sesame-based</w:t>
      </w:r>
      <w:r w:rsidRPr="009A7163">
        <w:rPr>
          <w:rFonts w:eastAsiaTheme="minorHAnsi"/>
          <w:lang w:eastAsia="en-GB"/>
        </w:rPr>
        <w:t xml:space="preserve"> lunches for the management as well as tak</w:t>
      </w:r>
      <w:r w:rsidR="00290C8B" w:rsidRPr="009A7163">
        <w:rPr>
          <w:rFonts w:eastAsiaTheme="minorHAnsi"/>
          <w:lang w:eastAsia="en-GB"/>
        </w:rPr>
        <w:t>es</w:t>
      </w:r>
      <w:r w:rsidRPr="009A7163">
        <w:rPr>
          <w:rFonts w:eastAsiaTheme="minorHAnsi"/>
          <w:lang w:eastAsia="en-GB"/>
        </w:rPr>
        <w:t xml:space="preserve"> on other roles as mother/confidant/friend/companion/cook/cleaner for the men at the oil processing factory and cooperative office. Kabeer (2012) discusses the issue of motivation and choice and argues that the matter of motivation is relevant because it helps to distinguish women who took up enterprise as a default option and those who actively chose it and are likely to flourish (p.</w:t>
      </w:r>
      <w:r w:rsidR="00290C8B" w:rsidRPr="009A7163">
        <w:rPr>
          <w:rFonts w:eastAsiaTheme="minorHAnsi"/>
          <w:lang w:eastAsia="en-GB"/>
        </w:rPr>
        <w:t xml:space="preserve"> </w:t>
      </w:r>
      <w:r w:rsidRPr="009A7163">
        <w:rPr>
          <w:rFonts w:eastAsiaTheme="minorHAnsi"/>
          <w:lang w:eastAsia="en-GB"/>
        </w:rPr>
        <w:t xml:space="preserve">50). In the case of Teresa, she works for the cooperative and is known for her entrepreneurial flare and talks about her motivation and energy to start the day; however, in this instance, her entrepreneurial talent and motivation is given selflessly to the cooperative. </w:t>
      </w:r>
    </w:p>
    <w:p w14:paraId="11C4361C" w14:textId="79772357" w:rsidR="008C041F" w:rsidRPr="009A7163" w:rsidRDefault="008C041F" w:rsidP="00293176">
      <w:pPr>
        <w:pStyle w:val="Heading3"/>
        <w:rPr>
          <w:rFonts w:eastAsiaTheme="minorHAnsi"/>
          <w:lang w:eastAsia="en-GB"/>
        </w:rPr>
      </w:pPr>
      <w:bookmarkStart w:id="120" w:name="_Toc526819335"/>
      <w:r w:rsidRPr="009A7163">
        <w:rPr>
          <w:rFonts w:eastAsiaTheme="minorHAnsi"/>
          <w:lang w:eastAsia="en-GB"/>
        </w:rPr>
        <w:lastRenderedPageBreak/>
        <w:t>6.2.1  Elena, Achuapa (Member, producer, 45–54 years old, 3–6 years in the initiative)</w:t>
      </w:r>
      <w:bookmarkEnd w:id="120"/>
    </w:p>
    <w:p w14:paraId="0D765DFD" w14:textId="1F0ACEED"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Elena was chosen to be a promoter of the initiative and her work involves monitoring the work of each community group and encouraging women to join. Her work has been tiring and at times physically difficult as it involves walking many miles to each community, but in interviews Elena appreciates that it has broken up the monotony of her daily routine and the sense of lethargy associated with it. Although she gets paid, the money only covers transport and food; it is not a real salary. Elena was once part of the board of directors of the cooperative; however, she said in the interview that she feels her participation has been discouraged by the men of the cooperative on at least two occasions. The first was during the elections for the board of directors. She was asked to prepare food for the event and so was not present for the voting and therein lost her place on the board. The second occasion was when she had been selected to go to the UK for Fairtrade fortnight where the special focus was on women farmers but had understood from members of the cooperative office that she would struggle because of the complexity of travel and because she cannot speak English. She later learnt that a translator would have been waiting for her at the airport. Elena also shared that there had been episodes of violence in some families by the men motivated by the women’s access to resources via the initiative. According to Elena, the strategy by the cooperative is to talk to these women and raise awareness about the importance of dialogue in their homes. She claims that the gender work associated with the fund is perceived by the spouses as a disturbance of the laws of the family (Field notes, February 19–20, 2017). </w:t>
      </w:r>
    </w:p>
    <w:p w14:paraId="72CA6A97" w14:textId="449727CF" w:rsidR="008C041F" w:rsidRPr="009A7163" w:rsidRDefault="008C041F" w:rsidP="00293176">
      <w:pPr>
        <w:pStyle w:val="Heading3"/>
        <w:rPr>
          <w:rFonts w:eastAsiaTheme="minorHAnsi"/>
          <w:lang w:eastAsia="en-GB"/>
        </w:rPr>
      </w:pPr>
      <w:bookmarkStart w:id="121" w:name="_Toc526819336"/>
      <w:r w:rsidRPr="009A7163">
        <w:rPr>
          <w:rFonts w:eastAsiaTheme="minorHAnsi"/>
          <w:lang w:eastAsia="en-GB"/>
        </w:rPr>
        <w:t>6.2.2  Theresa, Achuapa (Member, not a producer, 55 years and older, single, 3 – 6 years in the initiative)</w:t>
      </w:r>
      <w:bookmarkEnd w:id="121"/>
    </w:p>
    <w:p w14:paraId="1CB681D6" w14:textId="55C313FF"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Teresa has worked at the cooperative since it was founded in 1991. Teresa is a very committed member of the cooperative who says she values ​​enormously not only the work that the cooperative does, but all the trust she feels she receives from her members. Teresa processes sesame, grapes and hibiscus. She is continually inventing recipes and innovating new products that the cooperative sells. She is paid to cook for the workers and clean the processing plant. Teresa is aware that she does not get paid for all the work she does but she feels her work is valued. She commented in the interview that in recent years her work has been acknowledged by buyers and other </w:t>
      </w:r>
      <w:r w:rsidRPr="009A7163">
        <w:rPr>
          <w:rFonts w:eastAsiaTheme="minorHAnsi"/>
          <w:lang w:eastAsia="en-GB"/>
        </w:rPr>
        <w:lastRenderedPageBreak/>
        <w:t>cooperatives who have heard about her work creating wines and other goods and have come to learn from her. Teresa also values her relationship with the men of the cooperative and in particular how some of the management have acknowledged her work and offered to help her not only at work but also in her private life through financial support. She also said part of what she does in her day is to mediate among the workers in cases of conflict, as she is an authority for them. Teresa stated that she values the companionship and the almost family-like relationships that they have developed over the years in the cooperative. Teresa is also an active member of the initiative and she holds the position of president</w:t>
      </w:r>
      <w:r w:rsidR="005B494A" w:rsidRPr="009A7163">
        <w:rPr>
          <w:rFonts w:eastAsiaTheme="minorHAnsi"/>
          <w:lang w:eastAsia="en-GB"/>
        </w:rPr>
        <w:t xml:space="preserve"> in her group</w:t>
      </w:r>
      <w:r w:rsidRPr="009A7163">
        <w:rPr>
          <w:rFonts w:eastAsiaTheme="minorHAnsi"/>
          <w:lang w:eastAsia="en-GB"/>
        </w:rPr>
        <w:t>. She helps organ</w:t>
      </w:r>
      <w:r w:rsidR="00C95A06" w:rsidRPr="009A7163">
        <w:rPr>
          <w:rFonts w:eastAsiaTheme="minorHAnsi"/>
          <w:lang w:eastAsia="en-GB"/>
        </w:rPr>
        <w:t>ise</w:t>
      </w:r>
      <w:r w:rsidRPr="009A7163">
        <w:rPr>
          <w:rFonts w:eastAsiaTheme="minorHAnsi"/>
          <w:lang w:eastAsia="en-GB"/>
        </w:rPr>
        <w:t xml:space="preserve"> events, meetings and subsequent work. In her words, she does not tolerate dishonest behaviour that betrays collective trust. She mentioned some of the women that had taken out loans and not paid them back and neither did they report the reason as to why not. Teresa says she likes to look after the cooperative and her work. This extra work that she does is not paid or recogn</w:t>
      </w:r>
      <w:r w:rsidR="00C95A06" w:rsidRPr="009A7163">
        <w:rPr>
          <w:rFonts w:eastAsiaTheme="minorHAnsi"/>
          <w:lang w:eastAsia="en-GB"/>
        </w:rPr>
        <w:t>ise</w:t>
      </w:r>
      <w:r w:rsidRPr="009A7163">
        <w:rPr>
          <w:rFonts w:eastAsiaTheme="minorHAnsi"/>
          <w:lang w:eastAsia="en-GB"/>
        </w:rPr>
        <w:t xml:space="preserve">d. </w:t>
      </w:r>
    </w:p>
    <w:p w14:paraId="605DACC9" w14:textId="04BA75FD" w:rsidR="008C041F" w:rsidRPr="009A7163" w:rsidRDefault="008C041F" w:rsidP="00293176">
      <w:pPr>
        <w:pStyle w:val="Heading3"/>
        <w:rPr>
          <w:rFonts w:eastAsiaTheme="minorHAnsi"/>
          <w:lang w:eastAsia="en-GB"/>
        </w:rPr>
      </w:pPr>
      <w:bookmarkStart w:id="122" w:name="_Toc526819337"/>
      <w:r w:rsidRPr="009A7163">
        <w:rPr>
          <w:rFonts w:eastAsiaTheme="minorHAnsi"/>
          <w:lang w:eastAsia="en-GB"/>
        </w:rPr>
        <w:t>6.2.3 Key Findings of the Sesame Case Study</w:t>
      </w:r>
      <w:bookmarkEnd w:id="122"/>
    </w:p>
    <w:p w14:paraId="4B7D9B57" w14:textId="794F1E90" w:rsidR="00C20FCD" w:rsidRPr="009A7163" w:rsidRDefault="00C20FCD" w:rsidP="008C041F">
      <w:pPr>
        <w:spacing w:line="360" w:lineRule="auto"/>
        <w:jc w:val="both"/>
        <w:rPr>
          <w:rFonts w:eastAsiaTheme="minorHAnsi"/>
          <w:lang w:eastAsia="en-GB"/>
        </w:rPr>
      </w:pPr>
      <w:r w:rsidRPr="009A7163">
        <w:rPr>
          <w:rFonts w:eastAsiaTheme="minorHAnsi"/>
          <w:lang w:eastAsia="en-GB"/>
        </w:rPr>
        <w:tab/>
        <w:t xml:space="preserve">Teresa is in a minority in the overall group (as she has a job in the cooperative). Her case study highlights the extra paid and unpaid work she does in her formal job as well as the other community work she undertakes in the group as part of the initiative and is another example of the unpaid work and </w:t>
      </w:r>
      <w:r w:rsidR="003A2C87" w:rsidRPr="009A7163">
        <w:rPr>
          <w:rFonts w:eastAsiaTheme="minorHAnsi"/>
          <w:lang w:eastAsia="en-GB"/>
        </w:rPr>
        <w:t>UCW</w:t>
      </w:r>
      <w:r w:rsidRPr="009A7163">
        <w:rPr>
          <w:rFonts w:eastAsiaTheme="minorHAnsi"/>
          <w:lang w:eastAsia="en-GB"/>
        </w:rPr>
        <w:t xml:space="preserve"> women do as an extension of their gender role. Another finding that the research showed was that non-members did more unpaid work and members undertake more paid and community work.</w:t>
      </w:r>
      <w:r w:rsidR="003F4DB5" w:rsidRPr="009A7163">
        <w:rPr>
          <w:rFonts w:eastAsiaTheme="minorHAnsi"/>
          <w:lang w:eastAsia="en-GB"/>
        </w:rPr>
        <w:t xml:space="preserve"> </w:t>
      </w:r>
      <w:r w:rsidRPr="009A7163">
        <w:rPr>
          <w:rFonts w:eastAsiaTheme="minorHAnsi"/>
          <w:lang w:eastAsia="en-GB"/>
        </w:rPr>
        <w:t xml:space="preserve">Teresa undertook paid work and community work as well as unpaid work in her ‘paid’ role. However as mentioned above often unpaid work is redistributed to other women in the household as a consequence. Which leads to another key finding that time spent on unpaid work is related to a gendered division of labour and marital status and age. Unpaid work is passed on to other women in the family who are often younger. For example, in the </w:t>
      </w:r>
      <w:r w:rsidR="005B207F" w:rsidRPr="009A7163">
        <w:rPr>
          <w:rFonts w:eastAsiaTheme="minorHAnsi"/>
          <w:lang w:eastAsia="en-GB"/>
        </w:rPr>
        <w:t>TUS</w:t>
      </w:r>
      <w:r w:rsidRPr="009A7163">
        <w:rPr>
          <w:rFonts w:eastAsiaTheme="minorHAnsi"/>
          <w:lang w:eastAsia="en-GB"/>
        </w:rPr>
        <w:t>s, in the overall group, single women did less unpaid work overall during the different research rounds, whilst daughters of farmers did more unpaid work at harvest time and the least during non-harvest.</w:t>
      </w:r>
    </w:p>
    <w:p w14:paraId="2CBD29C1" w14:textId="42A995C9" w:rsidR="00C20FCD" w:rsidRPr="009A7163" w:rsidRDefault="00C20FCD" w:rsidP="005B207F">
      <w:pPr>
        <w:spacing w:line="360" w:lineRule="auto"/>
        <w:ind w:firstLine="720"/>
        <w:jc w:val="both"/>
        <w:rPr>
          <w:rFonts w:eastAsiaTheme="minorHAnsi"/>
          <w:lang w:eastAsia="en-GB"/>
        </w:rPr>
      </w:pPr>
      <w:bookmarkStart w:id="123" w:name="OLE_LINK1"/>
      <w:r w:rsidRPr="009A7163">
        <w:rPr>
          <w:rFonts w:eastAsiaTheme="minorHAnsi"/>
          <w:lang w:eastAsia="en-GB"/>
        </w:rPr>
        <w:t xml:space="preserve">The final key message is that the implicit assumption noted at the beginning of this dissertation study – that the longer women participated in the initiative and became empowered, the more likely they were to reduce and redistribute </w:t>
      </w:r>
      <w:r w:rsidR="003A2C87" w:rsidRPr="009A7163">
        <w:rPr>
          <w:rFonts w:eastAsiaTheme="minorHAnsi"/>
          <w:lang w:eastAsia="en-GB"/>
        </w:rPr>
        <w:t>UCW</w:t>
      </w:r>
      <w:r w:rsidR="005B494A" w:rsidRPr="009A7163">
        <w:rPr>
          <w:rFonts w:eastAsiaTheme="minorHAnsi"/>
          <w:lang w:eastAsia="en-GB"/>
        </w:rPr>
        <w:t xml:space="preserve"> –</w:t>
      </w:r>
      <w:r w:rsidR="005B207F" w:rsidRPr="009A7163">
        <w:rPr>
          <w:rFonts w:eastAsiaTheme="minorHAnsi"/>
          <w:lang w:eastAsia="en-GB"/>
        </w:rPr>
        <w:t xml:space="preserve"> </w:t>
      </w:r>
      <w:r w:rsidRPr="009A7163">
        <w:rPr>
          <w:rFonts w:eastAsiaTheme="minorHAnsi"/>
          <w:lang w:eastAsia="en-GB"/>
        </w:rPr>
        <w:t>was not found to be true</w:t>
      </w:r>
      <w:bookmarkEnd w:id="123"/>
      <w:r w:rsidRPr="009A7163">
        <w:rPr>
          <w:rFonts w:eastAsiaTheme="minorHAnsi"/>
          <w:lang w:eastAsia="en-GB"/>
        </w:rPr>
        <w:t xml:space="preserve">. For example, in the overall group in the post-harvest data round, women </w:t>
      </w:r>
      <w:r w:rsidRPr="009A7163">
        <w:rPr>
          <w:rFonts w:eastAsiaTheme="minorHAnsi"/>
          <w:lang w:eastAsia="en-GB"/>
        </w:rPr>
        <w:lastRenderedPageBreak/>
        <w:t xml:space="preserve">performed the same high amount of </w:t>
      </w:r>
      <w:r w:rsidR="003A2C87" w:rsidRPr="009A7163">
        <w:rPr>
          <w:rFonts w:eastAsiaTheme="minorHAnsi"/>
          <w:lang w:eastAsia="en-GB"/>
        </w:rPr>
        <w:t>UCW</w:t>
      </w:r>
      <w:r w:rsidRPr="009A7163">
        <w:rPr>
          <w:rFonts w:eastAsiaTheme="minorHAnsi"/>
          <w:lang w:eastAsia="en-GB"/>
        </w:rPr>
        <w:t xml:space="preserve">: 59% for those with less than 3 years participating and 63% for those who have between 3–6 years participating in the initiative. The household survey results confirmed this: the women showed that they are unlikely to pay or outsource work in order to reduce unpaid work (see Figure </w:t>
      </w:r>
      <w:r w:rsidR="00A133BF" w:rsidRPr="009A7163">
        <w:rPr>
          <w:rFonts w:eastAsiaTheme="minorHAnsi"/>
          <w:lang w:eastAsia="en-GB"/>
        </w:rPr>
        <w:t>6.2</w:t>
      </w:r>
      <w:r w:rsidRPr="009A7163">
        <w:rPr>
          <w:rFonts w:eastAsiaTheme="minorHAnsi"/>
          <w:lang w:eastAsia="en-GB"/>
        </w:rPr>
        <w:t xml:space="preserve">) or ask for support in order to redistribute the work (see Table </w:t>
      </w:r>
      <w:r w:rsidR="00A133BF" w:rsidRPr="009A7163">
        <w:rPr>
          <w:rFonts w:eastAsiaTheme="minorHAnsi"/>
          <w:lang w:eastAsia="en-GB"/>
        </w:rPr>
        <w:t>6.1</w:t>
      </w:r>
      <w:r w:rsidRPr="009A7163">
        <w:rPr>
          <w:rFonts w:eastAsiaTheme="minorHAnsi"/>
          <w:lang w:eastAsia="en-GB"/>
        </w:rPr>
        <w:t xml:space="preserve">). It is important to note though that whilst ‘reducing’ and ‘redistributing’ </w:t>
      </w:r>
      <w:r w:rsidR="003A2C87" w:rsidRPr="009A7163">
        <w:rPr>
          <w:rFonts w:eastAsiaTheme="minorHAnsi"/>
          <w:lang w:eastAsia="en-GB"/>
        </w:rPr>
        <w:t>UCW</w:t>
      </w:r>
      <w:r w:rsidRPr="009A7163">
        <w:rPr>
          <w:rFonts w:eastAsiaTheme="minorHAnsi"/>
          <w:lang w:eastAsia="en-GB"/>
        </w:rPr>
        <w:t xml:space="preserve"> has been advocated</w:t>
      </w:r>
      <w:r w:rsidR="003F4DB5" w:rsidRPr="009A7163">
        <w:rPr>
          <w:rFonts w:eastAsiaTheme="minorHAnsi"/>
          <w:lang w:eastAsia="en-GB"/>
        </w:rPr>
        <w:t xml:space="preserve"> (part of Triple R framework)</w:t>
      </w:r>
      <w:r w:rsidRPr="009A7163">
        <w:rPr>
          <w:rFonts w:eastAsiaTheme="minorHAnsi"/>
          <w:lang w:eastAsia="en-GB"/>
        </w:rPr>
        <w:t>,</w:t>
      </w:r>
      <w:r w:rsidR="003F4DB5" w:rsidRPr="009A7163">
        <w:rPr>
          <w:rFonts w:eastAsiaTheme="minorHAnsi"/>
          <w:lang w:eastAsia="en-GB"/>
        </w:rPr>
        <w:t xml:space="preserve"> </w:t>
      </w:r>
      <w:r w:rsidRPr="009A7163">
        <w:rPr>
          <w:rFonts w:eastAsiaTheme="minorHAnsi"/>
          <w:lang w:eastAsia="en-GB"/>
        </w:rPr>
        <w:t>redistribution is not always ‘empowering’ or happens in a neutral way – it often remained gendered. In many instances, younger women and children took on the work.</w:t>
      </w:r>
    </w:p>
    <w:p w14:paraId="09C55711" w14:textId="1A2F6293" w:rsidR="00C20FCD" w:rsidRPr="009A7163" w:rsidRDefault="00C20FCD" w:rsidP="00293176">
      <w:pPr>
        <w:pStyle w:val="FigureTOCCaption"/>
        <w:rPr>
          <w:rFonts w:eastAsiaTheme="minorHAnsi"/>
          <w:lang w:val="en-GB" w:eastAsia="en-GB"/>
        </w:rPr>
      </w:pPr>
      <w:bookmarkStart w:id="124" w:name="_Toc526710027"/>
      <w:r w:rsidRPr="009A7163">
        <w:rPr>
          <w:rFonts w:eastAsiaTheme="minorHAnsi"/>
          <w:lang w:val="en-GB" w:eastAsia="en-GB"/>
        </w:rPr>
        <w:t xml:space="preserve">Figure </w:t>
      </w:r>
      <w:r w:rsidR="00A133BF" w:rsidRPr="009A7163">
        <w:rPr>
          <w:rFonts w:eastAsiaTheme="minorHAnsi"/>
          <w:lang w:val="en-GB" w:eastAsia="en-GB"/>
        </w:rPr>
        <w:t>6.2</w:t>
      </w:r>
      <w:r w:rsidRPr="009A7163">
        <w:rPr>
          <w:rFonts w:eastAsiaTheme="minorHAnsi"/>
          <w:lang w:val="en-GB" w:eastAsia="en-GB"/>
        </w:rPr>
        <w:t>. Household Survey Question 6.3</w:t>
      </w:r>
      <w:bookmarkEnd w:id="124"/>
    </w:p>
    <w:p w14:paraId="72A9F061" w14:textId="77777777" w:rsidR="00C20FCD" w:rsidRPr="009A7163" w:rsidRDefault="00C20FCD" w:rsidP="008C041F">
      <w:pPr>
        <w:spacing w:line="360" w:lineRule="auto"/>
        <w:rPr>
          <w:rFonts w:eastAsiaTheme="minorHAnsi"/>
          <w:lang w:eastAsia="en-GB"/>
        </w:rPr>
      </w:pPr>
      <w:r w:rsidRPr="009A7163">
        <w:rPr>
          <w:rFonts w:eastAsiaTheme="minorHAnsi"/>
          <w:noProof/>
          <w:lang w:eastAsia="en-GB"/>
        </w:rPr>
        <w:drawing>
          <wp:inline distT="0" distB="0" distL="0" distR="0" wp14:anchorId="79107807" wp14:editId="1EBE47CD">
            <wp:extent cx="5734756" cy="4538134"/>
            <wp:effectExtent l="0" t="0" r="571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77A4D5" w14:textId="2950F775" w:rsidR="00C20FCD" w:rsidRDefault="00C20FCD">
      <w:pPr>
        <w:spacing w:line="360" w:lineRule="auto"/>
        <w:rPr>
          <w:rFonts w:eastAsiaTheme="minorHAnsi"/>
          <w:b/>
          <w:lang w:eastAsia="en-GB"/>
        </w:rPr>
      </w:pPr>
    </w:p>
    <w:p w14:paraId="223203DF" w14:textId="46901E6C" w:rsidR="002579C3" w:rsidRDefault="002579C3">
      <w:pPr>
        <w:spacing w:line="360" w:lineRule="auto"/>
        <w:rPr>
          <w:rFonts w:eastAsiaTheme="minorHAnsi"/>
          <w:b/>
          <w:lang w:eastAsia="en-GB"/>
        </w:rPr>
      </w:pPr>
    </w:p>
    <w:p w14:paraId="21EBEDCD" w14:textId="6DB2810F" w:rsidR="002579C3" w:rsidRDefault="002579C3">
      <w:pPr>
        <w:spacing w:line="360" w:lineRule="auto"/>
        <w:rPr>
          <w:rFonts w:eastAsiaTheme="minorHAnsi"/>
          <w:b/>
          <w:lang w:eastAsia="en-GB"/>
        </w:rPr>
      </w:pPr>
    </w:p>
    <w:p w14:paraId="740E1E13" w14:textId="0C41AB13" w:rsidR="002579C3" w:rsidRDefault="002579C3">
      <w:pPr>
        <w:spacing w:line="360" w:lineRule="auto"/>
        <w:rPr>
          <w:rFonts w:eastAsiaTheme="minorHAnsi"/>
          <w:b/>
          <w:lang w:eastAsia="en-GB"/>
        </w:rPr>
      </w:pPr>
    </w:p>
    <w:p w14:paraId="4E4CAAA1" w14:textId="77777777" w:rsidR="002579C3" w:rsidRPr="009A7163" w:rsidRDefault="002579C3">
      <w:pPr>
        <w:spacing w:line="360" w:lineRule="auto"/>
        <w:rPr>
          <w:rFonts w:eastAsiaTheme="minorHAnsi"/>
          <w:b/>
          <w:lang w:eastAsia="en-GB"/>
        </w:rPr>
      </w:pPr>
    </w:p>
    <w:p w14:paraId="14FB794A" w14:textId="4EBD8B2A" w:rsidR="00C20FCD" w:rsidRPr="009A7163" w:rsidRDefault="00C20FCD">
      <w:pPr>
        <w:spacing w:line="360" w:lineRule="auto"/>
        <w:rPr>
          <w:rFonts w:eastAsiaTheme="minorHAnsi"/>
          <w:b/>
          <w:lang w:eastAsia="en-GB"/>
        </w:rPr>
      </w:pPr>
      <w:bookmarkStart w:id="125" w:name="_Toc526710019"/>
      <w:r w:rsidRPr="009A7163">
        <w:rPr>
          <w:rStyle w:val="TableTOCChar"/>
        </w:rPr>
        <w:lastRenderedPageBreak/>
        <w:t xml:space="preserve">Table </w:t>
      </w:r>
      <w:r w:rsidR="00A133BF" w:rsidRPr="009A7163">
        <w:rPr>
          <w:rStyle w:val="TableTOCChar"/>
        </w:rPr>
        <w:t>6.1.</w:t>
      </w:r>
      <w:r w:rsidRPr="009A7163">
        <w:rPr>
          <w:rStyle w:val="TableTOCChar"/>
        </w:rPr>
        <w:t xml:space="preserve"> Household Survey Question 7.21</w:t>
      </w:r>
      <w:bookmarkEnd w:id="125"/>
    </w:p>
    <w:tbl>
      <w:tblPr>
        <w:tblW w:w="8547" w:type="dxa"/>
        <w:tblLook w:val="04A0" w:firstRow="1" w:lastRow="0" w:firstColumn="1" w:lastColumn="0" w:noHBand="0" w:noVBand="1"/>
      </w:tblPr>
      <w:tblGrid>
        <w:gridCol w:w="1322"/>
        <w:gridCol w:w="2069"/>
        <w:gridCol w:w="1287"/>
        <w:gridCol w:w="1318"/>
        <w:gridCol w:w="1302"/>
        <w:gridCol w:w="1249"/>
      </w:tblGrid>
      <w:tr w:rsidR="00C20FCD" w:rsidRPr="009A7163" w14:paraId="668FDAEA" w14:textId="77777777" w:rsidTr="00CB5642">
        <w:trPr>
          <w:trHeight w:val="295"/>
        </w:trPr>
        <w:tc>
          <w:tcPr>
            <w:tcW w:w="85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68D3BE" w14:textId="77777777" w:rsidR="00C20FCD" w:rsidRPr="009A7163" w:rsidRDefault="00C20FCD">
            <w:pPr>
              <w:spacing w:line="360" w:lineRule="auto"/>
              <w:rPr>
                <w:i/>
                <w:lang w:eastAsia="en-GB"/>
              </w:rPr>
            </w:pPr>
            <w:r w:rsidRPr="009A7163">
              <w:rPr>
                <w:i/>
                <w:lang w:eastAsia="en-GB"/>
              </w:rPr>
              <w:t>Who do you ask for support to perform these activities?</w:t>
            </w:r>
          </w:p>
        </w:tc>
      </w:tr>
      <w:tr w:rsidR="00C20FCD" w:rsidRPr="009A7163" w14:paraId="7062F63C" w14:textId="77777777" w:rsidTr="00CB5642">
        <w:trPr>
          <w:trHeight w:val="560"/>
        </w:trPr>
        <w:tc>
          <w:tcPr>
            <w:tcW w:w="1322" w:type="dxa"/>
            <w:tcBorders>
              <w:top w:val="single" w:sz="4" w:space="0" w:color="auto"/>
              <w:left w:val="single" w:sz="4" w:space="0" w:color="auto"/>
              <w:bottom w:val="single" w:sz="4" w:space="0" w:color="auto"/>
              <w:right w:val="nil"/>
            </w:tcBorders>
            <w:shd w:val="clear" w:color="auto" w:fill="auto"/>
            <w:vAlign w:val="bottom"/>
            <w:hideMark/>
          </w:tcPr>
          <w:p w14:paraId="37CE3A5F" w14:textId="77777777" w:rsidR="00C20FCD" w:rsidRPr="009A7163" w:rsidRDefault="00C20FCD" w:rsidP="008C041F">
            <w:pPr>
              <w:jc w:val="center"/>
              <w:rPr>
                <w:lang w:eastAsia="en-GB"/>
              </w:rPr>
            </w:pPr>
            <w:r w:rsidRPr="009A7163">
              <w:rPr>
                <w:lang w:eastAsia="en-GB"/>
              </w:rPr>
              <w:t>Nobody</w:t>
            </w:r>
          </w:p>
        </w:tc>
        <w:tc>
          <w:tcPr>
            <w:tcW w:w="2069" w:type="dxa"/>
            <w:tcBorders>
              <w:top w:val="single" w:sz="4" w:space="0" w:color="auto"/>
              <w:left w:val="nil"/>
              <w:bottom w:val="single" w:sz="4" w:space="0" w:color="auto"/>
              <w:right w:val="nil"/>
            </w:tcBorders>
            <w:shd w:val="clear" w:color="auto" w:fill="auto"/>
            <w:vAlign w:val="bottom"/>
            <w:hideMark/>
          </w:tcPr>
          <w:p w14:paraId="7DA20F8C" w14:textId="77777777" w:rsidR="00C20FCD" w:rsidRPr="009A7163" w:rsidRDefault="00C20FCD">
            <w:pPr>
              <w:jc w:val="center"/>
              <w:rPr>
                <w:lang w:eastAsia="en-GB"/>
              </w:rPr>
            </w:pPr>
            <w:r w:rsidRPr="009A7163">
              <w:rPr>
                <w:lang w:eastAsia="en-GB"/>
              </w:rPr>
              <w:t>Daughter/Daughter in law</w:t>
            </w:r>
          </w:p>
        </w:tc>
        <w:tc>
          <w:tcPr>
            <w:tcW w:w="1287" w:type="dxa"/>
            <w:tcBorders>
              <w:top w:val="single" w:sz="4" w:space="0" w:color="auto"/>
              <w:left w:val="nil"/>
              <w:bottom w:val="single" w:sz="4" w:space="0" w:color="auto"/>
              <w:right w:val="nil"/>
            </w:tcBorders>
            <w:shd w:val="clear" w:color="auto" w:fill="auto"/>
            <w:vAlign w:val="bottom"/>
            <w:hideMark/>
          </w:tcPr>
          <w:p w14:paraId="4D3B612C" w14:textId="77777777" w:rsidR="00C20FCD" w:rsidRPr="009A7163" w:rsidRDefault="00C20FCD">
            <w:pPr>
              <w:jc w:val="center"/>
              <w:rPr>
                <w:lang w:eastAsia="en-GB"/>
              </w:rPr>
            </w:pPr>
            <w:r w:rsidRPr="009A7163">
              <w:rPr>
                <w:lang w:eastAsia="en-GB"/>
              </w:rPr>
              <w:t>Son</w:t>
            </w:r>
          </w:p>
        </w:tc>
        <w:tc>
          <w:tcPr>
            <w:tcW w:w="1318" w:type="dxa"/>
            <w:tcBorders>
              <w:top w:val="single" w:sz="4" w:space="0" w:color="auto"/>
              <w:left w:val="nil"/>
              <w:bottom w:val="single" w:sz="4" w:space="0" w:color="auto"/>
              <w:right w:val="nil"/>
            </w:tcBorders>
            <w:shd w:val="clear" w:color="auto" w:fill="auto"/>
            <w:vAlign w:val="bottom"/>
            <w:hideMark/>
          </w:tcPr>
          <w:p w14:paraId="7A0BC3CD" w14:textId="77777777" w:rsidR="00C20FCD" w:rsidRPr="009A7163" w:rsidRDefault="00C20FCD">
            <w:pPr>
              <w:jc w:val="center"/>
              <w:rPr>
                <w:lang w:eastAsia="en-GB"/>
              </w:rPr>
            </w:pPr>
            <w:r w:rsidRPr="009A7163">
              <w:rPr>
                <w:lang w:eastAsia="en-GB"/>
              </w:rPr>
              <w:t>Another woman</w:t>
            </w:r>
          </w:p>
        </w:tc>
        <w:tc>
          <w:tcPr>
            <w:tcW w:w="1302" w:type="dxa"/>
            <w:tcBorders>
              <w:top w:val="single" w:sz="4" w:space="0" w:color="auto"/>
              <w:left w:val="nil"/>
              <w:bottom w:val="single" w:sz="4" w:space="0" w:color="auto"/>
              <w:right w:val="nil"/>
            </w:tcBorders>
            <w:shd w:val="clear" w:color="auto" w:fill="auto"/>
            <w:vAlign w:val="bottom"/>
            <w:hideMark/>
          </w:tcPr>
          <w:p w14:paraId="3063821D" w14:textId="77777777" w:rsidR="00C20FCD" w:rsidRPr="009A7163" w:rsidRDefault="00C20FCD">
            <w:pPr>
              <w:jc w:val="center"/>
              <w:rPr>
                <w:lang w:eastAsia="en-GB"/>
              </w:rPr>
            </w:pPr>
            <w:r w:rsidRPr="009A7163">
              <w:rPr>
                <w:lang w:eastAsia="en-GB"/>
              </w:rPr>
              <w:t>Other man</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74836913" w14:textId="77777777" w:rsidR="00C20FCD" w:rsidRPr="009A7163" w:rsidRDefault="00C20FCD">
            <w:pPr>
              <w:jc w:val="center"/>
              <w:rPr>
                <w:lang w:eastAsia="en-GB"/>
              </w:rPr>
            </w:pPr>
          </w:p>
        </w:tc>
      </w:tr>
      <w:tr w:rsidR="00C20FCD" w:rsidRPr="009A7163" w14:paraId="741B30E8" w14:textId="77777777" w:rsidTr="00CB5642">
        <w:trPr>
          <w:trHeight w:val="280"/>
        </w:trPr>
        <w:tc>
          <w:tcPr>
            <w:tcW w:w="1322" w:type="dxa"/>
            <w:tcBorders>
              <w:top w:val="single" w:sz="4" w:space="0" w:color="auto"/>
              <w:left w:val="single" w:sz="4" w:space="0" w:color="auto"/>
              <w:bottom w:val="single" w:sz="4" w:space="0" w:color="auto"/>
              <w:right w:val="nil"/>
            </w:tcBorders>
            <w:shd w:val="clear" w:color="auto" w:fill="auto"/>
            <w:vAlign w:val="bottom"/>
            <w:hideMark/>
          </w:tcPr>
          <w:p w14:paraId="1F8D5136" w14:textId="77777777" w:rsidR="00C20FCD" w:rsidRPr="009A7163" w:rsidRDefault="00C20FCD" w:rsidP="008C041F">
            <w:pPr>
              <w:spacing w:line="360" w:lineRule="auto"/>
              <w:jc w:val="center"/>
              <w:rPr>
                <w:lang w:eastAsia="en-GB"/>
              </w:rPr>
            </w:pPr>
            <w:r w:rsidRPr="009A7163">
              <w:rPr>
                <w:lang w:eastAsia="en-GB"/>
              </w:rPr>
              <w:t>48%</w:t>
            </w:r>
          </w:p>
        </w:tc>
        <w:tc>
          <w:tcPr>
            <w:tcW w:w="2069" w:type="dxa"/>
            <w:tcBorders>
              <w:top w:val="single" w:sz="4" w:space="0" w:color="auto"/>
              <w:left w:val="nil"/>
              <w:bottom w:val="single" w:sz="4" w:space="0" w:color="auto"/>
              <w:right w:val="nil"/>
            </w:tcBorders>
            <w:shd w:val="clear" w:color="auto" w:fill="auto"/>
            <w:vAlign w:val="bottom"/>
            <w:hideMark/>
          </w:tcPr>
          <w:p w14:paraId="0B715060" w14:textId="77777777" w:rsidR="00C20FCD" w:rsidRPr="009A7163" w:rsidRDefault="00C20FCD">
            <w:pPr>
              <w:spacing w:line="360" w:lineRule="auto"/>
              <w:jc w:val="center"/>
              <w:rPr>
                <w:lang w:eastAsia="en-GB"/>
              </w:rPr>
            </w:pPr>
            <w:r w:rsidRPr="009A7163">
              <w:rPr>
                <w:lang w:eastAsia="en-GB"/>
              </w:rPr>
              <w:t>26%</w:t>
            </w:r>
          </w:p>
        </w:tc>
        <w:tc>
          <w:tcPr>
            <w:tcW w:w="1287" w:type="dxa"/>
            <w:tcBorders>
              <w:top w:val="single" w:sz="4" w:space="0" w:color="auto"/>
              <w:left w:val="nil"/>
              <w:bottom w:val="single" w:sz="4" w:space="0" w:color="auto"/>
              <w:right w:val="nil"/>
            </w:tcBorders>
            <w:shd w:val="clear" w:color="auto" w:fill="auto"/>
            <w:vAlign w:val="bottom"/>
            <w:hideMark/>
          </w:tcPr>
          <w:p w14:paraId="1525187E" w14:textId="77777777" w:rsidR="00C20FCD" w:rsidRPr="009A7163" w:rsidRDefault="00C20FCD">
            <w:pPr>
              <w:spacing w:line="360" w:lineRule="auto"/>
              <w:jc w:val="center"/>
              <w:rPr>
                <w:lang w:eastAsia="en-GB"/>
              </w:rPr>
            </w:pPr>
            <w:r w:rsidRPr="009A7163">
              <w:rPr>
                <w:lang w:eastAsia="en-GB"/>
              </w:rPr>
              <w:t>4%</w:t>
            </w:r>
          </w:p>
        </w:tc>
        <w:tc>
          <w:tcPr>
            <w:tcW w:w="1318" w:type="dxa"/>
            <w:tcBorders>
              <w:top w:val="single" w:sz="4" w:space="0" w:color="auto"/>
              <w:left w:val="nil"/>
              <w:bottom w:val="single" w:sz="4" w:space="0" w:color="auto"/>
              <w:right w:val="nil"/>
            </w:tcBorders>
            <w:shd w:val="clear" w:color="auto" w:fill="auto"/>
            <w:vAlign w:val="bottom"/>
            <w:hideMark/>
          </w:tcPr>
          <w:p w14:paraId="4B29544B" w14:textId="77777777" w:rsidR="00C20FCD" w:rsidRPr="009A7163" w:rsidRDefault="00C20FCD">
            <w:pPr>
              <w:spacing w:line="360" w:lineRule="auto"/>
              <w:jc w:val="center"/>
              <w:rPr>
                <w:lang w:eastAsia="en-GB"/>
              </w:rPr>
            </w:pPr>
            <w:r w:rsidRPr="009A7163">
              <w:rPr>
                <w:lang w:eastAsia="en-GB"/>
              </w:rPr>
              <w:t>17%</w:t>
            </w:r>
          </w:p>
        </w:tc>
        <w:tc>
          <w:tcPr>
            <w:tcW w:w="1302" w:type="dxa"/>
            <w:tcBorders>
              <w:top w:val="single" w:sz="4" w:space="0" w:color="auto"/>
              <w:left w:val="nil"/>
              <w:bottom w:val="single" w:sz="4" w:space="0" w:color="auto"/>
              <w:right w:val="nil"/>
            </w:tcBorders>
            <w:shd w:val="clear" w:color="auto" w:fill="auto"/>
            <w:vAlign w:val="bottom"/>
            <w:hideMark/>
          </w:tcPr>
          <w:p w14:paraId="0B9395C5" w14:textId="77777777" w:rsidR="00C20FCD" w:rsidRPr="009A7163" w:rsidRDefault="00C20FCD">
            <w:pPr>
              <w:spacing w:line="360" w:lineRule="auto"/>
              <w:jc w:val="center"/>
              <w:rPr>
                <w:lang w:eastAsia="en-GB"/>
              </w:rPr>
            </w:pPr>
            <w:r w:rsidRPr="009A7163">
              <w:rPr>
                <w:lang w:eastAsia="en-GB"/>
              </w:rPr>
              <w:t>4%</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37E555D9" w14:textId="77777777" w:rsidR="00C20FCD" w:rsidRPr="009A7163" w:rsidRDefault="00C20FCD">
            <w:pPr>
              <w:spacing w:line="360" w:lineRule="auto"/>
              <w:jc w:val="center"/>
              <w:rPr>
                <w:lang w:eastAsia="en-GB"/>
              </w:rPr>
            </w:pPr>
          </w:p>
        </w:tc>
      </w:tr>
      <w:tr w:rsidR="00C20FCD" w:rsidRPr="009A7163" w14:paraId="3028AB92" w14:textId="77777777" w:rsidTr="00CB5642">
        <w:trPr>
          <w:trHeight w:val="280"/>
        </w:trPr>
        <w:tc>
          <w:tcPr>
            <w:tcW w:w="1322" w:type="dxa"/>
            <w:tcBorders>
              <w:top w:val="single" w:sz="4" w:space="0" w:color="auto"/>
              <w:left w:val="nil"/>
              <w:bottom w:val="nil"/>
              <w:right w:val="nil"/>
            </w:tcBorders>
            <w:shd w:val="clear" w:color="auto" w:fill="auto"/>
            <w:noWrap/>
            <w:vAlign w:val="bottom"/>
            <w:hideMark/>
          </w:tcPr>
          <w:p w14:paraId="523034A2" w14:textId="77777777" w:rsidR="00C20FCD" w:rsidRPr="009A7163" w:rsidRDefault="00C20FCD" w:rsidP="008C041F">
            <w:pPr>
              <w:spacing w:line="360" w:lineRule="auto"/>
              <w:rPr>
                <w:lang w:eastAsia="en-GB"/>
              </w:rPr>
            </w:pPr>
          </w:p>
        </w:tc>
        <w:tc>
          <w:tcPr>
            <w:tcW w:w="2069" w:type="dxa"/>
            <w:tcBorders>
              <w:top w:val="single" w:sz="4" w:space="0" w:color="auto"/>
              <w:left w:val="nil"/>
              <w:bottom w:val="nil"/>
              <w:right w:val="nil"/>
            </w:tcBorders>
            <w:shd w:val="clear" w:color="auto" w:fill="auto"/>
            <w:noWrap/>
            <w:vAlign w:val="bottom"/>
            <w:hideMark/>
          </w:tcPr>
          <w:p w14:paraId="1E600A8A" w14:textId="77777777" w:rsidR="00C20FCD" w:rsidRPr="009A7163" w:rsidRDefault="00C20FCD">
            <w:pPr>
              <w:spacing w:line="360" w:lineRule="auto"/>
              <w:rPr>
                <w:lang w:eastAsia="en-GB"/>
              </w:rPr>
            </w:pPr>
          </w:p>
        </w:tc>
        <w:tc>
          <w:tcPr>
            <w:tcW w:w="1287" w:type="dxa"/>
            <w:tcBorders>
              <w:top w:val="single" w:sz="4" w:space="0" w:color="auto"/>
              <w:left w:val="nil"/>
              <w:bottom w:val="nil"/>
              <w:right w:val="nil"/>
            </w:tcBorders>
            <w:shd w:val="clear" w:color="auto" w:fill="auto"/>
            <w:noWrap/>
            <w:vAlign w:val="bottom"/>
            <w:hideMark/>
          </w:tcPr>
          <w:p w14:paraId="658101E2" w14:textId="77777777" w:rsidR="00C20FCD" w:rsidRPr="009A7163" w:rsidRDefault="00C20FCD">
            <w:pPr>
              <w:spacing w:line="360" w:lineRule="auto"/>
              <w:rPr>
                <w:lang w:eastAsia="en-GB"/>
              </w:rPr>
            </w:pPr>
          </w:p>
        </w:tc>
        <w:tc>
          <w:tcPr>
            <w:tcW w:w="1318" w:type="dxa"/>
            <w:tcBorders>
              <w:top w:val="single" w:sz="4" w:space="0" w:color="auto"/>
              <w:left w:val="nil"/>
              <w:bottom w:val="nil"/>
              <w:right w:val="nil"/>
            </w:tcBorders>
            <w:shd w:val="clear" w:color="auto" w:fill="auto"/>
            <w:noWrap/>
            <w:vAlign w:val="bottom"/>
            <w:hideMark/>
          </w:tcPr>
          <w:p w14:paraId="21322C52" w14:textId="77777777" w:rsidR="00C20FCD" w:rsidRPr="009A7163" w:rsidRDefault="00C20FCD">
            <w:pPr>
              <w:spacing w:line="360" w:lineRule="auto"/>
              <w:rPr>
                <w:lang w:eastAsia="en-GB"/>
              </w:rPr>
            </w:pPr>
          </w:p>
        </w:tc>
        <w:tc>
          <w:tcPr>
            <w:tcW w:w="1302" w:type="dxa"/>
            <w:tcBorders>
              <w:top w:val="single" w:sz="4" w:space="0" w:color="auto"/>
              <w:left w:val="nil"/>
              <w:bottom w:val="nil"/>
              <w:right w:val="nil"/>
            </w:tcBorders>
            <w:shd w:val="clear" w:color="auto" w:fill="auto"/>
            <w:noWrap/>
            <w:vAlign w:val="bottom"/>
            <w:hideMark/>
          </w:tcPr>
          <w:p w14:paraId="1CDB0AE0" w14:textId="77777777" w:rsidR="00C20FCD" w:rsidRPr="009A7163" w:rsidRDefault="00C20FCD">
            <w:pPr>
              <w:spacing w:line="360" w:lineRule="auto"/>
              <w:rPr>
                <w:lang w:eastAsia="en-GB"/>
              </w:rPr>
            </w:pPr>
          </w:p>
        </w:tc>
        <w:tc>
          <w:tcPr>
            <w:tcW w:w="1249" w:type="dxa"/>
            <w:tcBorders>
              <w:top w:val="single" w:sz="4" w:space="0" w:color="auto"/>
              <w:left w:val="nil"/>
              <w:bottom w:val="nil"/>
              <w:right w:val="nil"/>
            </w:tcBorders>
            <w:shd w:val="clear" w:color="auto" w:fill="auto"/>
            <w:noWrap/>
            <w:vAlign w:val="bottom"/>
            <w:hideMark/>
          </w:tcPr>
          <w:p w14:paraId="1A3CF8FC" w14:textId="77777777" w:rsidR="00C20FCD" w:rsidRPr="009A7163" w:rsidRDefault="00C20FCD">
            <w:pPr>
              <w:spacing w:line="360" w:lineRule="auto"/>
              <w:rPr>
                <w:lang w:eastAsia="en-GB"/>
              </w:rPr>
            </w:pPr>
          </w:p>
        </w:tc>
      </w:tr>
      <w:tr w:rsidR="00C20FCD" w:rsidRPr="009A7163" w14:paraId="00BB1E9B" w14:textId="77777777" w:rsidTr="00CB5642">
        <w:trPr>
          <w:trHeight w:val="243"/>
        </w:trPr>
        <w:tc>
          <w:tcPr>
            <w:tcW w:w="1322" w:type="dxa"/>
            <w:tcBorders>
              <w:top w:val="nil"/>
              <w:left w:val="nil"/>
              <w:bottom w:val="nil"/>
              <w:right w:val="nil"/>
            </w:tcBorders>
            <w:shd w:val="clear" w:color="auto" w:fill="auto"/>
            <w:noWrap/>
            <w:vAlign w:val="bottom"/>
            <w:hideMark/>
          </w:tcPr>
          <w:p w14:paraId="234AD995" w14:textId="77777777" w:rsidR="00C20FCD" w:rsidRPr="009A7163" w:rsidRDefault="00C20FCD" w:rsidP="008C041F">
            <w:pPr>
              <w:spacing w:line="360" w:lineRule="auto"/>
              <w:rPr>
                <w:lang w:eastAsia="en-GB"/>
              </w:rPr>
            </w:pPr>
          </w:p>
        </w:tc>
        <w:tc>
          <w:tcPr>
            <w:tcW w:w="2069" w:type="dxa"/>
            <w:tcBorders>
              <w:top w:val="nil"/>
              <w:left w:val="nil"/>
              <w:bottom w:val="nil"/>
              <w:right w:val="nil"/>
            </w:tcBorders>
            <w:shd w:val="clear" w:color="auto" w:fill="auto"/>
            <w:noWrap/>
            <w:vAlign w:val="bottom"/>
            <w:hideMark/>
          </w:tcPr>
          <w:p w14:paraId="0989DEEE" w14:textId="77777777" w:rsidR="00C20FCD" w:rsidRPr="009A7163" w:rsidRDefault="00C20FCD">
            <w:pPr>
              <w:spacing w:line="360" w:lineRule="auto"/>
              <w:rPr>
                <w:lang w:eastAsia="en-GB"/>
              </w:rPr>
            </w:pPr>
          </w:p>
        </w:tc>
        <w:tc>
          <w:tcPr>
            <w:tcW w:w="1287" w:type="dxa"/>
            <w:tcBorders>
              <w:top w:val="nil"/>
              <w:left w:val="nil"/>
              <w:bottom w:val="nil"/>
              <w:right w:val="nil"/>
            </w:tcBorders>
            <w:shd w:val="clear" w:color="auto" w:fill="auto"/>
            <w:noWrap/>
            <w:vAlign w:val="bottom"/>
            <w:hideMark/>
          </w:tcPr>
          <w:p w14:paraId="093A13FA" w14:textId="77777777" w:rsidR="00C20FCD" w:rsidRPr="009A7163" w:rsidRDefault="00C20FCD">
            <w:pPr>
              <w:spacing w:line="360" w:lineRule="auto"/>
              <w:rPr>
                <w:lang w:eastAsia="en-GB"/>
              </w:rPr>
            </w:pPr>
          </w:p>
        </w:tc>
        <w:tc>
          <w:tcPr>
            <w:tcW w:w="1318" w:type="dxa"/>
            <w:tcBorders>
              <w:top w:val="nil"/>
              <w:left w:val="nil"/>
              <w:bottom w:val="nil"/>
              <w:right w:val="nil"/>
            </w:tcBorders>
            <w:shd w:val="clear" w:color="auto" w:fill="auto"/>
            <w:noWrap/>
            <w:vAlign w:val="bottom"/>
            <w:hideMark/>
          </w:tcPr>
          <w:p w14:paraId="141D0430" w14:textId="77777777" w:rsidR="00C20FCD" w:rsidRPr="009A7163" w:rsidRDefault="00C20FCD">
            <w:pPr>
              <w:spacing w:line="360" w:lineRule="auto"/>
              <w:rPr>
                <w:lang w:eastAsia="en-GB"/>
              </w:rPr>
            </w:pPr>
          </w:p>
        </w:tc>
        <w:tc>
          <w:tcPr>
            <w:tcW w:w="1302" w:type="dxa"/>
            <w:tcBorders>
              <w:top w:val="nil"/>
              <w:left w:val="nil"/>
              <w:bottom w:val="nil"/>
              <w:right w:val="nil"/>
            </w:tcBorders>
            <w:shd w:val="clear" w:color="auto" w:fill="auto"/>
            <w:noWrap/>
            <w:vAlign w:val="bottom"/>
            <w:hideMark/>
          </w:tcPr>
          <w:p w14:paraId="383658EA" w14:textId="77777777" w:rsidR="00C20FCD" w:rsidRPr="009A7163" w:rsidRDefault="00C20FCD">
            <w:pPr>
              <w:spacing w:line="360" w:lineRule="auto"/>
              <w:rPr>
                <w:lang w:eastAsia="en-GB"/>
              </w:rPr>
            </w:pPr>
          </w:p>
        </w:tc>
        <w:tc>
          <w:tcPr>
            <w:tcW w:w="1249" w:type="dxa"/>
            <w:tcBorders>
              <w:top w:val="nil"/>
              <w:left w:val="nil"/>
              <w:bottom w:val="nil"/>
              <w:right w:val="nil"/>
            </w:tcBorders>
            <w:shd w:val="clear" w:color="auto" w:fill="auto"/>
            <w:noWrap/>
            <w:vAlign w:val="bottom"/>
            <w:hideMark/>
          </w:tcPr>
          <w:p w14:paraId="17FDDAAF" w14:textId="77777777" w:rsidR="00C20FCD" w:rsidRPr="009A7163" w:rsidRDefault="00C20FCD">
            <w:pPr>
              <w:spacing w:line="360" w:lineRule="auto"/>
              <w:rPr>
                <w:lang w:eastAsia="en-GB"/>
              </w:rPr>
            </w:pPr>
          </w:p>
        </w:tc>
      </w:tr>
    </w:tbl>
    <w:p w14:paraId="2591C82C" w14:textId="22B35DD1" w:rsidR="00C20FCD" w:rsidRPr="009A7163" w:rsidRDefault="00C20FCD" w:rsidP="008C041F">
      <w:pPr>
        <w:spacing w:line="360" w:lineRule="auto"/>
        <w:jc w:val="both"/>
        <w:rPr>
          <w:rFonts w:eastAsiaTheme="minorHAnsi"/>
          <w:lang w:eastAsia="en-GB"/>
        </w:rPr>
      </w:pPr>
      <w:r w:rsidRPr="009A7163">
        <w:rPr>
          <w:rFonts w:eastAsiaTheme="minorHAnsi"/>
          <w:lang w:eastAsia="en-GB"/>
        </w:rPr>
        <w:t xml:space="preserve">Finally, when asked if the women had tried to reduce their work in the last month, the majority (57%) said never, 39% said on one occasions, and 4% said weekly (see Figure </w:t>
      </w:r>
      <w:r w:rsidR="00A133BF" w:rsidRPr="009A7163">
        <w:rPr>
          <w:rFonts w:eastAsiaTheme="minorHAnsi"/>
          <w:lang w:eastAsia="en-GB"/>
        </w:rPr>
        <w:t>6.3</w:t>
      </w:r>
      <w:r w:rsidRPr="009A7163">
        <w:rPr>
          <w:rFonts w:eastAsiaTheme="minorHAnsi"/>
          <w:lang w:eastAsia="en-GB"/>
        </w:rPr>
        <w:t>).</w:t>
      </w:r>
    </w:p>
    <w:p w14:paraId="3863C4EE" w14:textId="648E92D1" w:rsidR="00C20FCD" w:rsidRPr="009A7163" w:rsidRDefault="00C20FCD" w:rsidP="00293176">
      <w:pPr>
        <w:pStyle w:val="FigureTOCCaption"/>
        <w:rPr>
          <w:rFonts w:eastAsiaTheme="minorHAnsi"/>
          <w:lang w:val="en-GB" w:eastAsia="en-GB"/>
        </w:rPr>
      </w:pPr>
      <w:bookmarkStart w:id="126" w:name="_Toc526710028"/>
      <w:r w:rsidRPr="009A7163">
        <w:rPr>
          <w:rFonts w:eastAsiaTheme="minorHAnsi"/>
          <w:lang w:val="en-GB" w:eastAsia="en-GB"/>
        </w:rPr>
        <w:t xml:space="preserve">Figure </w:t>
      </w:r>
      <w:r w:rsidR="00A133BF" w:rsidRPr="009A7163">
        <w:rPr>
          <w:rFonts w:eastAsiaTheme="minorHAnsi"/>
          <w:lang w:val="en-GB" w:eastAsia="en-GB"/>
        </w:rPr>
        <w:t>6.3</w:t>
      </w:r>
      <w:r w:rsidRPr="009A7163">
        <w:rPr>
          <w:rFonts w:eastAsiaTheme="minorHAnsi"/>
          <w:lang w:val="en-GB" w:eastAsia="en-GB"/>
        </w:rPr>
        <w:t>. Household Survey Question 8.12 on Unpaid Care Work</w:t>
      </w:r>
      <w:bookmarkEnd w:id="126"/>
    </w:p>
    <w:p w14:paraId="6686B35A" w14:textId="77777777" w:rsidR="00C20FCD" w:rsidRPr="009A7163" w:rsidRDefault="00C20FCD" w:rsidP="008C041F">
      <w:pPr>
        <w:spacing w:line="360" w:lineRule="auto"/>
        <w:rPr>
          <w:rFonts w:eastAsiaTheme="minorHAnsi"/>
          <w:lang w:eastAsia="en-GB"/>
        </w:rPr>
      </w:pPr>
      <w:r w:rsidRPr="009A7163">
        <w:rPr>
          <w:rFonts w:eastAsiaTheme="minorHAnsi"/>
          <w:noProof/>
          <w:lang w:eastAsia="en-GB"/>
        </w:rPr>
        <w:drawing>
          <wp:inline distT="0" distB="0" distL="0" distR="0" wp14:anchorId="4449FCDB" wp14:editId="657642B6">
            <wp:extent cx="5727700" cy="298005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9B7C2E" w14:textId="77777777" w:rsidR="00C20FCD" w:rsidRPr="009A7163" w:rsidRDefault="00C20FCD">
      <w:pPr>
        <w:spacing w:line="360" w:lineRule="auto"/>
        <w:rPr>
          <w:rFonts w:eastAsiaTheme="minorHAnsi"/>
          <w:lang w:eastAsia="en-GB"/>
        </w:rPr>
      </w:pPr>
    </w:p>
    <w:p w14:paraId="5FF7CD8C" w14:textId="77777777" w:rsidR="00C20FCD" w:rsidRPr="009A7163" w:rsidRDefault="00C20FCD">
      <w:pPr>
        <w:spacing w:line="360" w:lineRule="auto"/>
        <w:jc w:val="both"/>
        <w:rPr>
          <w:rFonts w:eastAsiaTheme="minorHAnsi"/>
          <w:lang w:eastAsia="en-GB"/>
        </w:rPr>
      </w:pPr>
      <w:r w:rsidRPr="009A7163">
        <w:rPr>
          <w:rFonts w:eastAsiaTheme="minorHAnsi"/>
          <w:lang w:eastAsia="en-GB"/>
        </w:rPr>
        <w:t>Furthermore, in looking more in detail at the family distribution of labour and also perspectives on who does what tasks, the following key messages come to light from the answers to question 6.2 from the Household Survey. See the results below and the discussion that follows:</w:t>
      </w:r>
    </w:p>
    <w:p w14:paraId="40954FB9" w14:textId="77777777" w:rsidR="00C20FCD" w:rsidRPr="009A7163" w:rsidRDefault="00C20FCD">
      <w:pPr>
        <w:spacing w:line="360" w:lineRule="auto"/>
        <w:rPr>
          <w:rFonts w:eastAsiaTheme="minorHAnsi"/>
          <w:lang w:eastAsia="en-GB"/>
        </w:rPr>
      </w:pPr>
    </w:p>
    <w:p w14:paraId="3B203A35" w14:textId="77777777" w:rsidR="00C20FCD" w:rsidRPr="009A7163" w:rsidRDefault="00C20FCD">
      <w:pPr>
        <w:spacing w:line="360" w:lineRule="auto"/>
        <w:rPr>
          <w:rFonts w:eastAsiaTheme="minorHAnsi"/>
          <w:lang w:eastAsia="en-GB"/>
        </w:rPr>
      </w:pPr>
    </w:p>
    <w:p w14:paraId="5E65E077" w14:textId="77777777" w:rsidR="00C20FCD" w:rsidRPr="009A7163" w:rsidRDefault="00C20FCD">
      <w:pPr>
        <w:spacing w:line="360" w:lineRule="auto"/>
        <w:rPr>
          <w:rFonts w:eastAsiaTheme="minorHAnsi"/>
          <w:lang w:eastAsia="en-GB"/>
        </w:rPr>
      </w:pPr>
    </w:p>
    <w:p w14:paraId="05610D93" w14:textId="77777777" w:rsidR="00C20FCD" w:rsidRPr="009A7163" w:rsidRDefault="00C20FCD">
      <w:pPr>
        <w:spacing w:line="360" w:lineRule="auto"/>
        <w:rPr>
          <w:rFonts w:eastAsiaTheme="minorHAnsi"/>
          <w:lang w:eastAsia="en-GB"/>
        </w:rPr>
      </w:pPr>
    </w:p>
    <w:p w14:paraId="775279CB" w14:textId="77777777" w:rsidR="00C20FCD" w:rsidRPr="009A7163" w:rsidRDefault="00C20FCD">
      <w:pPr>
        <w:spacing w:line="360" w:lineRule="auto"/>
        <w:rPr>
          <w:rFonts w:eastAsiaTheme="minorHAnsi"/>
          <w:lang w:eastAsia="en-GB"/>
        </w:rPr>
      </w:pPr>
    </w:p>
    <w:p w14:paraId="32176632" w14:textId="77777777" w:rsidR="00C20FCD" w:rsidRPr="009A7163" w:rsidRDefault="00C20FCD">
      <w:pPr>
        <w:spacing w:line="360" w:lineRule="auto"/>
        <w:rPr>
          <w:rFonts w:eastAsiaTheme="minorHAnsi"/>
          <w:lang w:eastAsia="en-GB"/>
        </w:rPr>
      </w:pPr>
    </w:p>
    <w:p w14:paraId="46B852F9" w14:textId="77777777" w:rsidR="00C20FCD" w:rsidRPr="009A7163" w:rsidRDefault="00C20FCD">
      <w:pPr>
        <w:spacing w:line="360" w:lineRule="auto"/>
        <w:rPr>
          <w:rFonts w:eastAsiaTheme="minorHAnsi"/>
          <w:lang w:eastAsia="en-GB"/>
        </w:rPr>
      </w:pPr>
    </w:p>
    <w:p w14:paraId="3C281699" w14:textId="7EE4119D" w:rsidR="00C20FCD" w:rsidRPr="009A7163" w:rsidRDefault="00C20FCD">
      <w:pPr>
        <w:spacing w:line="360" w:lineRule="auto"/>
        <w:rPr>
          <w:rFonts w:eastAsiaTheme="minorHAnsi"/>
          <w:lang w:eastAsia="en-GB"/>
        </w:rPr>
      </w:pPr>
      <w:bookmarkStart w:id="127" w:name="_Toc526710020"/>
      <w:r w:rsidRPr="009A7163">
        <w:rPr>
          <w:rStyle w:val="TableTOCChar"/>
        </w:rPr>
        <w:lastRenderedPageBreak/>
        <w:t xml:space="preserve">Table </w:t>
      </w:r>
      <w:r w:rsidR="00A133BF" w:rsidRPr="009A7163">
        <w:rPr>
          <w:rStyle w:val="TableTOCChar"/>
        </w:rPr>
        <w:t>6.2</w:t>
      </w:r>
      <w:r w:rsidRPr="009A7163">
        <w:rPr>
          <w:rStyle w:val="TableTOCChar"/>
        </w:rPr>
        <w:t>. Household Survey Question 6.2, Achuapa (Women)</w:t>
      </w:r>
      <w:bookmarkEnd w:id="127"/>
    </w:p>
    <w:tbl>
      <w:tblPr>
        <w:tblW w:w="8786" w:type="dxa"/>
        <w:tblLayout w:type="fixed"/>
        <w:tblLook w:val="04A0" w:firstRow="1" w:lastRow="0" w:firstColumn="1" w:lastColumn="0" w:noHBand="0" w:noVBand="1"/>
      </w:tblPr>
      <w:tblGrid>
        <w:gridCol w:w="900"/>
        <w:gridCol w:w="1080"/>
        <w:gridCol w:w="990"/>
        <w:gridCol w:w="900"/>
        <w:gridCol w:w="720"/>
        <w:gridCol w:w="810"/>
        <w:gridCol w:w="1170"/>
        <w:gridCol w:w="776"/>
        <w:gridCol w:w="754"/>
        <w:gridCol w:w="686"/>
      </w:tblGrid>
      <w:tr w:rsidR="00A133BF" w:rsidRPr="009A7163" w14:paraId="701014FB" w14:textId="77777777" w:rsidTr="00293176">
        <w:trPr>
          <w:cantSplit/>
          <w:trHeight w:val="156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07CB5C9" w14:textId="77777777" w:rsidR="00A133BF" w:rsidRPr="009A7163" w:rsidRDefault="00A133BF">
            <w:pPr>
              <w:rPr>
                <w:sz w:val="18"/>
                <w:szCs w:val="18"/>
                <w:lang w:eastAsia="en-GB"/>
              </w:rPr>
            </w:pPr>
            <w:r w:rsidRPr="009A7163">
              <w:rPr>
                <w:sz w:val="18"/>
                <w:szCs w:val="18"/>
                <w:lang w:eastAsia="en-GB"/>
              </w:rPr>
              <w:t> </w:t>
            </w:r>
          </w:p>
        </w:tc>
        <w:tc>
          <w:tcPr>
            <w:tcW w:w="1080" w:type="dxa"/>
            <w:tcBorders>
              <w:top w:val="single" w:sz="4" w:space="0" w:color="auto"/>
              <w:left w:val="nil"/>
              <w:bottom w:val="single" w:sz="4" w:space="0" w:color="auto"/>
              <w:right w:val="single" w:sz="4" w:space="0" w:color="auto"/>
            </w:tcBorders>
            <w:shd w:val="clear" w:color="auto" w:fill="auto"/>
            <w:hideMark/>
          </w:tcPr>
          <w:p w14:paraId="0B56C46E" w14:textId="77777777" w:rsidR="00A133BF" w:rsidRPr="009A7163" w:rsidRDefault="00A133BF">
            <w:pPr>
              <w:rPr>
                <w:sz w:val="18"/>
                <w:szCs w:val="18"/>
                <w:lang w:eastAsia="en-GB"/>
              </w:rPr>
            </w:pPr>
            <w:r w:rsidRPr="009A7163">
              <w:rPr>
                <w:sz w:val="18"/>
                <w:szCs w:val="18"/>
                <w:lang w:eastAsia="en-GB"/>
              </w:rPr>
              <w:t>Water collection</w:t>
            </w:r>
          </w:p>
        </w:tc>
        <w:tc>
          <w:tcPr>
            <w:tcW w:w="990" w:type="dxa"/>
            <w:tcBorders>
              <w:top w:val="single" w:sz="4" w:space="0" w:color="auto"/>
              <w:left w:val="nil"/>
              <w:bottom w:val="single" w:sz="4" w:space="0" w:color="auto"/>
              <w:right w:val="single" w:sz="4" w:space="0" w:color="auto"/>
            </w:tcBorders>
            <w:shd w:val="clear" w:color="auto" w:fill="auto"/>
            <w:hideMark/>
          </w:tcPr>
          <w:p w14:paraId="1ABA57D3" w14:textId="77777777" w:rsidR="00A133BF" w:rsidRPr="009A7163" w:rsidRDefault="00A133BF">
            <w:pPr>
              <w:rPr>
                <w:sz w:val="18"/>
                <w:szCs w:val="18"/>
                <w:lang w:eastAsia="en-GB"/>
              </w:rPr>
            </w:pPr>
            <w:r w:rsidRPr="009A7163">
              <w:rPr>
                <w:sz w:val="18"/>
                <w:szCs w:val="18"/>
                <w:lang w:eastAsia="en-GB"/>
              </w:rPr>
              <w:t>Collecting firewood</w:t>
            </w:r>
          </w:p>
        </w:tc>
        <w:tc>
          <w:tcPr>
            <w:tcW w:w="900" w:type="dxa"/>
            <w:tcBorders>
              <w:top w:val="single" w:sz="4" w:space="0" w:color="auto"/>
              <w:left w:val="nil"/>
              <w:bottom w:val="single" w:sz="4" w:space="0" w:color="auto"/>
              <w:right w:val="single" w:sz="4" w:space="0" w:color="auto"/>
            </w:tcBorders>
            <w:shd w:val="clear" w:color="auto" w:fill="auto"/>
            <w:hideMark/>
          </w:tcPr>
          <w:p w14:paraId="79C80567" w14:textId="77777777" w:rsidR="00A133BF" w:rsidRPr="009A7163" w:rsidRDefault="00A133BF">
            <w:pPr>
              <w:rPr>
                <w:sz w:val="18"/>
                <w:szCs w:val="18"/>
                <w:lang w:eastAsia="en-GB"/>
              </w:rPr>
            </w:pPr>
            <w:r w:rsidRPr="009A7163">
              <w:rPr>
                <w:sz w:val="18"/>
                <w:szCs w:val="18"/>
                <w:lang w:eastAsia="en-GB"/>
              </w:rPr>
              <w:t>Meal preparation/washing dishes</w:t>
            </w:r>
          </w:p>
        </w:tc>
        <w:tc>
          <w:tcPr>
            <w:tcW w:w="720" w:type="dxa"/>
            <w:tcBorders>
              <w:top w:val="single" w:sz="4" w:space="0" w:color="auto"/>
              <w:left w:val="nil"/>
              <w:bottom w:val="single" w:sz="4" w:space="0" w:color="auto"/>
              <w:right w:val="single" w:sz="4" w:space="0" w:color="auto"/>
            </w:tcBorders>
            <w:shd w:val="clear" w:color="auto" w:fill="auto"/>
            <w:hideMark/>
          </w:tcPr>
          <w:p w14:paraId="098432C3" w14:textId="77777777" w:rsidR="00A133BF" w:rsidRPr="009A7163" w:rsidRDefault="00A133BF">
            <w:pPr>
              <w:rPr>
                <w:sz w:val="18"/>
                <w:szCs w:val="18"/>
                <w:lang w:eastAsia="en-GB"/>
              </w:rPr>
            </w:pPr>
            <w:r w:rsidRPr="009A7163">
              <w:rPr>
                <w:sz w:val="18"/>
                <w:szCs w:val="18"/>
                <w:lang w:eastAsia="en-GB"/>
              </w:rPr>
              <w:t>Cleaning and organizing the house</w:t>
            </w:r>
          </w:p>
        </w:tc>
        <w:tc>
          <w:tcPr>
            <w:tcW w:w="810" w:type="dxa"/>
            <w:tcBorders>
              <w:top w:val="single" w:sz="4" w:space="0" w:color="auto"/>
              <w:left w:val="nil"/>
              <w:bottom w:val="single" w:sz="4" w:space="0" w:color="auto"/>
              <w:right w:val="single" w:sz="4" w:space="0" w:color="auto"/>
            </w:tcBorders>
            <w:shd w:val="clear" w:color="auto" w:fill="auto"/>
            <w:hideMark/>
          </w:tcPr>
          <w:p w14:paraId="2F9C1D83" w14:textId="77777777" w:rsidR="00A133BF" w:rsidRPr="009A7163" w:rsidRDefault="00A133BF">
            <w:pPr>
              <w:rPr>
                <w:sz w:val="18"/>
                <w:szCs w:val="18"/>
                <w:lang w:eastAsia="en-GB"/>
              </w:rPr>
            </w:pPr>
            <w:r w:rsidRPr="009A7163">
              <w:rPr>
                <w:sz w:val="18"/>
                <w:szCs w:val="18"/>
                <w:lang w:eastAsia="en-GB"/>
              </w:rPr>
              <w:t>Washing/drying/ ironing/mending clothes</w:t>
            </w:r>
          </w:p>
        </w:tc>
        <w:tc>
          <w:tcPr>
            <w:tcW w:w="1170" w:type="dxa"/>
            <w:tcBorders>
              <w:top w:val="single" w:sz="4" w:space="0" w:color="auto"/>
              <w:left w:val="nil"/>
              <w:bottom w:val="single" w:sz="4" w:space="0" w:color="auto"/>
              <w:right w:val="single" w:sz="4" w:space="0" w:color="auto"/>
            </w:tcBorders>
            <w:shd w:val="clear" w:color="auto" w:fill="auto"/>
            <w:hideMark/>
          </w:tcPr>
          <w:p w14:paraId="1324E6AF" w14:textId="77777777" w:rsidR="00A133BF" w:rsidRPr="009A7163" w:rsidRDefault="00A133BF">
            <w:pPr>
              <w:rPr>
                <w:sz w:val="18"/>
                <w:szCs w:val="18"/>
                <w:lang w:eastAsia="en-GB"/>
              </w:rPr>
            </w:pPr>
            <w:r w:rsidRPr="009A7163">
              <w:rPr>
                <w:sz w:val="18"/>
                <w:szCs w:val="18"/>
                <w:lang w:eastAsia="en-GB"/>
              </w:rPr>
              <w:t>Childcare</w:t>
            </w:r>
          </w:p>
        </w:tc>
        <w:tc>
          <w:tcPr>
            <w:tcW w:w="776" w:type="dxa"/>
            <w:tcBorders>
              <w:top w:val="single" w:sz="4" w:space="0" w:color="auto"/>
              <w:left w:val="nil"/>
              <w:bottom w:val="single" w:sz="4" w:space="0" w:color="auto"/>
              <w:right w:val="single" w:sz="4" w:space="0" w:color="auto"/>
            </w:tcBorders>
            <w:shd w:val="clear" w:color="auto" w:fill="auto"/>
            <w:hideMark/>
          </w:tcPr>
          <w:p w14:paraId="230A06A6" w14:textId="77777777" w:rsidR="00A133BF" w:rsidRPr="009A7163" w:rsidRDefault="00A133BF">
            <w:pPr>
              <w:rPr>
                <w:sz w:val="18"/>
                <w:szCs w:val="18"/>
                <w:lang w:eastAsia="en-GB"/>
              </w:rPr>
            </w:pPr>
            <w:r w:rsidRPr="009A7163">
              <w:rPr>
                <w:sz w:val="18"/>
                <w:szCs w:val="18"/>
                <w:lang w:eastAsia="en-GB"/>
              </w:rPr>
              <w:t>Elderly care</w:t>
            </w:r>
          </w:p>
        </w:tc>
        <w:tc>
          <w:tcPr>
            <w:tcW w:w="754" w:type="dxa"/>
            <w:tcBorders>
              <w:top w:val="single" w:sz="4" w:space="0" w:color="auto"/>
              <w:left w:val="nil"/>
              <w:bottom w:val="single" w:sz="4" w:space="0" w:color="auto"/>
              <w:right w:val="single" w:sz="4" w:space="0" w:color="auto"/>
            </w:tcBorders>
            <w:shd w:val="clear" w:color="auto" w:fill="auto"/>
            <w:hideMark/>
          </w:tcPr>
          <w:p w14:paraId="52ADE140" w14:textId="77777777" w:rsidR="00A133BF" w:rsidRPr="009A7163" w:rsidRDefault="00A133BF">
            <w:pPr>
              <w:rPr>
                <w:sz w:val="18"/>
                <w:szCs w:val="18"/>
                <w:lang w:eastAsia="en-GB"/>
              </w:rPr>
            </w:pPr>
            <w:r w:rsidRPr="009A7163">
              <w:rPr>
                <w:sz w:val="18"/>
                <w:szCs w:val="18"/>
                <w:lang w:eastAsia="en-GB"/>
              </w:rPr>
              <w:t>Care of ill/disabled</w:t>
            </w:r>
          </w:p>
        </w:tc>
        <w:tc>
          <w:tcPr>
            <w:tcW w:w="686" w:type="dxa"/>
            <w:tcBorders>
              <w:top w:val="single" w:sz="4" w:space="0" w:color="auto"/>
              <w:left w:val="nil"/>
              <w:bottom w:val="single" w:sz="4" w:space="0" w:color="auto"/>
              <w:right w:val="single" w:sz="4" w:space="0" w:color="auto"/>
            </w:tcBorders>
            <w:shd w:val="clear" w:color="auto" w:fill="auto"/>
            <w:vAlign w:val="center"/>
            <w:hideMark/>
          </w:tcPr>
          <w:p w14:paraId="73A73102" w14:textId="77777777" w:rsidR="00A133BF" w:rsidRPr="009A7163" w:rsidRDefault="00A133BF">
            <w:pPr>
              <w:spacing w:line="360" w:lineRule="auto"/>
              <w:jc w:val="center"/>
              <w:rPr>
                <w:sz w:val="18"/>
                <w:lang w:eastAsia="en-GB"/>
              </w:rPr>
            </w:pPr>
            <w:r w:rsidRPr="009A7163">
              <w:rPr>
                <w:sz w:val="18"/>
                <w:lang w:eastAsia="en-GB"/>
              </w:rPr>
              <w:t>Care of community members</w:t>
            </w:r>
          </w:p>
        </w:tc>
      </w:tr>
      <w:tr w:rsidR="00A133BF" w:rsidRPr="009A7163" w14:paraId="1796FEBE" w14:textId="77777777" w:rsidTr="00293176">
        <w:trPr>
          <w:trHeight w:val="800"/>
        </w:trPr>
        <w:tc>
          <w:tcPr>
            <w:tcW w:w="900" w:type="dxa"/>
            <w:tcBorders>
              <w:top w:val="nil"/>
              <w:left w:val="single" w:sz="4" w:space="0" w:color="auto"/>
              <w:bottom w:val="single" w:sz="4" w:space="0" w:color="auto"/>
              <w:right w:val="single" w:sz="4" w:space="0" w:color="auto"/>
            </w:tcBorders>
            <w:shd w:val="clear" w:color="auto" w:fill="auto"/>
            <w:noWrap/>
            <w:hideMark/>
          </w:tcPr>
          <w:p w14:paraId="3401D9BF" w14:textId="77777777" w:rsidR="00A133BF" w:rsidRPr="009A7163" w:rsidRDefault="00A133BF" w:rsidP="008C041F">
            <w:pPr>
              <w:rPr>
                <w:b/>
                <w:bCs/>
                <w:sz w:val="18"/>
                <w:szCs w:val="18"/>
                <w:lang w:eastAsia="en-GB"/>
              </w:rPr>
            </w:pPr>
            <w:r w:rsidRPr="009A7163">
              <w:rPr>
                <w:b/>
                <w:bCs/>
                <w:sz w:val="18"/>
                <w:szCs w:val="18"/>
                <w:lang w:eastAsia="en-GB"/>
              </w:rPr>
              <w:t>Women</w:t>
            </w:r>
          </w:p>
        </w:tc>
        <w:tc>
          <w:tcPr>
            <w:tcW w:w="1080" w:type="dxa"/>
            <w:tcBorders>
              <w:top w:val="nil"/>
              <w:left w:val="nil"/>
              <w:bottom w:val="single" w:sz="4" w:space="0" w:color="auto"/>
              <w:right w:val="single" w:sz="4" w:space="0" w:color="auto"/>
            </w:tcBorders>
            <w:shd w:val="clear" w:color="auto" w:fill="auto"/>
            <w:hideMark/>
          </w:tcPr>
          <w:p w14:paraId="460B31E7" w14:textId="77777777" w:rsidR="00A133BF" w:rsidRPr="009A7163" w:rsidRDefault="00A133BF">
            <w:pPr>
              <w:rPr>
                <w:sz w:val="18"/>
                <w:szCs w:val="18"/>
                <w:lang w:eastAsia="en-GB"/>
              </w:rPr>
            </w:pPr>
            <w:r w:rsidRPr="009A7163">
              <w:rPr>
                <w:sz w:val="18"/>
                <w:szCs w:val="18"/>
                <w:lang w:eastAsia="en-GB"/>
              </w:rPr>
              <w:t>At least once a week</w:t>
            </w:r>
          </w:p>
        </w:tc>
        <w:tc>
          <w:tcPr>
            <w:tcW w:w="990" w:type="dxa"/>
            <w:tcBorders>
              <w:top w:val="nil"/>
              <w:left w:val="nil"/>
              <w:bottom w:val="single" w:sz="4" w:space="0" w:color="auto"/>
              <w:right w:val="single" w:sz="4" w:space="0" w:color="auto"/>
            </w:tcBorders>
            <w:shd w:val="clear" w:color="auto" w:fill="auto"/>
            <w:hideMark/>
          </w:tcPr>
          <w:p w14:paraId="368649A1" w14:textId="77777777" w:rsidR="00A133BF" w:rsidRPr="009A7163" w:rsidRDefault="00A133BF">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auto"/>
              <w:right w:val="single" w:sz="4" w:space="0" w:color="auto"/>
            </w:tcBorders>
            <w:shd w:val="clear" w:color="FF8080" w:fill="FF9999"/>
            <w:hideMark/>
          </w:tcPr>
          <w:p w14:paraId="58C36FBE" w14:textId="77777777" w:rsidR="00A133BF" w:rsidRPr="009A7163" w:rsidRDefault="00A133BF">
            <w:pPr>
              <w:rPr>
                <w:sz w:val="18"/>
                <w:szCs w:val="18"/>
                <w:lang w:eastAsia="en-GB"/>
              </w:rPr>
            </w:pPr>
            <w:r w:rsidRPr="009A7163">
              <w:rPr>
                <w:sz w:val="18"/>
                <w:szCs w:val="18"/>
                <w:lang w:eastAsia="en-GB"/>
              </w:rPr>
              <w:t>Several times a day</w:t>
            </w:r>
          </w:p>
        </w:tc>
        <w:tc>
          <w:tcPr>
            <w:tcW w:w="720" w:type="dxa"/>
            <w:tcBorders>
              <w:top w:val="nil"/>
              <w:left w:val="nil"/>
              <w:bottom w:val="single" w:sz="4" w:space="0" w:color="auto"/>
              <w:right w:val="single" w:sz="4" w:space="0" w:color="auto"/>
            </w:tcBorders>
            <w:shd w:val="clear" w:color="FF8080" w:fill="FF9999"/>
            <w:hideMark/>
          </w:tcPr>
          <w:p w14:paraId="5CA2A616" w14:textId="77777777" w:rsidR="00A133BF" w:rsidRPr="009A7163" w:rsidRDefault="00A133BF">
            <w:pPr>
              <w:rPr>
                <w:sz w:val="18"/>
                <w:szCs w:val="18"/>
                <w:lang w:eastAsia="en-GB"/>
              </w:rPr>
            </w:pPr>
            <w:r w:rsidRPr="009A7163">
              <w:rPr>
                <w:sz w:val="18"/>
                <w:szCs w:val="18"/>
                <w:lang w:eastAsia="en-GB"/>
              </w:rPr>
              <w:t>Once a day</w:t>
            </w:r>
          </w:p>
        </w:tc>
        <w:tc>
          <w:tcPr>
            <w:tcW w:w="810" w:type="dxa"/>
            <w:tcBorders>
              <w:top w:val="nil"/>
              <w:left w:val="nil"/>
              <w:bottom w:val="single" w:sz="4" w:space="0" w:color="auto"/>
              <w:right w:val="single" w:sz="4" w:space="0" w:color="auto"/>
            </w:tcBorders>
            <w:shd w:val="clear" w:color="FF8080" w:fill="FF9999"/>
            <w:hideMark/>
          </w:tcPr>
          <w:p w14:paraId="66CA8091" w14:textId="77777777" w:rsidR="00A133BF" w:rsidRPr="009A7163" w:rsidRDefault="00A133BF">
            <w:pPr>
              <w:rPr>
                <w:sz w:val="18"/>
                <w:szCs w:val="18"/>
                <w:lang w:eastAsia="en-GB"/>
              </w:rPr>
            </w:pPr>
            <w:r w:rsidRPr="009A7163">
              <w:rPr>
                <w:sz w:val="18"/>
                <w:szCs w:val="18"/>
                <w:lang w:eastAsia="en-GB"/>
              </w:rPr>
              <w:t>Once a day</w:t>
            </w:r>
          </w:p>
        </w:tc>
        <w:tc>
          <w:tcPr>
            <w:tcW w:w="1170" w:type="dxa"/>
            <w:tcBorders>
              <w:top w:val="nil"/>
              <w:left w:val="nil"/>
              <w:bottom w:val="single" w:sz="4" w:space="0" w:color="auto"/>
              <w:right w:val="single" w:sz="4" w:space="0" w:color="auto"/>
            </w:tcBorders>
            <w:shd w:val="clear" w:color="auto" w:fill="auto"/>
            <w:hideMark/>
          </w:tcPr>
          <w:p w14:paraId="01B32E12" w14:textId="77777777" w:rsidR="00A133BF" w:rsidRPr="009A7163" w:rsidRDefault="00A133BF">
            <w:pPr>
              <w:rPr>
                <w:sz w:val="18"/>
                <w:szCs w:val="18"/>
                <w:lang w:eastAsia="en-GB"/>
              </w:rPr>
            </w:pPr>
            <w:r w:rsidRPr="009A7163">
              <w:rPr>
                <w:sz w:val="18"/>
                <w:szCs w:val="18"/>
                <w:lang w:eastAsia="en-GB"/>
              </w:rPr>
              <w:t>At least once a week</w:t>
            </w:r>
          </w:p>
        </w:tc>
        <w:tc>
          <w:tcPr>
            <w:tcW w:w="776" w:type="dxa"/>
            <w:tcBorders>
              <w:top w:val="nil"/>
              <w:left w:val="nil"/>
              <w:bottom w:val="single" w:sz="4" w:space="0" w:color="auto"/>
              <w:right w:val="single" w:sz="4" w:space="0" w:color="auto"/>
            </w:tcBorders>
            <w:shd w:val="clear" w:color="auto" w:fill="auto"/>
            <w:hideMark/>
          </w:tcPr>
          <w:p w14:paraId="27DC293C" w14:textId="77777777" w:rsidR="00A133BF" w:rsidRPr="009A7163" w:rsidRDefault="00A133BF">
            <w:pPr>
              <w:rPr>
                <w:sz w:val="18"/>
                <w:szCs w:val="18"/>
                <w:lang w:eastAsia="en-GB"/>
              </w:rPr>
            </w:pPr>
            <w:r w:rsidRPr="009A7163">
              <w:rPr>
                <w:sz w:val="18"/>
                <w:szCs w:val="18"/>
                <w:lang w:eastAsia="en-GB"/>
              </w:rPr>
              <w:t>Never</w:t>
            </w:r>
          </w:p>
        </w:tc>
        <w:tc>
          <w:tcPr>
            <w:tcW w:w="754" w:type="dxa"/>
            <w:tcBorders>
              <w:top w:val="nil"/>
              <w:left w:val="nil"/>
              <w:bottom w:val="single" w:sz="4" w:space="0" w:color="auto"/>
              <w:right w:val="single" w:sz="4" w:space="0" w:color="auto"/>
            </w:tcBorders>
            <w:shd w:val="clear" w:color="auto" w:fill="auto"/>
            <w:hideMark/>
          </w:tcPr>
          <w:p w14:paraId="4426AE53" w14:textId="77777777" w:rsidR="00A133BF" w:rsidRPr="009A7163" w:rsidRDefault="00A133BF">
            <w:pPr>
              <w:rPr>
                <w:sz w:val="18"/>
                <w:szCs w:val="18"/>
                <w:lang w:eastAsia="en-GB"/>
              </w:rPr>
            </w:pPr>
            <w:r w:rsidRPr="009A7163">
              <w:rPr>
                <w:sz w:val="18"/>
                <w:szCs w:val="18"/>
                <w:lang w:eastAsia="en-GB"/>
              </w:rPr>
              <w:t>Never</w:t>
            </w:r>
          </w:p>
        </w:tc>
        <w:tc>
          <w:tcPr>
            <w:tcW w:w="686" w:type="dxa"/>
            <w:tcBorders>
              <w:top w:val="nil"/>
              <w:left w:val="nil"/>
              <w:bottom w:val="single" w:sz="4" w:space="0" w:color="auto"/>
              <w:right w:val="single" w:sz="4" w:space="0" w:color="auto"/>
            </w:tcBorders>
            <w:shd w:val="clear" w:color="auto" w:fill="auto"/>
            <w:vAlign w:val="center"/>
            <w:hideMark/>
          </w:tcPr>
          <w:p w14:paraId="1AFA8397" w14:textId="77777777" w:rsidR="00A133BF" w:rsidRPr="009A7163" w:rsidRDefault="00A133BF">
            <w:pPr>
              <w:spacing w:line="360" w:lineRule="auto"/>
              <w:jc w:val="center"/>
              <w:rPr>
                <w:sz w:val="18"/>
                <w:lang w:eastAsia="en-GB"/>
              </w:rPr>
            </w:pPr>
            <w:r w:rsidRPr="009A7163">
              <w:rPr>
                <w:sz w:val="18"/>
                <w:lang w:eastAsia="en-GB"/>
              </w:rPr>
              <w:t>Never</w:t>
            </w:r>
          </w:p>
        </w:tc>
      </w:tr>
      <w:tr w:rsidR="00A133BF" w:rsidRPr="009A7163" w14:paraId="6F066869" w14:textId="77777777" w:rsidTr="00293176">
        <w:trPr>
          <w:trHeight w:val="780"/>
        </w:trPr>
        <w:tc>
          <w:tcPr>
            <w:tcW w:w="900" w:type="dxa"/>
            <w:tcBorders>
              <w:top w:val="nil"/>
              <w:left w:val="single" w:sz="4" w:space="0" w:color="auto"/>
              <w:bottom w:val="single" w:sz="4" w:space="0" w:color="auto"/>
              <w:right w:val="single" w:sz="4" w:space="0" w:color="auto"/>
            </w:tcBorders>
            <w:shd w:val="clear" w:color="auto" w:fill="auto"/>
            <w:noWrap/>
            <w:hideMark/>
          </w:tcPr>
          <w:p w14:paraId="16B76C0F" w14:textId="77777777" w:rsidR="00A133BF" w:rsidRPr="009A7163" w:rsidRDefault="00A133BF" w:rsidP="008C041F">
            <w:pPr>
              <w:rPr>
                <w:b/>
                <w:bCs/>
                <w:sz w:val="18"/>
                <w:szCs w:val="18"/>
                <w:lang w:eastAsia="en-GB"/>
              </w:rPr>
            </w:pPr>
            <w:r w:rsidRPr="009A7163">
              <w:rPr>
                <w:b/>
                <w:bCs/>
                <w:sz w:val="18"/>
                <w:szCs w:val="18"/>
                <w:lang w:eastAsia="en-GB"/>
              </w:rPr>
              <w:t>Spouse/Partners</w:t>
            </w:r>
          </w:p>
        </w:tc>
        <w:tc>
          <w:tcPr>
            <w:tcW w:w="1080" w:type="dxa"/>
            <w:tcBorders>
              <w:top w:val="nil"/>
              <w:left w:val="nil"/>
              <w:bottom w:val="single" w:sz="4" w:space="0" w:color="auto"/>
              <w:right w:val="single" w:sz="4" w:space="0" w:color="auto"/>
            </w:tcBorders>
            <w:shd w:val="clear" w:color="auto" w:fill="auto"/>
            <w:hideMark/>
          </w:tcPr>
          <w:p w14:paraId="15B9354C" w14:textId="77777777" w:rsidR="00A133BF" w:rsidRPr="009A7163" w:rsidRDefault="00A133BF">
            <w:pPr>
              <w:rPr>
                <w:sz w:val="18"/>
                <w:szCs w:val="18"/>
                <w:lang w:eastAsia="en-GB"/>
              </w:rPr>
            </w:pPr>
            <w:r w:rsidRPr="009A7163">
              <w:rPr>
                <w:sz w:val="18"/>
                <w:szCs w:val="18"/>
                <w:lang w:eastAsia="en-GB"/>
              </w:rPr>
              <w:t>At least once a month</w:t>
            </w:r>
          </w:p>
        </w:tc>
        <w:tc>
          <w:tcPr>
            <w:tcW w:w="990" w:type="dxa"/>
            <w:tcBorders>
              <w:top w:val="nil"/>
              <w:left w:val="nil"/>
              <w:bottom w:val="single" w:sz="4" w:space="0" w:color="auto"/>
              <w:right w:val="single" w:sz="4" w:space="0" w:color="auto"/>
            </w:tcBorders>
            <w:shd w:val="clear" w:color="auto" w:fill="auto"/>
            <w:hideMark/>
          </w:tcPr>
          <w:p w14:paraId="7D3E60C6" w14:textId="77777777" w:rsidR="00A133BF" w:rsidRPr="009A7163" w:rsidRDefault="00A133BF">
            <w:pPr>
              <w:rPr>
                <w:sz w:val="18"/>
                <w:szCs w:val="18"/>
                <w:lang w:eastAsia="en-GB"/>
              </w:rPr>
            </w:pPr>
            <w:r w:rsidRPr="009A7163">
              <w:rPr>
                <w:sz w:val="18"/>
                <w:szCs w:val="18"/>
                <w:lang w:eastAsia="en-GB"/>
              </w:rPr>
              <w:t>At least once a week</w:t>
            </w:r>
          </w:p>
        </w:tc>
        <w:tc>
          <w:tcPr>
            <w:tcW w:w="900" w:type="dxa"/>
            <w:tcBorders>
              <w:top w:val="nil"/>
              <w:left w:val="nil"/>
              <w:bottom w:val="single" w:sz="4" w:space="0" w:color="auto"/>
              <w:right w:val="single" w:sz="4" w:space="0" w:color="auto"/>
            </w:tcBorders>
            <w:shd w:val="clear" w:color="auto" w:fill="auto"/>
            <w:hideMark/>
          </w:tcPr>
          <w:p w14:paraId="5D1386A9" w14:textId="77777777" w:rsidR="00A133BF" w:rsidRPr="009A7163" w:rsidRDefault="00A133BF">
            <w:pPr>
              <w:rPr>
                <w:sz w:val="18"/>
                <w:szCs w:val="18"/>
                <w:lang w:eastAsia="en-GB"/>
              </w:rPr>
            </w:pPr>
            <w:r w:rsidRPr="009A7163">
              <w:rPr>
                <w:sz w:val="18"/>
                <w:szCs w:val="18"/>
                <w:lang w:eastAsia="en-GB"/>
              </w:rPr>
              <w:t>At least once a month</w:t>
            </w:r>
          </w:p>
        </w:tc>
        <w:tc>
          <w:tcPr>
            <w:tcW w:w="720" w:type="dxa"/>
            <w:tcBorders>
              <w:top w:val="nil"/>
              <w:left w:val="nil"/>
              <w:bottom w:val="single" w:sz="4" w:space="0" w:color="auto"/>
              <w:right w:val="single" w:sz="4" w:space="0" w:color="auto"/>
            </w:tcBorders>
            <w:shd w:val="clear" w:color="auto" w:fill="auto"/>
            <w:hideMark/>
          </w:tcPr>
          <w:p w14:paraId="5121EF9D" w14:textId="77777777" w:rsidR="00A133BF" w:rsidRPr="009A7163" w:rsidRDefault="00A133BF">
            <w:pPr>
              <w:rPr>
                <w:sz w:val="18"/>
                <w:szCs w:val="18"/>
                <w:lang w:eastAsia="en-GB"/>
              </w:rPr>
            </w:pPr>
            <w:r w:rsidRPr="009A7163">
              <w:rPr>
                <w:sz w:val="18"/>
                <w:szCs w:val="18"/>
                <w:lang w:eastAsia="en-GB"/>
              </w:rPr>
              <w:t>At least once a month</w:t>
            </w:r>
          </w:p>
        </w:tc>
        <w:tc>
          <w:tcPr>
            <w:tcW w:w="810" w:type="dxa"/>
            <w:tcBorders>
              <w:top w:val="nil"/>
              <w:left w:val="nil"/>
              <w:bottom w:val="single" w:sz="4" w:space="0" w:color="auto"/>
              <w:right w:val="single" w:sz="4" w:space="0" w:color="auto"/>
            </w:tcBorders>
            <w:shd w:val="clear" w:color="FFFF00" w:fill="FFCC00"/>
            <w:hideMark/>
          </w:tcPr>
          <w:p w14:paraId="1DF23B4B" w14:textId="77777777" w:rsidR="00A133BF" w:rsidRPr="009A7163" w:rsidRDefault="00A133BF">
            <w:pPr>
              <w:rPr>
                <w:sz w:val="18"/>
                <w:szCs w:val="18"/>
                <w:lang w:eastAsia="en-GB"/>
              </w:rPr>
            </w:pPr>
            <w:r w:rsidRPr="009A7163">
              <w:rPr>
                <w:sz w:val="18"/>
                <w:szCs w:val="18"/>
                <w:lang w:eastAsia="en-GB"/>
              </w:rPr>
              <w:t>Never</w:t>
            </w:r>
          </w:p>
        </w:tc>
        <w:tc>
          <w:tcPr>
            <w:tcW w:w="1170" w:type="dxa"/>
            <w:tcBorders>
              <w:top w:val="nil"/>
              <w:left w:val="nil"/>
              <w:bottom w:val="single" w:sz="4" w:space="0" w:color="auto"/>
              <w:right w:val="single" w:sz="4" w:space="0" w:color="auto"/>
            </w:tcBorders>
            <w:shd w:val="clear" w:color="auto" w:fill="auto"/>
            <w:hideMark/>
          </w:tcPr>
          <w:p w14:paraId="70D97D3E" w14:textId="77777777" w:rsidR="00A133BF" w:rsidRPr="009A7163" w:rsidRDefault="00A133BF">
            <w:pPr>
              <w:rPr>
                <w:sz w:val="18"/>
                <w:szCs w:val="18"/>
                <w:lang w:eastAsia="en-GB"/>
              </w:rPr>
            </w:pPr>
            <w:r w:rsidRPr="009A7163">
              <w:rPr>
                <w:sz w:val="18"/>
                <w:szCs w:val="18"/>
                <w:lang w:eastAsia="en-GB"/>
              </w:rPr>
              <w:t>At least once a month</w:t>
            </w:r>
          </w:p>
        </w:tc>
        <w:tc>
          <w:tcPr>
            <w:tcW w:w="776" w:type="dxa"/>
            <w:tcBorders>
              <w:top w:val="nil"/>
              <w:left w:val="nil"/>
              <w:bottom w:val="single" w:sz="4" w:space="0" w:color="auto"/>
              <w:right w:val="single" w:sz="4" w:space="0" w:color="auto"/>
            </w:tcBorders>
            <w:shd w:val="clear" w:color="FFFF00" w:fill="FFCC00"/>
            <w:hideMark/>
          </w:tcPr>
          <w:p w14:paraId="2C92430D" w14:textId="77777777" w:rsidR="00A133BF" w:rsidRPr="009A7163" w:rsidRDefault="00A133BF">
            <w:pPr>
              <w:rPr>
                <w:sz w:val="18"/>
                <w:szCs w:val="18"/>
                <w:lang w:eastAsia="en-GB"/>
              </w:rPr>
            </w:pPr>
            <w:r w:rsidRPr="009A7163">
              <w:rPr>
                <w:sz w:val="18"/>
                <w:szCs w:val="18"/>
                <w:lang w:eastAsia="en-GB"/>
              </w:rPr>
              <w:t>Never</w:t>
            </w:r>
          </w:p>
        </w:tc>
        <w:tc>
          <w:tcPr>
            <w:tcW w:w="754" w:type="dxa"/>
            <w:tcBorders>
              <w:top w:val="nil"/>
              <w:left w:val="nil"/>
              <w:bottom w:val="single" w:sz="4" w:space="0" w:color="auto"/>
              <w:right w:val="single" w:sz="4" w:space="0" w:color="auto"/>
            </w:tcBorders>
            <w:shd w:val="clear" w:color="FFFF00" w:fill="FFCC00"/>
            <w:hideMark/>
          </w:tcPr>
          <w:p w14:paraId="0223121C" w14:textId="77777777" w:rsidR="00A133BF" w:rsidRPr="009A7163" w:rsidRDefault="00A133BF">
            <w:pPr>
              <w:rPr>
                <w:sz w:val="18"/>
                <w:szCs w:val="18"/>
                <w:lang w:eastAsia="en-GB"/>
              </w:rPr>
            </w:pPr>
            <w:r w:rsidRPr="009A7163">
              <w:rPr>
                <w:sz w:val="18"/>
                <w:szCs w:val="18"/>
                <w:lang w:eastAsia="en-GB"/>
              </w:rPr>
              <w:t>Never</w:t>
            </w:r>
          </w:p>
        </w:tc>
        <w:tc>
          <w:tcPr>
            <w:tcW w:w="686" w:type="dxa"/>
            <w:tcBorders>
              <w:top w:val="nil"/>
              <w:left w:val="nil"/>
              <w:bottom w:val="single" w:sz="4" w:space="0" w:color="auto"/>
              <w:right w:val="single" w:sz="4" w:space="0" w:color="auto"/>
            </w:tcBorders>
            <w:shd w:val="clear" w:color="FFFF00" w:fill="FFCC00"/>
            <w:vAlign w:val="center"/>
            <w:hideMark/>
          </w:tcPr>
          <w:p w14:paraId="167A5B1F" w14:textId="77777777" w:rsidR="00A133BF" w:rsidRPr="009A7163" w:rsidRDefault="00A133BF">
            <w:pPr>
              <w:spacing w:line="360" w:lineRule="auto"/>
              <w:jc w:val="center"/>
              <w:rPr>
                <w:sz w:val="18"/>
                <w:lang w:eastAsia="en-GB"/>
              </w:rPr>
            </w:pPr>
            <w:r w:rsidRPr="009A7163">
              <w:rPr>
                <w:sz w:val="18"/>
                <w:lang w:eastAsia="en-GB"/>
              </w:rPr>
              <w:t>Never</w:t>
            </w:r>
          </w:p>
        </w:tc>
      </w:tr>
      <w:tr w:rsidR="00A133BF" w:rsidRPr="009A7163" w14:paraId="4217723C" w14:textId="77777777" w:rsidTr="00293176">
        <w:trPr>
          <w:trHeight w:val="780"/>
        </w:trPr>
        <w:tc>
          <w:tcPr>
            <w:tcW w:w="900" w:type="dxa"/>
            <w:tcBorders>
              <w:top w:val="nil"/>
              <w:left w:val="single" w:sz="4" w:space="0" w:color="auto"/>
              <w:bottom w:val="single" w:sz="4" w:space="0" w:color="auto"/>
              <w:right w:val="single" w:sz="4" w:space="0" w:color="auto"/>
            </w:tcBorders>
            <w:shd w:val="clear" w:color="auto" w:fill="auto"/>
            <w:hideMark/>
          </w:tcPr>
          <w:p w14:paraId="63E0852B" w14:textId="77777777" w:rsidR="00A133BF" w:rsidRPr="009A7163" w:rsidRDefault="00A133BF" w:rsidP="008C041F">
            <w:pPr>
              <w:rPr>
                <w:b/>
                <w:bCs/>
                <w:sz w:val="18"/>
                <w:szCs w:val="18"/>
                <w:lang w:eastAsia="en-GB"/>
              </w:rPr>
            </w:pPr>
            <w:r w:rsidRPr="009A7163">
              <w:rPr>
                <w:b/>
                <w:bCs/>
                <w:sz w:val="18"/>
                <w:szCs w:val="18"/>
                <w:lang w:eastAsia="en-GB"/>
              </w:rPr>
              <w:t xml:space="preserve">Daughters, Nieces, daughters in law. </w:t>
            </w:r>
          </w:p>
        </w:tc>
        <w:tc>
          <w:tcPr>
            <w:tcW w:w="1080" w:type="dxa"/>
            <w:tcBorders>
              <w:top w:val="nil"/>
              <w:left w:val="nil"/>
              <w:bottom w:val="single" w:sz="4" w:space="0" w:color="auto"/>
              <w:right w:val="single" w:sz="4" w:space="0" w:color="auto"/>
            </w:tcBorders>
            <w:shd w:val="clear" w:color="auto" w:fill="auto"/>
            <w:hideMark/>
          </w:tcPr>
          <w:p w14:paraId="3761BABB" w14:textId="77777777" w:rsidR="00A133BF" w:rsidRPr="009A7163" w:rsidRDefault="00A133BF">
            <w:pPr>
              <w:rPr>
                <w:sz w:val="18"/>
                <w:szCs w:val="18"/>
                <w:lang w:eastAsia="en-GB"/>
              </w:rPr>
            </w:pPr>
            <w:r w:rsidRPr="009A7163">
              <w:rPr>
                <w:sz w:val="18"/>
                <w:szCs w:val="18"/>
                <w:lang w:eastAsia="en-GB"/>
              </w:rPr>
              <w:t>At least once a week</w:t>
            </w:r>
          </w:p>
        </w:tc>
        <w:tc>
          <w:tcPr>
            <w:tcW w:w="990" w:type="dxa"/>
            <w:tcBorders>
              <w:top w:val="nil"/>
              <w:left w:val="nil"/>
              <w:bottom w:val="single" w:sz="4" w:space="0" w:color="auto"/>
              <w:right w:val="single" w:sz="4" w:space="0" w:color="auto"/>
            </w:tcBorders>
            <w:shd w:val="clear" w:color="FFFF00" w:fill="FFCC00"/>
            <w:hideMark/>
          </w:tcPr>
          <w:p w14:paraId="3B45784B" w14:textId="77777777" w:rsidR="00A133BF" w:rsidRPr="009A7163" w:rsidRDefault="00A133BF">
            <w:pPr>
              <w:rPr>
                <w:sz w:val="18"/>
                <w:szCs w:val="18"/>
                <w:lang w:eastAsia="en-GB"/>
              </w:rPr>
            </w:pPr>
            <w:r w:rsidRPr="009A7163">
              <w:rPr>
                <w:sz w:val="18"/>
                <w:szCs w:val="18"/>
                <w:lang w:eastAsia="en-GB"/>
              </w:rPr>
              <w:t>Never</w:t>
            </w:r>
          </w:p>
        </w:tc>
        <w:tc>
          <w:tcPr>
            <w:tcW w:w="900" w:type="dxa"/>
            <w:tcBorders>
              <w:top w:val="nil"/>
              <w:left w:val="nil"/>
              <w:bottom w:val="single" w:sz="4" w:space="0" w:color="auto"/>
              <w:right w:val="single" w:sz="4" w:space="0" w:color="auto"/>
            </w:tcBorders>
            <w:shd w:val="clear" w:color="FF8080" w:fill="FF9999"/>
            <w:hideMark/>
          </w:tcPr>
          <w:p w14:paraId="73249F59" w14:textId="77777777" w:rsidR="00A133BF" w:rsidRPr="009A7163" w:rsidRDefault="00A133BF">
            <w:pPr>
              <w:rPr>
                <w:sz w:val="18"/>
                <w:szCs w:val="18"/>
                <w:lang w:eastAsia="en-GB"/>
              </w:rPr>
            </w:pPr>
            <w:r w:rsidRPr="009A7163">
              <w:rPr>
                <w:sz w:val="18"/>
                <w:szCs w:val="18"/>
                <w:lang w:eastAsia="en-GB"/>
              </w:rPr>
              <w:t>Once a day</w:t>
            </w:r>
          </w:p>
        </w:tc>
        <w:tc>
          <w:tcPr>
            <w:tcW w:w="720" w:type="dxa"/>
            <w:tcBorders>
              <w:top w:val="nil"/>
              <w:left w:val="nil"/>
              <w:bottom w:val="single" w:sz="4" w:space="0" w:color="auto"/>
              <w:right w:val="single" w:sz="4" w:space="0" w:color="auto"/>
            </w:tcBorders>
            <w:shd w:val="clear" w:color="FF8080" w:fill="FF9999"/>
            <w:hideMark/>
          </w:tcPr>
          <w:p w14:paraId="5F020BD2" w14:textId="77777777" w:rsidR="00A133BF" w:rsidRPr="009A7163" w:rsidRDefault="00A133BF">
            <w:pPr>
              <w:rPr>
                <w:sz w:val="18"/>
                <w:szCs w:val="18"/>
                <w:lang w:eastAsia="en-GB"/>
              </w:rPr>
            </w:pPr>
            <w:r w:rsidRPr="009A7163">
              <w:rPr>
                <w:sz w:val="18"/>
                <w:szCs w:val="18"/>
                <w:lang w:eastAsia="en-GB"/>
              </w:rPr>
              <w:t>Once a day</w:t>
            </w:r>
          </w:p>
        </w:tc>
        <w:tc>
          <w:tcPr>
            <w:tcW w:w="810" w:type="dxa"/>
            <w:tcBorders>
              <w:top w:val="nil"/>
              <w:left w:val="nil"/>
              <w:bottom w:val="single" w:sz="4" w:space="0" w:color="auto"/>
              <w:right w:val="single" w:sz="4" w:space="0" w:color="auto"/>
            </w:tcBorders>
            <w:shd w:val="clear" w:color="FF8080" w:fill="FF9999"/>
            <w:hideMark/>
          </w:tcPr>
          <w:p w14:paraId="6C8C661B" w14:textId="77777777" w:rsidR="00A133BF" w:rsidRPr="009A7163" w:rsidRDefault="00A133BF">
            <w:pPr>
              <w:rPr>
                <w:sz w:val="18"/>
                <w:szCs w:val="18"/>
                <w:lang w:eastAsia="en-GB"/>
              </w:rPr>
            </w:pPr>
            <w:r w:rsidRPr="009A7163">
              <w:rPr>
                <w:sz w:val="18"/>
                <w:szCs w:val="18"/>
                <w:lang w:eastAsia="en-GB"/>
              </w:rPr>
              <w:t>Once a day</w:t>
            </w:r>
          </w:p>
        </w:tc>
        <w:tc>
          <w:tcPr>
            <w:tcW w:w="1170" w:type="dxa"/>
            <w:tcBorders>
              <w:top w:val="nil"/>
              <w:left w:val="nil"/>
              <w:bottom w:val="single" w:sz="4" w:space="0" w:color="auto"/>
              <w:right w:val="single" w:sz="4" w:space="0" w:color="auto"/>
            </w:tcBorders>
            <w:shd w:val="clear" w:color="auto" w:fill="auto"/>
            <w:hideMark/>
          </w:tcPr>
          <w:p w14:paraId="61360C72" w14:textId="77777777" w:rsidR="00A133BF" w:rsidRPr="009A7163" w:rsidRDefault="00A133BF">
            <w:pPr>
              <w:rPr>
                <w:sz w:val="18"/>
                <w:szCs w:val="18"/>
                <w:lang w:eastAsia="en-GB"/>
              </w:rPr>
            </w:pPr>
            <w:r w:rsidRPr="009A7163">
              <w:rPr>
                <w:sz w:val="18"/>
                <w:szCs w:val="18"/>
                <w:lang w:eastAsia="en-GB"/>
              </w:rPr>
              <w:t>Once a day</w:t>
            </w:r>
          </w:p>
        </w:tc>
        <w:tc>
          <w:tcPr>
            <w:tcW w:w="776" w:type="dxa"/>
            <w:tcBorders>
              <w:top w:val="nil"/>
              <w:left w:val="nil"/>
              <w:bottom w:val="single" w:sz="4" w:space="0" w:color="auto"/>
              <w:right w:val="single" w:sz="4" w:space="0" w:color="auto"/>
            </w:tcBorders>
            <w:shd w:val="clear" w:color="auto" w:fill="auto"/>
            <w:hideMark/>
          </w:tcPr>
          <w:p w14:paraId="19FD11C3" w14:textId="77777777" w:rsidR="00A133BF" w:rsidRPr="009A7163" w:rsidRDefault="00A133BF">
            <w:pPr>
              <w:rPr>
                <w:sz w:val="18"/>
                <w:szCs w:val="18"/>
                <w:lang w:eastAsia="en-GB"/>
              </w:rPr>
            </w:pPr>
            <w:r w:rsidRPr="009A7163">
              <w:rPr>
                <w:sz w:val="18"/>
                <w:szCs w:val="18"/>
                <w:lang w:eastAsia="en-GB"/>
              </w:rPr>
              <w:t xml:space="preserve">At least once </w:t>
            </w:r>
          </w:p>
        </w:tc>
        <w:tc>
          <w:tcPr>
            <w:tcW w:w="754" w:type="dxa"/>
            <w:tcBorders>
              <w:top w:val="nil"/>
              <w:left w:val="nil"/>
              <w:bottom w:val="single" w:sz="4" w:space="0" w:color="auto"/>
              <w:right w:val="single" w:sz="4" w:space="0" w:color="auto"/>
            </w:tcBorders>
            <w:shd w:val="clear" w:color="auto" w:fill="auto"/>
            <w:hideMark/>
          </w:tcPr>
          <w:p w14:paraId="1C9F34E4" w14:textId="77777777" w:rsidR="00A133BF" w:rsidRPr="009A7163" w:rsidRDefault="00A133BF">
            <w:pPr>
              <w:rPr>
                <w:sz w:val="18"/>
                <w:szCs w:val="18"/>
                <w:lang w:eastAsia="en-GB"/>
              </w:rPr>
            </w:pPr>
            <w:r w:rsidRPr="009A7163">
              <w:rPr>
                <w:sz w:val="18"/>
                <w:szCs w:val="18"/>
                <w:lang w:eastAsia="en-GB"/>
              </w:rPr>
              <w:t>Never</w:t>
            </w:r>
          </w:p>
        </w:tc>
        <w:tc>
          <w:tcPr>
            <w:tcW w:w="686" w:type="dxa"/>
            <w:tcBorders>
              <w:top w:val="nil"/>
              <w:left w:val="nil"/>
              <w:bottom w:val="single" w:sz="4" w:space="0" w:color="auto"/>
              <w:right w:val="single" w:sz="4" w:space="0" w:color="auto"/>
            </w:tcBorders>
            <w:shd w:val="clear" w:color="auto" w:fill="auto"/>
            <w:vAlign w:val="center"/>
            <w:hideMark/>
          </w:tcPr>
          <w:p w14:paraId="22BCDA82" w14:textId="77777777" w:rsidR="00A133BF" w:rsidRPr="009A7163" w:rsidRDefault="00A133BF">
            <w:pPr>
              <w:spacing w:line="360" w:lineRule="auto"/>
              <w:jc w:val="center"/>
              <w:rPr>
                <w:sz w:val="18"/>
                <w:lang w:eastAsia="en-GB"/>
              </w:rPr>
            </w:pPr>
            <w:r w:rsidRPr="009A7163">
              <w:rPr>
                <w:sz w:val="18"/>
                <w:lang w:eastAsia="en-GB"/>
              </w:rPr>
              <w:t>Never</w:t>
            </w:r>
          </w:p>
        </w:tc>
      </w:tr>
      <w:tr w:rsidR="00A133BF" w:rsidRPr="009A7163" w14:paraId="4D3C4C6E" w14:textId="77777777" w:rsidTr="00293176">
        <w:trPr>
          <w:trHeight w:val="780"/>
        </w:trPr>
        <w:tc>
          <w:tcPr>
            <w:tcW w:w="900" w:type="dxa"/>
            <w:tcBorders>
              <w:top w:val="nil"/>
              <w:left w:val="single" w:sz="4" w:space="0" w:color="auto"/>
              <w:bottom w:val="single" w:sz="4" w:space="0" w:color="auto"/>
              <w:right w:val="single" w:sz="4" w:space="0" w:color="auto"/>
            </w:tcBorders>
            <w:shd w:val="clear" w:color="auto" w:fill="auto"/>
            <w:hideMark/>
          </w:tcPr>
          <w:p w14:paraId="18864CCE" w14:textId="77777777" w:rsidR="00A133BF" w:rsidRPr="009A7163" w:rsidRDefault="00A133BF" w:rsidP="008C041F">
            <w:pPr>
              <w:rPr>
                <w:b/>
                <w:bCs/>
                <w:sz w:val="18"/>
                <w:szCs w:val="18"/>
                <w:lang w:eastAsia="en-GB"/>
              </w:rPr>
            </w:pPr>
            <w:r w:rsidRPr="009A7163">
              <w:rPr>
                <w:b/>
                <w:bCs/>
                <w:sz w:val="18"/>
                <w:szCs w:val="18"/>
                <w:lang w:eastAsia="en-GB"/>
              </w:rPr>
              <w:t>Sons, Nephews, Son in law.</w:t>
            </w:r>
          </w:p>
        </w:tc>
        <w:tc>
          <w:tcPr>
            <w:tcW w:w="1080" w:type="dxa"/>
            <w:tcBorders>
              <w:top w:val="nil"/>
              <w:left w:val="nil"/>
              <w:bottom w:val="single" w:sz="4" w:space="0" w:color="auto"/>
              <w:right w:val="single" w:sz="4" w:space="0" w:color="auto"/>
            </w:tcBorders>
            <w:shd w:val="clear" w:color="auto" w:fill="auto"/>
            <w:hideMark/>
          </w:tcPr>
          <w:p w14:paraId="733D289D" w14:textId="77777777" w:rsidR="00A133BF" w:rsidRPr="009A7163" w:rsidRDefault="00A133BF">
            <w:pPr>
              <w:rPr>
                <w:sz w:val="18"/>
                <w:szCs w:val="18"/>
                <w:lang w:eastAsia="en-GB"/>
              </w:rPr>
            </w:pPr>
            <w:r w:rsidRPr="009A7163">
              <w:rPr>
                <w:sz w:val="18"/>
                <w:szCs w:val="18"/>
                <w:lang w:eastAsia="en-GB"/>
              </w:rPr>
              <w:t>At least once a month</w:t>
            </w:r>
          </w:p>
        </w:tc>
        <w:tc>
          <w:tcPr>
            <w:tcW w:w="990" w:type="dxa"/>
            <w:tcBorders>
              <w:top w:val="nil"/>
              <w:left w:val="nil"/>
              <w:bottom w:val="single" w:sz="4" w:space="0" w:color="auto"/>
              <w:right w:val="single" w:sz="4" w:space="0" w:color="auto"/>
            </w:tcBorders>
            <w:shd w:val="clear" w:color="auto" w:fill="auto"/>
            <w:hideMark/>
          </w:tcPr>
          <w:p w14:paraId="0C4C0E91" w14:textId="77777777" w:rsidR="00A133BF" w:rsidRPr="009A7163" w:rsidRDefault="00A133BF">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auto"/>
              <w:right w:val="single" w:sz="4" w:space="0" w:color="auto"/>
            </w:tcBorders>
            <w:shd w:val="clear" w:color="auto" w:fill="auto"/>
            <w:hideMark/>
          </w:tcPr>
          <w:p w14:paraId="5CD78A25" w14:textId="77777777" w:rsidR="00A133BF" w:rsidRPr="009A7163" w:rsidRDefault="00A133BF">
            <w:pPr>
              <w:rPr>
                <w:sz w:val="18"/>
                <w:szCs w:val="18"/>
                <w:lang w:eastAsia="en-GB"/>
              </w:rPr>
            </w:pPr>
            <w:r w:rsidRPr="009A7163">
              <w:rPr>
                <w:sz w:val="18"/>
                <w:szCs w:val="18"/>
                <w:lang w:eastAsia="en-GB"/>
              </w:rPr>
              <w:t>At least once a month</w:t>
            </w:r>
          </w:p>
        </w:tc>
        <w:tc>
          <w:tcPr>
            <w:tcW w:w="720" w:type="dxa"/>
            <w:tcBorders>
              <w:top w:val="nil"/>
              <w:left w:val="nil"/>
              <w:bottom w:val="single" w:sz="4" w:space="0" w:color="auto"/>
              <w:right w:val="single" w:sz="4" w:space="0" w:color="auto"/>
            </w:tcBorders>
            <w:shd w:val="clear" w:color="auto" w:fill="auto"/>
            <w:hideMark/>
          </w:tcPr>
          <w:p w14:paraId="53DB937E" w14:textId="77777777" w:rsidR="00A133BF" w:rsidRPr="009A7163" w:rsidRDefault="00A133BF">
            <w:pPr>
              <w:rPr>
                <w:sz w:val="18"/>
                <w:szCs w:val="18"/>
                <w:lang w:eastAsia="en-GB"/>
              </w:rPr>
            </w:pPr>
            <w:r w:rsidRPr="009A7163">
              <w:rPr>
                <w:sz w:val="18"/>
                <w:szCs w:val="18"/>
                <w:lang w:eastAsia="en-GB"/>
              </w:rPr>
              <w:t>At least once a month</w:t>
            </w:r>
          </w:p>
        </w:tc>
        <w:tc>
          <w:tcPr>
            <w:tcW w:w="810" w:type="dxa"/>
            <w:tcBorders>
              <w:top w:val="nil"/>
              <w:left w:val="nil"/>
              <w:bottom w:val="single" w:sz="4" w:space="0" w:color="auto"/>
              <w:right w:val="single" w:sz="4" w:space="0" w:color="auto"/>
            </w:tcBorders>
            <w:shd w:val="clear" w:color="auto" w:fill="auto"/>
            <w:hideMark/>
          </w:tcPr>
          <w:p w14:paraId="29B631C0" w14:textId="77777777" w:rsidR="00A133BF" w:rsidRPr="009A7163" w:rsidRDefault="00A133BF">
            <w:pPr>
              <w:rPr>
                <w:sz w:val="18"/>
                <w:szCs w:val="18"/>
                <w:lang w:eastAsia="en-GB"/>
              </w:rPr>
            </w:pPr>
            <w:r w:rsidRPr="009A7163">
              <w:rPr>
                <w:sz w:val="18"/>
                <w:szCs w:val="18"/>
                <w:lang w:eastAsia="en-GB"/>
              </w:rPr>
              <w:t>At least once a month</w:t>
            </w:r>
          </w:p>
        </w:tc>
        <w:tc>
          <w:tcPr>
            <w:tcW w:w="1170" w:type="dxa"/>
            <w:tcBorders>
              <w:top w:val="nil"/>
              <w:left w:val="nil"/>
              <w:bottom w:val="single" w:sz="4" w:space="0" w:color="auto"/>
              <w:right w:val="single" w:sz="4" w:space="0" w:color="auto"/>
            </w:tcBorders>
            <w:shd w:val="clear" w:color="auto" w:fill="auto"/>
            <w:hideMark/>
          </w:tcPr>
          <w:p w14:paraId="4D9F5895" w14:textId="77777777" w:rsidR="00A133BF" w:rsidRPr="009A7163" w:rsidRDefault="00A133BF">
            <w:pPr>
              <w:rPr>
                <w:sz w:val="18"/>
                <w:szCs w:val="18"/>
                <w:lang w:eastAsia="en-GB"/>
              </w:rPr>
            </w:pPr>
            <w:r w:rsidRPr="009A7163">
              <w:rPr>
                <w:sz w:val="18"/>
                <w:szCs w:val="18"/>
                <w:lang w:eastAsia="en-GB"/>
              </w:rPr>
              <w:t>At least once a month</w:t>
            </w:r>
          </w:p>
        </w:tc>
        <w:tc>
          <w:tcPr>
            <w:tcW w:w="776" w:type="dxa"/>
            <w:tcBorders>
              <w:top w:val="nil"/>
              <w:left w:val="nil"/>
              <w:bottom w:val="single" w:sz="4" w:space="0" w:color="auto"/>
              <w:right w:val="single" w:sz="4" w:space="0" w:color="auto"/>
            </w:tcBorders>
            <w:shd w:val="clear" w:color="FFFF00" w:fill="FFCC00"/>
            <w:hideMark/>
          </w:tcPr>
          <w:p w14:paraId="6F64D99F" w14:textId="77777777" w:rsidR="00A133BF" w:rsidRPr="009A7163" w:rsidRDefault="00A133BF">
            <w:pPr>
              <w:rPr>
                <w:sz w:val="18"/>
                <w:szCs w:val="18"/>
                <w:lang w:eastAsia="en-GB"/>
              </w:rPr>
            </w:pPr>
            <w:r w:rsidRPr="009A7163">
              <w:rPr>
                <w:sz w:val="18"/>
                <w:szCs w:val="18"/>
                <w:lang w:eastAsia="en-GB"/>
              </w:rPr>
              <w:t>Never</w:t>
            </w:r>
          </w:p>
        </w:tc>
        <w:tc>
          <w:tcPr>
            <w:tcW w:w="754" w:type="dxa"/>
            <w:tcBorders>
              <w:top w:val="nil"/>
              <w:left w:val="nil"/>
              <w:bottom w:val="single" w:sz="4" w:space="0" w:color="auto"/>
              <w:right w:val="single" w:sz="4" w:space="0" w:color="auto"/>
            </w:tcBorders>
            <w:shd w:val="clear" w:color="FFFF00" w:fill="FFCC00"/>
            <w:hideMark/>
          </w:tcPr>
          <w:p w14:paraId="0AFDAC90" w14:textId="77777777" w:rsidR="00A133BF" w:rsidRPr="009A7163" w:rsidRDefault="00A133BF">
            <w:pPr>
              <w:rPr>
                <w:sz w:val="18"/>
                <w:szCs w:val="18"/>
                <w:lang w:eastAsia="en-GB"/>
              </w:rPr>
            </w:pPr>
            <w:r w:rsidRPr="009A7163">
              <w:rPr>
                <w:sz w:val="18"/>
                <w:szCs w:val="18"/>
                <w:lang w:eastAsia="en-GB"/>
              </w:rPr>
              <w:t>Never</w:t>
            </w:r>
          </w:p>
        </w:tc>
        <w:tc>
          <w:tcPr>
            <w:tcW w:w="686" w:type="dxa"/>
            <w:tcBorders>
              <w:top w:val="nil"/>
              <w:left w:val="nil"/>
              <w:bottom w:val="single" w:sz="4" w:space="0" w:color="auto"/>
              <w:right w:val="single" w:sz="4" w:space="0" w:color="auto"/>
            </w:tcBorders>
            <w:shd w:val="clear" w:color="FFFF00" w:fill="FFCC00"/>
            <w:vAlign w:val="center"/>
            <w:hideMark/>
          </w:tcPr>
          <w:p w14:paraId="40D1D745" w14:textId="77777777" w:rsidR="00A133BF" w:rsidRPr="009A7163" w:rsidRDefault="00A133BF">
            <w:pPr>
              <w:spacing w:line="360" w:lineRule="auto"/>
              <w:jc w:val="center"/>
              <w:rPr>
                <w:sz w:val="18"/>
                <w:lang w:eastAsia="en-GB"/>
              </w:rPr>
            </w:pPr>
            <w:r w:rsidRPr="009A7163">
              <w:rPr>
                <w:sz w:val="18"/>
                <w:lang w:eastAsia="en-GB"/>
              </w:rPr>
              <w:t>Never</w:t>
            </w:r>
          </w:p>
        </w:tc>
      </w:tr>
    </w:tbl>
    <w:p w14:paraId="1D4CF40D" w14:textId="40E55E79" w:rsidR="00C20FCD" w:rsidRPr="009A7163" w:rsidRDefault="001253A9" w:rsidP="007A3A29">
      <w:pPr>
        <w:rPr>
          <w:rFonts w:eastAsiaTheme="minorHAnsi"/>
          <w:i/>
          <w:sz w:val="20"/>
          <w:szCs w:val="20"/>
          <w:lang w:eastAsia="en-GB"/>
        </w:rPr>
      </w:pPr>
      <w:r w:rsidRPr="009A7163">
        <w:rPr>
          <w:rFonts w:eastAsiaTheme="minorHAnsi"/>
          <w:i/>
          <w:sz w:val="20"/>
          <w:szCs w:val="20"/>
          <w:lang w:eastAsia="en-GB"/>
        </w:rPr>
        <w:t xml:space="preserve">Note: </w:t>
      </w:r>
      <w:r w:rsidRPr="009A7163">
        <w:rPr>
          <w:bCs/>
          <w:i/>
          <w:sz w:val="20"/>
          <w:szCs w:val="20"/>
        </w:rPr>
        <w:t>The information is based on 23 HS by women participants of the initiative. Two surveys were not used because two of the 23 women did not have partners/spouses.</w:t>
      </w:r>
    </w:p>
    <w:p w14:paraId="462706C3" w14:textId="77777777" w:rsidR="00A133BF" w:rsidRPr="009A7163" w:rsidRDefault="00A133BF">
      <w:pPr>
        <w:spacing w:line="360" w:lineRule="auto"/>
        <w:rPr>
          <w:rFonts w:eastAsiaTheme="minorHAnsi"/>
          <w:lang w:eastAsia="en-GB"/>
        </w:rPr>
      </w:pPr>
    </w:p>
    <w:p w14:paraId="2C3B5344" w14:textId="0E84ACD3" w:rsidR="00C20FCD" w:rsidRPr="009A7163" w:rsidRDefault="00C20FCD">
      <w:pPr>
        <w:spacing w:line="360" w:lineRule="auto"/>
        <w:rPr>
          <w:rFonts w:eastAsiaTheme="minorHAnsi"/>
          <w:lang w:eastAsia="en-GB"/>
        </w:rPr>
      </w:pPr>
      <w:bookmarkStart w:id="128" w:name="_Toc526710021"/>
      <w:r w:rsidRPr="009A7163">
        <w:rPr>
          <w:rStyle w:val="TableTOCChar"/>
        </w:rPr>
        <w:t xml:space="preserve">Table </w:t>
      </w:r>
      <w:r w:rsidR="00A133BF" w:rsidRPr="009A7163">
        <w:rPr>
          <w:rStyle w:val="TableTOCChar"/>
        </w:rPr>
        <w:t>6.3</w:t>
      </w:r>
      <w:r w:rsidRPr="009A7163">
        <w:rPr>
          <w:rStyle w:val="TableTOCChar"/>
        </w:rPr>
        <w:t>. Household Survey Question 6.2, Achuapa (Men)</w:t>
      </w:r>
      <w:bookmarkEnd w:id="128"/>
      <w:r w:rsidRPr="009A7163">
        <w:rPr>
          <w:szCs w:val="18"/>
          <w:lang w:eastAsia="en-GB"/>
        </w:rPr>
        <w:t xml:space="preserve"> </w:t>
      </w:r>
      <w:r w:rsidRPr="009A7163">
        <w:rPr>
          <w:rFonts w:eastAsiaTheme="minorEastAsia"/>
        </w:rPr>
        <w:t xml:space="preserve"> </w:t>
      </w:r>
    </w:p>
    <w:tbl>
      <w:tblPr>
        <w:tblW w:w="9506" w:type="dxa"/>
        <w:tblLayout w:type="fixed"/>
        <w:tblLook w:val="04A0" w:firstRow="1" w:lastRow="0" w:firstColumn="1" w:lastColumn="0" w:noHBand="0" w:noVBand="1"/>
      </w:tblPr>
      <w:tblGrid>
        <w:gridCol w:w="931"/>
        <w:gridCol w:w="1117"/>
        <w:gridCol w:w="1025"/>
        <w:gridCol w:w="839"/>
        <w:gridCol w:w="839"/>
        <w:gridCol w:w="839"/>
        <w:gridCol w:w="746"/>
        <w:gridCol w:w="466"/>
        <w:gridCol w:w="746"/>
        <w:gridCol w:w="466"/>
        <w:gridCol w:w="338"/>
        <w:gridCol w:w="688"/>
        <w:gridCol w:w="93"/>
        <w:gridCol w:w="373"/>
      </w:tblGrid>
      <w:tr w:rsidR="00C20FCD" w:rsidRPr="009A7163" w14:paraId="20686F48" w14:textId="77777777" w:rsidTr="00CB5642">
        <w:trPr>
          <w:trHeight w:val="260"/>
        </w:trPr>
        <w:tc>
          <w:tcPr>
            <w:tcW w:w="9040" w:type="dxa"/>
            <w:gridSpan w:val="12"/>
            <w:tcBorders>
              <w:top w:val="single" w:sz="4" w:space="0" w:color="auto"/>
              <w:left w:val="single" w:sz="4" w:space="0" w:color="auto"/>
              <w:bottom w:val="single" w:sz="4" w:space="0" w:color="auto"/>
              <w:right w:val="single" w:sz="4" w:space="0" w:color="auto"/>
            </w:tcBorders>
            <w:shd w:val="clear" w:color="auto" w:fill="auto"/>
            <w:noWrap/>
            <w:hideMark/>
          </w:tcPr>
          <w:p w14:paraId="7AF6288C" w14:textId="77777777" w:rsidR="00C20FCD" w:rsidRPr="009A7163" w:rsidRDefault="00C20FCD">
            <w:pPr>
              <w:rPr>
                <w:i/>
                <w:sz w:val="18"/>
                <w:szCs w:val="18"/>
                <w:lang w:eastAsia="en-GB"/>
              </w:rPr>
            </w:pPr>
            <w:r w:rsidRPr="009A7163">
              <w:rPr>
                <w:bCs/>
                <w:i/>
                <w:szCs w:val="18"/>
                <w:lang w:eastAsia="en-GB"/>
              </w:rPr>
              <w:t xml:space="preserve">Question 6.2: </w:t>
            </w:r>
            <w:r w:rsidRPr="009A7163">
              <w:rPr>
                <w:i/>
                <w:szCs w:val="18"/>
                <w:lang w:eastAsia="en-GB"/>
              </w:rPr>
              <w:t>In the last month, how often have members of your household done the following activities?</w:t>
            </w:r>
          </w:p>
        </w:tc>
        <w:tc>
          <w:tcPr>
            <w:tcW w:w="466" w:type="dxa"/>
            <w:gridSpan w:val="2"/>
            <w:tcBorders>
              <w:top w:val="nil"/>
              <w:left w:val="single" w:sz="4" w:space="0" w:color="auto"/>
              <w:bottom w:val="nil"/>
              <w:right w:val="nil"/>
            </w:tcBorders>
            <w:shd w:val="clear" w:color="auto" w:fill="auto"/>
            <w:noWrap/>
            <w:hideMark/>
          </w:tcPr>
          <w:p w14:paraId="507E82B0" w14:textId="77777777" w:rsidR="00C20FCD" w:rsidRPr="009A7163" w:rsidRDefault="00C20FCD">
            <w:pPr>
              <w:rPr>
                <w:sz w:val="18"/>
                <w:szCs w:val="18"/>
                <w:lang w:eastAsia="en-GB"/>
              </w:rPr>
            </w:pPr>
          </w:p>
        </w:tc>
      </w:tr>
      <w:tr w:rsidR="00C20FCD" w:rsidRPr="009A7163" w14:paraId="4721281F" w14:textId="77777777" w:rsidTr="00CB5642">
        <w:trPr>
          <w:trHeight w:val="1560"/>
        </w:trPr>
        <w:tc>
          <w:tcPr>
            <w:tcW w:w="931" w:type="dxa"/>
            <w:tcBorders>
              <w:top w:val="single" w:sz="4" w:space="0" w:color="auto"/>
              <w:left w:val="single" w:sz="4" w:space="0" w:color="auto"/>
              <w:bottom w:val="single" w:sz="4" w:space="0" w:color="auto"/>
              <w:right w:val="single" w:sz="4" w:space="0" w:color="auto"/>
            </w:tcBorders>
            <w:shd w:val="clear" w:color="auto" w:fill="auto"/>
            <w:noWrap/>
            <w:hideMark/>
          </w:tcPr>
          <w:p w14:paraId="6181F2B9" w14:textId="77777777" w:rsidR="00C20FCD" w:rsidRPr="009A7163" w:rsidRDefault="00C20FCD" w:rsidP="008C041F">
            <w:pPr>
              <w:rPr>
                <w:sz w:val="18"/>
                <w:szCs w:val="18"/>
                <w:lang w:eastAsia="en-GB"/>
              </w:rPr>
            </w:pPr>
            <w:r w:rsidRPr="009A7163">
              <w:rPr>
                <w:sz w:val="18"/>
                <w:szCs w:val="18"/>
                <w:lang w:eastAsia="en-GB"/>
              </w:rPr>
              <w:t> </w:t>
            </w:r>
          </w:p>
        </w:tc>
        <w:tc>
          <w:tcPr>
            <w:tcW w:w="1117" w:type="dxa"/>
            <w:tcBorders>
              <w:top w:val="single" w:sz="4" w:space="0" w:color="auto"/>
              <w:left w:val="nil"/>
              <w:bottom w:val="single" w:sz="4" w:space="0" w:color="auto"/>
              <w:right w:val="single" w:sz="4" w:space="0" w:color="auto"/>
            </w:tcBorders>
            <w:shd w:val="clear" w:color="auto" w:fill="auto"/>
            <w:hideMark/>
          </w:tcPr>
          <w:p w14:paraId="51498DAE" w14:textId="77777777" w:rsidR="00C20FCD" w:rsidRPr="009A7163" w:rsidRDefault="00C20FCD">
            <w:pPr>
              <w:rPr>
                <w:sz w:val="18"/>
                <w:szCs w:val="18"/>
                <w:lang w:eastAsia="en-GB"/>
              </w:rPr>
            </w:pPr>
            <w:r w:rsidRPr="009A7163">
              <w:rPr>
                <w:sz w:val="18"/>
                <w:szCs w:val="18"/>
                <w:lang w:eastAsia="en-GB"/>
              </w:rPr>
              <w:t>Water collection</w:t>
            </w:r>
          </w:p>
        </w:tc>
        <w:tc>
          <w:tcPr>
            <w:tcW w:w="1025" w:type="dxa"/>
            <w:tcBorders>
              <w:top w:val="single" w:sz="4" w:space="0" w:color="auto"/>
              <w:left w:val="nil"/>
              <w:bottom w:val="single" w:sz="4" w:space="0" w:color="auto"/>
              <w:right w:val="single" w:sz="4" w:space="0" w:color="auto"/>
            </w:tcBorders>
            <w:shd w:val="clear" w:color="auto" w:fill="auto"/>
            <w:hideMark/>
          </w:tcPr>
          <w:p w14:paraId="0DCD2A53" w14:textId="77777777" w:rsidR="00C20FCD" w:rsidRPr="009A7163" w:rsidRDefault="00C20FCD">
            <w:pPr>
              <w:rPr>
                <w:sz w:val="18"/>
                <w:szCs w:val="18"/>
                <w:lang w:eastAsia="en-GB"/>
              </w:rPr>
            </w:pPr>
            <w:r w:rsidRPr="009A7163">
              <w:rPr>
                <w:sz w:val="18"/>
                <w:szCs w:val="18"/>
                <w:lang w:eastAsia="en-GB"/>
              </w:rPr>
              <w:t>Collecting firewood.</w:t>
            </w:r>
          </w:p>
        </w:tc>
        <w:tc>
          <w:tcPr>
            <w:tcW w:w="839" w:type="dxa"/>
            <w:tcBorders>
              <w:top w:val="single" w:sz="4" w:space="0" w:color="auto"/>
              <w:left w:val="nil"/>
              <w:bottom w:val="single" w:sz="4" w:space="0" w:color="auto"/>
              <w:right w:val="single" w:sz="4" w:space="0" w:color="auto"/>
            </w:tcBorders>
            <w:shd w:val="clear" w:color="auto" w:fill="auto"/>
            <w:hideMark/>
          </w:tcPr>
          <w:p w14:paraId="12DD6B07" w14:textId="77777777" w:rsidR="00C20FCD" w:rsidRPr="009A7163" w:rsidRDefault="00C20FCD">
            <w:pPr>
              <w:rPr>
                <w:sz w:val="18"/>
                <w:szCs w:val="18"/>
                <w:lang w:eastAsia="en-GB"/>
              </w:rPr>
            </w:pPr>
            <w:r w:rsidRPr="009A7163">
              <w:rPr>
                <w:sz w:val="18"/>
                <w:szCs w:val="18"/>
                <w:lang w:eastAsia="en-GB"/>
              </w:rPr>
              <w:t>Meal preparation/Washing dishes</w:t>
            </w:r>
          </w:p>
        </w:tc>
        <w:tc>
          <w:tcPr>
            <w:tcW w:w="839" w:type="dxa"/>
            <w:tcBorders>
              <w:top w:val="single" w:sz="4" w:space="0" w:color="auto"/>
              <w:left w:val="nil"/>
              <w:bottom w:val="single" w:sz="4" w:space="0" w:color="auto"/>
              <w:right w:val="single" w:sz="4" w:space="0" w:color="auto"/>
            </w:tcBorders>
            <w:shd w:val="clear" w:color="auto" w:fill="auto"/>
            <w:hideMark/>
          </w:tcPr>
          <w:p w14:paraId="535F99D9" w14:textId="77777777" w:rsidR="00C20FCD" w:rsidRPr="009A7163" w:rsidRDefault="00C20FCD">
            <w:pPr>
              <w:rPr>
                <w:sz w:val="18"/>
                <w:szCs w:val="18"/>
                <w:lang w:eastAsia="en-GB"/>
              </w:rPr>
            </w:pPr>
            <w:r w:rsidRPr="009A7163">
              <w:rPr>
                <w:sz w:val="18"/>
                <w:szCs w:val="18"/>
                <w:lang w:eastAsia="en-GB"/>
              </w:rPr>
              <w:t>Cleaning and organizing the house</w:t>
            </w:r>
          </w:p>
        </w:tc>
        <w:tc>
          <w:tcPr>
            <w:tcW w:w="839" w:type="dxa"/>
            <w:tcBorders>
              <w:top w:val="single" w:sz="4" w:space="0" w:color="auto"/>
              <w:left w:val="nil"/>
              <w:bottom w:val="single" w:sz="4" w:space="0" w:color="auto"/>
              <w:right w:val="single" w:sz="4" w:space="0" w:color="auto"/>
            </w:tcBorders>
            <w:shd w:val="clear" w:color="auto" w:fill="auto"/>
            <w:hideMark/>
          </w:tcPr>
          <w:p w14:paraId="159DFD6A" w14:textId="77777777" w:rsidR="00C20FCD" w:rsidRPr="009A7163" w:rsidRDefault="00C20FCD">
            <w:pPr>
              <w:rPr>
                <w:sz w:val="18"/>
                <w:szCs w:val="18"/>
                <w:lang w:eastAsia="en-GB"/>
              </w:rPr>
            </w:pPr>
            <w:r w:rsidRPr="009A7163">
              <w:rPr>
                <w:sz w:val="18"/>
                <w:szCs w:val="18"/>
                <w:lang w:eastAsia="en-GB"/>
              </w:rPr>
              <w:t>Washing/drying/ironing/mending clothes</w:t>
            </w:r>
          </w:p>
        </w:tc>
        <w:tc>
          <w:tcPr>
            <w:tcW w:w="746" w:type="dxa"/>
            <w:tcBorders>
              <w:top w:val="single" w:sz="4" w:space="0" w:color="auto"/>
              <w:left w:val="nil"/>
              <w:bottom w:val="single" w:sz="4" w:space="0" w:color="auto"/>
              <w:right w:val="single" w:sz="4" w:space="0" w:color="auto"/>
            </w:tcBorders>
            <w:shd w:val="clear" w:color="auto" w:fill="auto"/>
            <w:hideMark/>
          </w:tcPr>
          <w:p w14:paraId="690F8E57" w14:textId="77777777" w:rsidR="00C20FCD" w:rsidRPr="009A7163" w:rsidRDefault="00C20FCD">
            <w:pPr>
              <w:rPr>
                <w:sz w:val="18"/>
                <w:szCs w:val="18"/>
                <w:lang w:eastAsia="en-GB"/>
              </w:rPr>
            </w:pPr>
            <w:r w:rsidRPr="009A7163">
              <w:rPr>
                <w:sz w:val="18"/>
                <w:szCs w:val="18"/>
                <w:lang w:eastAsia="en-GB"/>
              </w:rPr>
              <w:t>Childcare</w:t>
            </w:r>
          </w:p>
        </w:tc>
        <w:tc>
          <w:tcPr>
            <w:tcW w:w="466" w:type="dxa"/>
            <w:tcBorders>
              <w:top w:val="single" w:sz="4" w:space="0" w:color="auto"/>
              <w:left w:val="nil"/>
              <w:bottom w:val="single" w:sz="4" w:space="0" w:color="auto"/>
              <w:right w:val="single" w:sz="4" w:space="0" w:color="auto"/>
            </w:tcBorders>
            <w:shd w:val="clear" w:color="auto" w:fill="auto"/>
            <w:hideMark/>
          </w:tcPr>
          <w:p w14:paraId="14D4A0B6" w14:textId="77777777" w:rsidR="00C20FCD" w:rsidRPr="009A7163" w:rsidRDefault="00C20FCD">
            <w:pPr>
              <w:rPr>
                <w:sz w:val="18"/>
                <w:szCs w:val="18"/>
                <w:lang w:eastAsia="en-GB"/>
              </w:rPr>
            </w:pPr>
            <w:r w:rsidRPr="009A7163">
              <w:rPr>
                <w:sz w:val="18"/>
                <w:szCs w:val="18"/>
                <w:lang w:eastAsia="en-GB"/>
              </w:rPr>
              <w:t>Elderly care</w:t>
            </w:r>
          </w:p>
        </w:tc>
        <w:tc>
          <w:tcPr>
            <w:tcW w:w="1212" w:type="dxa"/>
            <w:gridSpan w:val="2"/>
            <w:tcBorders>
              <w:top w:val="single" w:sz="4" w:space="0" w:color="auto"/>
              <w:left w:val="nil"/>
              <w:bottom w:val="single" w:sz="4" w:space="0" w:color="auto"/>
              <w:right w:val="single" w:sz="4" w:space="0" w:color="auto"/>
            </w:tcBorders>
            <w:shd w:val="clear" w:color="auto" w:fill="auto"/>
            <w:hideMark/>
          </w:tcPr>
          <w:p w14:paraId="3C261852" w14:textId="77777777" w:rsidR="00C20FCD" w:rsidRPr="009A7163" w:rsidRDefault="00C20FCD">
            <w:pPr>
              <w:rPr>
                <w:sz w:val="18"/>
                <w:szCs w:val="18"/>
                <w:lang w:eastAsia="en-GB"/>
              </w:rPr>
            </w:pPr>
            <w:r w:rsidRPr="009A7163">
              <w:rPr>
                <w:sz w:val="18"/>
                <w:szCs w:val="18"/>
                <w:lang w:eastAsia="en-GB"/>
              </w:rPr>
              <w:t>Care of ill/disabled</w:t>
            </w:r>
          </w:p>
        </w:tc>
        <w:tc>
          <w:tcPr>
            <w:tcW w:w="1026" w:type="dxa"/>
            <w:gridSpan w:val="2"/>
            <w:tcBorders>
              <w:top w:val="single" w:sz="4" w:space="0" w:color="auto"/>
              <w:left w:val="nil"/>
              <w:bottom w:val="single" w:sz="4" w:space="0" w:color="auto"/>
              <w:right w:val="single" w:sz="4" w:space="0" w:color="auto"/>
            </w:tcBorders>
            <w:shd w:val="clear" w:color="auto" w:fill="auto"/>
            <w:hideMark/>
          </w:tcPr>
          <w:p w14:paraId="1C7FD017" w14:textId="77777777" w:rsidR="00C20FCD" w:rsidRPr="009A7163" w:rsidRDefault="00C20FCD">
            <w:pPr>
              <w:rPr>
                <w:sz w:val="18"/>
                <w:szCs w:val="18"/>
                <w:lang w:eastAsia="en-GB"/>
              </w:rPr>
            </w:pPr>
            <w:r w:rsidRPr="009A7163">
              <w:rPr>
                <w:sz w:val="18"/>
                <w:szCs w:val="18"/>
                <w:lang w:eastAsia="en-GB"/>
              </w:rPr>
              <w:t>Care of community members</w:t>
            </w:r>
          </w:p>
        </w:tc>
        <w:tc>
          <w:tcPr>
            <w:tcW w:w="466" w:type="dxa"/>
            <w:gridSpan w:val="2"/>
            <w:tcBorders>
              <w:top w:val="nil"/>
              <w:left w:val="nil"/>
              <w:bottom w:val="nil"/>
              <w:right w:val="nil"/>
            </w:tcBorders>
            <w:shd w:val="clear" w:color="auto" w:fill="auto"/>
            <w:noWrap/>
            <w:hideMark/>
          </w:tcPr>
          <w:p w14:paraId="6E5ED513" w14:textId="77777777" w:rsidR="00C20FCD" w:rsidRPr="009A7163" w:rsidRDefault="00C20FCD">
            <w:pPr>
              <w:rPr>
                <w:sz w:val="18"/>
                <w:szCs w:val="18"/>
                <w:lang w:eastAsia="en-GB"/>
              </w:rPr>
            </w:pPr>
          </w:p>
        </w:tc>
      </w:tr>
      <w:tr w:rsidR="00C20FCD" w:rsidRPr="009A7163" w14:paraId="5112EBD6" w14:textId="77777777" w:rsidTr="00CB5642">
        <w:trPr>
          <w:trHeight w:val="520"/>
        </w:trPr>
        <w:tc>
          <w:tcPr>
            <w:tcW w:w="931" w:type="dxa"/>
            <w:tcBorders>
              <w:top w:val="nil"/>
              <w:left w:val="single" w:sz="4" w:space="0" w:color="auto"/>
              <w:bottom w:val="single" w:sz="4" w:space="0" w:color="auto"/>
              <w:right w:val="single" w:sz="4" w:space="0" w:color="auto"/>
            </w:tcBorders>
            <w:shd w:val="clear" w:color="auto" w:fill="auto"/>
            <w:noWrap/>
            <w:hideMark/>
          </w:tcPr>
          <w:p w14:paraId="5E0D0E98" w14:textId="77777777" w:rsidR="00C20FCD" w:rsidRPr="009A7163" w:rsidRDefault="00C20FCD" w:rsidP="008C041F">
            <w:pPr>
              <w:rPr>
                <w:sz w:val="18"/>
                <w:szCs w:val="18"/>
                <w:lang w:eastAsia="en-GB"/>
              </w:rPr>
            </w:pPr>
            <w:r w:rsidRPr="009A7163">
              <w:rPr>
                <w:sz w:val="18"/>
                <w:szCs w:val="18"/>
                <w:lang w:eastAsia="en-GB"/>
              </w:rPr>
              <w:t>Woman</w:t>
            </w:r>
          </w:p>
        </w:tc>
        <w:tc>
          <w:tcPr>
            <w:tcW w:w="1117" w:type="dxa"/>
            <w:tcBorders>
              <w:top w:val="nil"/>
              <w:left w:val="nil"/>
              <w:bottom w:val="single" w:sz="4" w:space="0" w:color="auto"/>
              <w:right w:val="single" w:sz="4" w:space="0" w:color="auto"/>
            </w:tcBorders>
            <w:shd w:val="clear" w:color="auto" w:fill="auto"/>
            <w:hideMark/>
          </w:tcPr>
          <w:p w14:paraId="35F5B52F" w14:textId="77777777" w:rsidR="00C20FCD" w:rsidRPr="009A7163" w:rsidRDefault="00C20FCD">
            <w:pPr>
              <w:rPr>
                <w:sz w:val="18"/>
                <w:szCs w:val="18"/>
                <w:lang w:eastAsia="en-GB"/>
              </w:rPr>
            </w:pPr>
            <w:r w:rsidRPr="009A7163">
              <w:rPr>
                <w:sz w:val="18"/>
                <w:szCs w:val="18"/>
                <w:lang w:eastAsia="en-GB"/>
              </w:rPr>
              <w:t>Once a day</w:t>
            </w:r>
          </w:p>
        </w:tc>
        <w:tc>
          <w:tcPr>
            <w:tcW w:w="1025" w:type="dxa"/>
            <w:tcBorders>
              <w:top w:val="nil"/>
              <w:left w:val="nil"/>
              <w:bottom w:val="single" w:sz="4" w:space="0" w:color="auto"/>
              <w:right w:val="single" w:sz="4" w:space="0" w:color="auto"/>
            </w:tcBorders>
            <w:shd w:val="clear" w:color="auto" w:fill="auto"/>
            <w:hideMark/>
          </w:tcPr>
          <w:p w14:paraId="2E34AF5B"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36380363" w14:textId="77777777" w:rsidR="00C20FCD" w:rsidRPr="009A7163" w:rsidRDefault="00C20FCD">
            <w:pPr>
              <w:rPr>
                <w:sz w:val="18"/>
                <w:szCs w:val="18"/>
                <w:lang w:eastAsia="en-GB"/>
              </w:rPr>
            </w:pPr>
            <w:r w:rsidRPr="009A7163">
              <w:rPr>
                <w:sz w:val="18"/>
                <w:szCs w:val="18"/>
                <w:lang w:eastAsia="en-GB"/>
              </w:rPr>
              <w:t>Once a day</w:t>
            </w:r>
          </w:p>
        </w:tc>
        <w:tc>
          <w:tcPr>
            <w:tcW w:w="839" w:type="dxa"/>
            <w:tcBorders>
              <w:top w:val="nil"/>
              <w:left w:val="nil"/>
              <w:bottom w:val="single" w:sz="4" w:space="0" w:color="auto"/>
              <w:right w:val="single" w:sz="4" w:space="0" w:color="auto"/>
            </w:tcBorders>
            <w:shd w:val="clear" w:color="auto" w:fill="auto"/>
            <w:hideMark/>
          </w:tcPr>
          <w:p w14:paraId="1DE6B1D4" w14:textId="77777777" w:rsidR="00C20FCD" w:rsidRPr="009A7163" w:rsidRDefault="00C20FCD">
            <w:pPr>
              <w:rPr>
                <w:sz w:val="18"/>
                <w:szCs w:val="18"/>
                <w:lang w:eastAsia="en-GB"/>
              </w:rPr>
            </w:pPr>
            <w:r w:rsidRPr="009A7163">
              <w:rPr>
                <w:sz w:val="18"/>
                <w:szCs w:val="18"/>
                <w:lang w:eastAsia="en-GB"/>
              </w:rPr>
              <w:t>Once a day</w:t>
            </w:r>
          </w:p>
        </w:tc>
        <w:tc>
          <w:tcPr>
            <w:tcW w:w="839" w:type="dxa"/>
            <w:tcBorders>
              <w:top w:val="nil"/>
              <w:left w:val="nil"/>
              <w:bottom w:val="single" w:sz="4" w:space="0" w:color="auto"/>
              <w:right w:val="single" w:sz="4" w:space="0" w:color="auto"/>
            </w:tcBorders>
            <w:shd w:val="clear" w:color="auto" w:fill="auto"/>
            <w:hideMark/>
          </w:tcPr>
          <w:p w14:paraId="3640C2B8" w14:textId="77777777" w:rsidR="00C20FCD" w:rsidRPr="009A7163" w:rsidRDefault="00C20FCD">
            <w:pPr>
              <w:rPr>
                <w:sz w:val="18"/>
                <w:szCs w:val="18"/>
                <w:lang w:eastAsia="en-GB"/>
              </w:rPr>
            </w:pPr>
            <w:r w:rsidRPr="009A7163">
              <w:rPr>
                <w:sz w:val="18"/>
                <w:szCs w:val="18"/>
                <w:lang w:eastAsia="en-GB"/>
              </w:rPr>
              <w:t>Once a day</w:t>
            </w:r>
          </w:p>
        </w:tc>
        <w:tc>
          <w:tcPr>
            <w:tcW w:w="746" w:type="dxa"/>
            <w:tcBorders>
              <w:top w:val="nil"/>
              <w:left w:val="nil"/>
              <w:bottom w:val="single" w:sz="4" w:space="0" w:color="auto"/>
              <w:right w:val="single" w:sz="4" w:space="0" w:color="auto"/>
            </w:tcBorders>
            <w:shd w:val="clear" w:color="FF8080" w:fill="FF9999"/>
            <w:hideMark/>
          </w:tcPr>
          <w:p w14:paraId="6D7AE93A" w14:textId="77777777" w:rsidR="00C20FCD" w:rsidRPr="009A7163" w:rsidRDefault="00C20FCD">
            <w:pPr>
              <w:rPr>
                <w:sz w:val="18"/>
                <w:szCs w:val="18"/>
                <w:lang w:eastAsia="en-GB"/>
              </w:rPr>
            </w:pPr>
            <w:r w:rsidRPr="009A7163">
              <w:rPr>
                <w:sz w:val="18"/>
                <w:szCs w:val="18"/>
                <w:lang w:eastAsia="en-GB"/>
              </w:rPr>
              <w:t>Once a day</w:t>
            </w:r>
          </w:p>
        </w:tc>
        <w:tc>
          <w:tcPr>
            <w:tcW w:w="466" w:type="dxa"/>
            <w:tcBorders>
              <w:top w:val="nil"/>
              <w:left w:val="nil"/>
              <w:bottom w:val="single" w:sz="4" w:space="0" w:color="auto"/>
              <w:right w:val="single" w:sz="4" w:space="0" w:color="auto"/>
            </w:tcBorders>
            <w:shd w:val="clear" w:color="auto" w:fill="auto"/>
            <w:hideMark/>
          </w:tcPr>
          <w:p w14:paraId="1F5254DA" w14:textId="77777777" w:rsidR="00C20FCD" w:rsidRPr="009A7163" w:rsidRDefault="00C20FCD">
            <w:pPr>
              <w:rPr>
                <w:sz w:val="18"/>
                <w:szCs w:val="18"/>
                <w:lang w:eastAsia="en-GB"/>
              </w:rPr>
            </w:pPr>
            <w:r w:rsidRPr="009A7163">
              <w:rPr>
                <w:sz w:val="18"/>
                <w:szCs w:val="18"/>
                <w:lang w:eastAsia="en-GB"/>
              </w:rPr>
              <w:t>Never</w:t>
            </w:r>
          </w:p>
        </w:tc>
        <w:tc>
          <w:tcPr>
            <w:tcW w:w="1212" w:type="dxa"/>
            <w:gridSpan w:val="2"/>
            <w:tcBorders>
              <w:top w:val="nil"/>
              <w:left w:val="nil"/>
              <w:bottom w:val="single" w:sz="4" w:space="0" w:color="auto"/>
              <w:right w:val="single" w:sz="4" w:space="0" w:color="auto"/>
            </w:tcBorders>
            <w:shd w:val="clear" w:color="auto" w:fill="auto"/>
            <w:hideMark/>
          </w:tcPr>
          <w:p w14:paraId="348DEF8F" w14:textId="77777777" w:rsidR="00C20FCD" w:rsidRPr="009A7163" w:rsidRDefault="00C20FCD">
            <w:pPr>
              <w:rPr>
                <w:sz w:val="18"/>
                <w:szCs w:val="18"/>
                <w:lang w:eastAsia="en-GB"/>
              </w:rPr>
            </w:pPr>
            <w:r w:rsidRPr="009A7163">
              <w:rPr>
                <w:sz w:val="18"/>
                <w:szCs w:val="18"/>
                <w:lang w:eastAsia="en-GB"/>
              </w:rPr>
              <w:t>Never</w:t>
            </w:r>
          </w:p>
        </w:tc>
        <w:tc>
          <w:tcPr>
            <w:tcW w:w="1026" w:type="dxa"/>
            <w:gridSpan w:val="2"/>
            <w:tcBorders>
              <w:top w:val="nil"/>
              <w:left w:val="nil"/>
              <w:bottom w:val="single" w:sz="4" w:space="0" w:color="auto"/>
              <w:right w:val="single" w:sz="4" w:space="0" w:color="auto"/>
            </w:tcBorders>
            <w:shd w:val="clear" w:color="auto" w:fill="auto"/>
            <w:hideMark/>
          </w:tcPr>
          <w:p w14:paraId="442C1BEA" w14:textId="77777777" w:rsidR="00C20FCD" w:rsidRPr="009A7163" w:rsidRDefault="00C20FCD">
            <w:pPr>
              <w:rPr>
                <w:sz w:val="18"/>
                <w:szCs w:val="18"/>
                <w:lang w:eastAsia="en-GB"/>
              </w:rPr>
            </w:pPr>
            <w:r w:rsidRPr="009A7163">
              <w:rPr>
                <w:sz w:val="18"/>
                <w:szCs w:val="18"/>
                <w:lang w:eastAsia="en-GB"/>
              </w:rPr>
              <w:t>Never</w:t>
            </w:r>
          </w:p>
        </w:tc>
        <w:tc>
          <w:tcPr>
            <w:tcW w:w="466" w:type="dxa"/>
            <w:gridSpan w:val="2"/>
            <w:tcBorders>
              <w:top w:val="nil"/>
              <w:left w:val="nil"/>
              <w:bottom w:val="nil"/>
              <w:right w:val="nil"/>
            </w:tcBorders>
            <w:shd w:val="clear" w:color="auto" w:fill="auto"/>
            <w:noWrap/>
            <w:hideMark/>
          </w:tcPr>
          <w:p w14:paraId="6B37A71D" w14:textId="77777777" w:rsidR="00C20FCD" w:rsidRPr="009A7163" w:rsidRDefault="00C20FCD">
            <w:pPr>
              <w:rPr>
                <w:sz w:val="18"/>
                <w:szCs w:val="18"/>
                <w:lang w:eastAsia="en-GB"/>
              </w:rPr>
            </w:pPr>
          </w:p>
        </w:tc>
      </w:tr>
      <w:tr w:rsidR="00C20FCD" w:rsidRPr="009A7163" w14:paraId="122DB040" w14:textId="77777777" w:rsidTr="00CB5642">
        <w:trPr>
          <w:trHeight w:val="780"/>
        </w:trPr>
        <w:tc>
          <w:tcPr>
            <w:tcW w:w="931" w:type="dxa"/>
            <w:tcBorders>
              <w:top w:val="nil"/>
              <w:left w:val="single" w:sz="4" w:space="0" w:color="auto"/>
              <w:bottom w:val="single" w:sz="4" w:space="0" w:color="auto"/>
              <w:right w:val="single" w:sz="4" w:space="0" w:color="auto"/>
            </w:tcBorders>
            <w:shd w:val="clear" w:color="auto" w:fill="auto"/>
            <w:hideMark/>
          </w:tcPr>
          <w:p w14:paraId="5DEE4496" w14:textId="77777777" w:rsidR="00C20FCD" w:rsidRPr="009A7163" w:rsidRDefault="00C20FCD" w:rsidP="008C041F">
            <w:pPr>
              <w:rPr>
                <w:sz w:val="18"/>
                <w:szCs w:val="18"/>
                <w:lang w:eastAsia="en-GB"/>
              </w:rPr>
            </w:pPr>
            <w:r w:rsidRPr="009A7163">
              <w:rPr>
                <w:sz w:val="18"/>
                <w:szCs w:val="18"/>
                <w:lang w:eastAsia="en-GB"/>
              </w:rPr>
              <w:t>Spouse/partner</w:t>
            </w:r>
          </w:p>
        </w:tc>
        <w:tc>
          <w:tcPr>
            <w:tcW w:w="1117" w:type="dxa"/>
            <w:tcBorders>
              <w:top w:val="nil"/>
              <w:left w:val="nil"/>
              <w:bottom w:val="single" w:sz="4" w:space="0" w:color="auto"/>
              <w:right w:val="single" w:sz="4" w:space="0" w:color="auto"/>
            </w:tcBorders>
            <w:shd w:val="clear" w:color="auto" w:fill="auto"/>
            <w:hideMark/>
          </w:tcPr>
          <w:p w14:paraId="18CA1226" w14:textId="77777777" w:rsidR="00C20FCD" w:rsidRPr="009A7163" w:rsidRDefault="00C20FCD">
            <w:pPr>
              <w:rPr>
                <w:sz w:val="18"/>
                <w:szCs w:val="18"/>
                <w:lang w:eastAsia="en-GB"/>
              </w:rPr>
            </w:pPr>
            <w:r w:rsidRPr="009A7163">
              <w:rPr>
                <w:sz w:val="18"/>
                <w:szCs w:val="18"/>
                <w:lang w:eastAsia="en-GB"/>
              </w:rPr>
              <w:t>At least once a week</w:t>
            </w:r>
          </w:p>
        </w:tc>
        <w:tc>
          <w:tcPr>
            <w:tcW w:w="1025" w:type="dxa"/>
            <w:tcBorders>
              <w:top w:val="nil"/>
              <w:left w:val="nil"/>
              <w:bottom w:val="single" w:sz="4" w:space="0" w:color="auto"/>
              <w:right w:val="single" w:sz="4" w:space="0" w:color="auto"/>
            </w:tcBorders>
            <w:shd w:val="clear" w:color="auto" w:fill="auto"/>
            <w:hideMark/>
          </w:tcPr>
          <w:p w14:paraId="1B27059D" w14:textId="77777777" w:rsidR="00C20FCD" w:rsidRPr="009A7163" w:rsidRDefault="00C20FCD">
            <w:pPr>
              <w:rPr>
                <w:sz w:val="18"/>
                <w:szCs w:val="18"/>
                <w:lang w:eastAsia="en-GB"/>
              </w:rPr>
            </w:pPr>
            <w:r w:rsidRPr="009A7163">
              <w:rPr>
                <w:sz w:val="18"/>
                <w:szCs w:val="18"/>
                <w:lang w:eastAsia="en-GB"/>
              </w:rPr>
              <w:t>At least once a week</w:t>
            </w:r>
          </w:p>
        </w:tc>
        <w:tc>
          <w:tcPr>
            <w:tcW w:w="839" w:type="dxa"/>
            <w:tcBorders>
              <w:top w:val="nil"/>
              <w:left w:val="nil"/>
              <w:bottom w:val="single" w:sz="4" w:space="0" w:color="auto"/>
              <w:right w:val="single" w:sz="4" w:space="0" w:color="auto"/>
            </w:tcBorders>
            <w:shd w:val="clear" w:color="FFFF00" w:fill="FFCC00"/>
            <w:hideMark/>
          </w:tcPr>
          <w:p w14:paraId="430F084A"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32BDD7D3"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FFFF00" w:fill="FFCC00"/>
            <w:hideMark/>
          </w:tcPr>
          <w:p w14:paraId="380D846E" w14:textId="77777777" w:rsidR="00C20FCD" w:rsidRPr="009A7163" w:rsidRDefault="00C20FCD">
            <w:pPr>
              <w:rPr>
                <w:sz w:val="18"/>
                <w:szCs w:val="18"/>
                <w:lang w:eastAsia="en-GB"/>
              </w:rPr>
            </w:pPr>
            <w:r w:rsidRPr="009A7163">
              <w:rPr>
                <w:sz w:val="18"/>
                <w:szCs w:val="18"/>
                <w:lang w:eastAsia="en-GB"/>
              </w:rPr>
              <w:t>Never</w:t>
            </w:r>
          </w:p>
        </w:tc>
        <w:tc>
          <w:tcPr>
            <w:tcW w:w="746" w:type="dxa"/>
            <w:tcBorders>
              <w:top w:val="nil"/>
              <w:left w:val="nil"/>
              <w:bottom w:val="single" w:sz="4" w:space="0" w:color="auto"/>
              <w:right w:val="single" w:sz="4" w:space="0" w:color="auto"/>
            </w:tcBorders>
            <w:shd w:val="clear" w:color="FF8080" w:fill="FF9999"/>
            <w:hideMark/>
          </w:tcPr>
          <w:p w14:paraId="799E5470" w14:textId="77777777" w:rsidR="00C20FCD" w:rsidRPr="009A7163" w:rsidRDefault="00C20FCD">
            <w:pPr>
              <w:rPr>
                <w:sz w:val="18"/>
                <w:szCs w:val="18"/>
                <w:lang w:eastAsia="en-GB"/>
              </w:rPr>
            </w:pPr>
            <w:r w:rsidRPr="009A7163">
              <w:rPr>
                <w:sz w:val="18"/>
                <w:szCs w:val="18"/>
                <w:lang w:eastAsia="en-GB"/>
              </w:rPr>
              <w:t>At least once a month</w:t>
            </w:r>
          </w:p>
        </w:tc>
        <w:tc>
          <w:tcPr>
            <w:tcW w:w="466" w:type="dxa"/>
            <w:tcBorders>
              <w:top w:val="nil"/>
              <w:left w:val="nil"/>
              <w:bottom w:val="single" w:sz="4" w:space="0" w:color="auto"/>
              <w:right w:val="single" w:sz="4" w:space="0" w:color="auto"/>
            </w:tcBorders>
            <w:shd w:val="clear" w:color="auto" w:fill="auto"/>
            <w:hideMark/>
          </w:tcPr>
          <w:p w14:paraId="4A1A3CC8" w14:textId="77777777" w:rsidR="00C20FCD" w:rsidRPr="009A7163" w:rsidRDefault="00C20FCD">
            <w:pPr>
              <w:rPr>
                <w:sz w:val="18"/>
                <w:szCs w:val="18"/>
                <w:lang w:eastAsia="en-GB"/>
              </w:rPr>
            </w:pPr>
            <w:r w:rsidRPr="009A7163">
              <w:rPr>
                <w:sz w:val="18"/>
                <w:szCs w:val="18"/>
                <w:lang w:eastAsia="en-GB"/>
              </w:rPr>
              <w:t>Never</w:t>
            </w:r>
          </w:p>
        </w:tc>
        <w:tc>
          <w:tcPr>
            <w:tcW w:w="1212" w:type="dxa"/>
            <w:gridSpan w:val="2"/>
            <w:tcBorders>
              <w:top w:val="nil"/>
              <w:left w:val="nil"/>
              <w:bottom w:val="single" w:sz="4" w:space="0" w:color="auto"/>
              <w:right w:val="single" w:sz="4" w:space="0" w:color="auto"/>
            </w:tcBorders>
            <w:shd w:val="clear" w:color="auto" w:fill="auto"/>
            <w:hideMark/>
          </w:tcPr>
          <w:p w14:paraId="6B9A944D" w14:textId="77777777" w:rsidR="00C20FCD" w:rsidRPr="009A7163" w:rsidRDefault="00C20FCD">
            <w:pPr>
              <w:rPr>
                <w:sz w:val="18"/>
                <w:szCs w:val="18"/>
                <w:lang w:eastAsia="en-GB"/>
              </w:rPr>
            </w:pPr>
            <w:r w:rsidRPr="009A7163">
              <w:rPr>
                <w:sz w:val="18"/>
                <w:szCs w:val="18"/>
                <w:lang w:eastAsia="en-GB"/>
              </w:rPr>
              <w:t>Never</w:t>
            </w:r>
          </w:p>
        </w:tc>
        <w:tc>
          <w:tcPr>
            <w:tcW w:w="1026" w:type="dxa"/>
            <w:gridSpan w:val="2"/>
            <w:tcBorders>
              <w:top w:val="nil"/>
              <w:left w:val="nil"/>
              <w:bottom w:val="single" w:sz="4" w:space="0" w:color="auto"/>
              <w:right w:val="single" w:sz="4" w:space="0" w:color="auto"/>
            </w:tcBorders>
            <w:shd w:val="clear" w:color="auto" w:fill="auto"/>
            <w:hideMark/>
          </w:tcPr>
          <w:p w14:paraId="24385166" w14:textId="77777777" w:rsidR="00C20FCD" w:rsidRPr="009A7163" w:rsidRDefault="00C20FCD">
            <w:pPr>
              <w:rPr>
                <w:sz w:val="18"/>
                <w:szCs w:val="18"/>
                <w:lang w:eastAsia="en-GB"/>
              </w:rPr>
            </w:pPr>
            <w:r w:rsidRPr="009A7163">
              <w:rPr>
                <w:sz w:val="18"/>
                <w:szCs w:val="18"/>
                <w:lang w:eastAsia="en-GB"/>
              </w:rPr>
              <w:t>Never</w:t>
            </w:r>
          </w:p>
        </w:tc>
        <w:tc>
          <w:tcPr>
            <w:tcW w:w="466" w:type="dxa"/>
            <w:gridSpan w:val="2"/>
            <w:tcBorders>
              <w:top w:val="nil"/>
              <w:left w:val="nil"/>
              <w:bottom w:val="nil"/>
              <w:right w:val="nil"/>
            </w:tcBorders>
            <w:shd w:val="clear" w:color="auto" w:fill="auto"/>
            <w:noWrap/>
            <w:hideMark/>
          </w:tcPr>
          <w:p w14:paraId="1F97809C" w14:textId="77777777" w:rsidR="00C20FCD" w:rsidRPr="009A7163" w:rsidRDefault="00C20FCD">
            <w:pPr>
              <w:rPr>
                <w:sz w:val="18"/>
                <w:szCs w:val="18"/>
                <w:lang w:eastAsia="en-GB"/>
              </w:rPr>
            </w:pPr>
          </w:p>
        </w:tc>
      </w:tr>
      <w:tr w:rsidR="00C20FCD" w:rsidRPr="009A7163" w14:paraId="6A2C1C5E" w14:textId="77777777" w:rsidTr="00CB5642">
        <w:trPr>
          <w:trHeight w:val="780"/>
        </w:trPr>
        <w:tc>
          <w:tcPr>
            <w:tcW w:w="931" w:type="dxa"/>
            <w:tcBorders>
              <w:top w:val="nil"/>
              <w:left w:val="single" w:sz="4" w:space="0" w:color="auto"/>
              <w:bottom w:val="single" w:sz="4" w:space="0" w:color="auto"/>
              <w:right w:val="single" w:sz="4" w:space="0" w:color="auto"/>
            </w:tcBorders>
            <w:shd w:val="clear" w:color="auto" w:fill="auto"/>
            <w:hideMark/>
          </w:tcPr>
          <w:p w14:paraId="7DCF36FA" w14:textId="77777777" w:rsidR="00C20FCD" w:rsidRPr="009A7163" w:rsidRDefault="00C20FCD" w:rsidP="008C041F">
            <w:pPr>
              <w:rPr>
                <w:sz w:val="18"/>
                <w:szCs w:val="18"/>
                <w:lang w:eastAsia="en-GB"/>
              </w:rPr>
            </w:pPr>
            <w:r w:rsidRPr="009A7163">
              <w:rPr>
                <w:sz w:val="18"/>
                <w:szCs w:val="18"/>
                <w:lang w:eastAsia="en-GB"/>
              </w:rPr>
              <w:t>Daughters, Nieces, daughters in law</w:t>
            </w:r>
          </w:p>
        </w:tc>
        <w:tc>
          <w:tcPr>
            <w:tcW w:w="1117" w:type="dxa"/>
            <w:tcBorders>
              <w:top w:val="nil"/>
              <w:left w:val="nil"/>
              <w:bottom w:val="single" w:sz="4" w:space="0" w:color="auto"/>
              <w:right w:val="single" w:sz="4" w:space="0" w:color="auto"/>
            </w:tcBorders>
            <w:shd w:val="clear" w:color="auto" w:fill="auto"/>
            <w:hideMark/>
          </w:tcPr>
          <w:p w14:paraId="117D09B6" w14:textId="77777777" w:rsidR="00C20FCD" w:rsidRPr="009A7163" w:rsidRDefault="00C20FCD">
            <w:pPr>
              <w:rPr>
                <w:sz w:val="18"/>
                <w:szCs w:val="18"/>
                <w:lang w:eastAsia="en-GB"/>
              </w:rPr>
            </w:pPr>
            <w:r w:rsidRPr="009A7163">
              <w:rPr>
                <w:sz w:val="18"/>
                <w:szCs w:val="18"/>
                <w:lang w:eastAsia="en-GB"/>
              </w:rPr>
              <w:t>Once a day</w:t>
            </w:r>
          </w:p>
        </w:tc>
        <w:tc>
          <w:tcPr>
            <w:tcW w:w="1025" w:type="dxa"/>
            <w:tcBorders>
              <w:top w:val="nil"/>
              <w:left w:val="nil"/>
              <w:bottom w:val="single" w:sz="4" w:space="0" w:color="auto"/>
              <w:right w:val="single" w:sz="4" w:space="0" w:color="auto"/>
            </w:tcBorders>
            <w:shd w:val="clear" w:color="auto" w:fill="auto"/>
            <w:hideMark/>
          </w:tcPr>
          <w:p w14:paraId="04EA4C62"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2B810719" w14:textId="77777777" w:rsidR="00C20FCD" w:rsidRPr="009A7163" w:rsidRDefault="00C20FCD">
            <w:pPr>
              <w:rPr>
                <w:sz w:val="18"/>
                <w:szCs w:val="18"/>
                <w:lang w:eastAsia="en-GB"/>
              </w:rPr>
            </w:pPr>
            <w:r w:rsidRPr="009A7163">
              <w:rPr>
                <w:sz w:val="18"/>
                <w:szCs w:val="18"/>
                <w:lang w:eastAsia="en-GB"/>
              </w:rPr>
              <w:t>Once a day</w:t>
            </w:r>
          </w:p>
        </w:tc>
        <w:tc>
          <w:tcPr>
            <w:tcW w:w="839" w:type="dxa"/>
            <w:tcBorders>
              <w:top w:val="nil"/>
              <w:left w:val="nil"/>
              <w:bottom w:val="single" w:sz="4" w:space="0" w:color="auto"/>
              <w:right w:val="single" w:sz="4" w:space="0" w:color="auto"/>
            </w:tcBorders>
            <w:shd w:val="clear" w:color="auto" w:fill="auto"/>
            <w:hideMark/>
          </w:tcPr>
          <w:p w14:paraId="0FFA061A" w14:textId="77777777" w:rsidR="00C20FCD" w:rsidRPr="009A7163" w:rsidRDefault="00C20FCD">
            <w:pPr>
              <w:rPr>
                <w:sz w:val="18"/>
                <w:szCs w:val="18"/>
                <w:lang w:eastAsia="en-GB"/>
              </w:rPr>
            </w:pPr>
            <w:r w:rsidRPr="009A7163">
              <w:rPr>
                <w:sz w:val="18"/>
                <w:szCs w:val="18"/>
                <w:lang w:eastAsia="en-GB"/>
              </w:rPr>
              <w:t>Once a day</w:t>
            </w:r>
          </w:p>
        </w:tc>
        <w:tc>
          <w:tcPr>
            <w:tcW w:w="839" w:type="dxa"/>
            <w:tcBorders>
              <w:top w:val="nil"/>
              <w:left w:val="nil"/>
              <w:bottom w:val="single" w:sz="4" w:space="0" w:color="auto"/>
              <w:right w:val="single" w:sz="4" w:space="0" w:color="auto"/>
            </w:tcBorders>
            <w:shd w:val="clear" w:color="auto" w:fill="auto"/>
            <w:hideMark/>
          </w:tcPr>
          <w:p w14:paraId="05C8D9E2" w14:textId="12E6C6A3" w:rsidR="00C20FCD" w:rsidRPr="009A7163" w:rsidRDefault="00C20FCD">
            <w:pPr>
              <w:rPr>
                <w:sz w:val="18"/>
                <w:szCs w:val="18"/>
                <w:lang w:eastAsia="en-GB"/>
              </w:rPr>
            </w:pPr>
            <w:r w:rsidRPr="009A7163">
              <w:rPr>
                <w:sz w:val="18"/>
                <w:szCs w:val="18"/>
                <w:lang w:eastAsia="en-GB"/>
              </w:rPr>
              <w:t>Once A D</w:t>
            </w:r>
            <w:r w:rsidR="001253A9" w:rsidRPr="009A7163">
              <w:rPr>
                <w:sz w:val="18"/>
                <w:szCs w:val="18"/>
                <w:lang w:eastAsia="en-GB"/>
              </w:rPr>
              <w:t>ay</w:t>
            </w:r>
          </w:p>
        </w:tc>
        <w:tc>
          <w:tcPr>
            <w:tcW w:w="746" w:type="dxa"/>
            <w:tcBorders>
              <w:top w:val="nil"/>
              <w:left w:val="nil"/>
              <w:bottom w:val="single" w:sz="4" w:space="0" w:color="auto"/>
              <w:right w:val="single" w:sz="4" w:space="0" w:color="auto"/>
            </w:tcBorders>
            <w:shd w:val="clear" w:color="auto" w:fill="auto"/>
            <w:hideMark/>
          </w:tcPr>
          <w:p w14:paraId="055B5CB1" w14:textId="77777777" w:rsidR="00C20FCD" w:rsidRPr="009A7163" w:rsidRDefault="00C20FCD">
            <w:pPr>
              <w:rPr>
                <w:sz w:val="18"/>
                <w:szCs w:val="18"/>
                <w:lang w:eastAsia="en-GB"/>
              </w:rPr>
            </w:pPr>
            <w:r w:rsidRPr="009A7163">
              <w:rPr>
                <w:sz w:val="18"/>
                <w:szCs w:val="18"/>
                <w:lang w:eastAsia="en-GB"/>
              </w:rPr>
              <w:t>At least once a week</w:t>
            </w:r>
          </w:p>
        </w:tc>
        <w:tc>
          <w:tcPr>
            <w:tcW w:w="466" w:type="dxa"/>
            <w:tcBorders>
              <w:top w:val="nil"/>
              <w:left w:val="nil"/>
              <w:bottom w:val="single" w:sz="4" w:space="0" w:color="auto"/>
              <w:right w:val="single" w:sz="4" w:space="0" w:color="auto"/>
            </w:tcBorders>
            <w:shd w:val="clear" w:color="auto" w:fill="auto"/>
            <w:hideMark/>
          </w:tcPr>
          <w:p w14:paraId="1CFF9E83" w14:textId="77777777" w:rsidR="00C20FCD" w:rsidRPr="009A7163" w:rsidRDefault="00C20FCD">
            <w:pPr>
              <w:rPr>
                <w:sz w:val="18"/>
                <w:szCs w:val="18"/>
                <w:lang w:eastAsia="en-GB"/>
              </w:rPr>
            </w:pPr>
            <w:r w:rsidRPr="009A7163">
              <w:rPr>
                <w:sz w:val="18"/>
                <w:szCs w:val="18"/>
                <w:lang w:eastAsia="en-GB"/>
              </w:rPr>
              <w:t>Never</w:t>
            </w:r>
          </w:p>
        </w:tc>
        <w:tc>
          <w:tcPr>
            <w:tcW w:w="1212" w:type="dxa"/>
            <w:gridSpan w:val="2"/>
            <w:tcBorders>
              <w:top w:val="nil"/>
              <w:left w:val="nil"/>
              <w:bottom w:val="single" w:sz="4" w:space="0" w:color="auto"/>
              <w:right w:val="single" w:sz="4" w:space="0" w:color="auto"/>
            </w:tcBorders>
            <w:shd w:val="clear" w:color="auto" w:fill="auto"/>
            <w:hideMark/>
          </w:tcPr>
          <w:p w14:paraId="1570C183" w14:textId="77777777" w:rsidR="00C20FCD" w:rsidRPr="009A7163" w:rsidRDefault="00C20FCD">
            <w:pPr>
              <w:rPr>
                <w:sz w:val="18"/>
                <w:szCs w:val="18"/>
                <w:lang w:eastAsia="en-GB"/>
              </w:rPr>
            </w:pPr>
            <w:r w:rsidRPr="009A7163">
              <w:rPr>
                <w:sz w:val="18"/>
                <w:szCs w:val="18"/>
                <w:lang w:eastAsia="en-GB"/>
              </w:rPr>
              <w:t>Never</w:t>
            </w:r>
          </w:p>
        </w:tc>
        <w:tc>
          <w:tcPr>
            <w:tcW w:w="1026" w:type="dxa"/>
            <w:gridSpan w:val="2"/>
            <w:tcBorders>
              <w:top w:val="nil"/>
              <w:left w:val="nil"/>
              <w:bottom w:val="single" w:sz="4" w:space="0" w:color="auto"/>
              <w:right w:val="single" w:sz="4" w:space="0" w:color="auto"/>
            </w:tcBorders>
            <w:shd w:val="clear" w:color="auto" w:fill="auto"/>
            <w:hideMark/>
          </w:tcPr>
          <w:p w14:paraId="21BC81BA" w14:textId="77777777" w:rsidR="00C20FCD" w:rsidRPr="009A7163" w:rsidRDefault="00C20FCD">
            <w:pPr>
              <w:rPr>
                <w:sz w:val="18"/>
                <w:szCs w:val="18"/>
                <w:lang w:eastAsia="en-GB"/>
              </w:rPr>
            </w:pPr>
            <w:r w:rsidRPr="009A7163">
              <w:rPr>
                <w:sz w:val="18"/>
                <w:szCs w:val="18"/>
                <w:lang w:eastAsia="en-GB"/>
              </w:rPr>
              <w:t>Never</w:t>
            </w:r>
          </w:p>
        </w:tc>
        <w:tc>
          <w:tcPr>
            <w:tcW w:w="466" w:type="dxa"/>
            <w:gridSpan w:val="2"/>
            <w:tcBorders>
              <w:top w:val="nil"/>
              <w:left w:val="nil"/>
              <w:bottom w:val="nil"/>
              <w:right w:val="nil"/>
            </w:tcBorders>
            <w:shd w:val="clear" w:color="auto" w:fill="auto"/>
            <w:noWrap/>
            <w:hideMark/>
          </w:tcPr>
          <w:p w14:paraId="57C98CD1" w14:textId="77777777" w:rsidR="00C20FCD" w:rsidRPr="009A7163" w:rsidRDefault="00C20FCD">
            <w:pPr>
              <w:rPr>
                <w:sz w:val="18"/>
                <w:szCs w:val="18"/>
                <w:lang w:eastAsia="en-GB"/>
              </w:rPr>
            </w:pPr>
          </w:p>
        </w:tc>
      </w:tr>
      <w:tr w:rsidR="00C20FCD" w:rsidRPr="009A7163" w14:paraId="09D82B96" w14:textId="77777777" w:rsidTr="00CB5642">
        <w:trPr>
          <w:trHeight w:val="780"/>
        </w:trPr>
        <w:tc>
          <w:tcPr>
            <w:tcW w:w="931" w:type="dxa"/>
            <w:tcBorders>
              <w:top w:val="nil"/>
              <w:left w:val="single" w:sz="4" w:space="0" w:color="auto"/>
              <w:bottom w:val="single" w:sz="4" w:space="0" w:color="auto"/>
              <w:right w:val="single" w:sz="4" w:space="0" w:color="auto"/>
            </w:tcBorders>
            <w:shd w:val="clear" w:color="auto" w:fill="auto"/>
            <w:hideMark/>
          </w:tcPr>
          <w:p w14:paraId="39493850" w14:textId="77777777" w:rsidR="00C20FCD" w:rsidRPr="009A7163" w:rsidRDefault="00C20FCD" w:rsidP="008C041F">
            <w:pPr>
              <w:rPr>
                <w:sz w:val="18"/>
                <w:szCs w:val="18"/>
                <w:lang w:eastAsia="en-GB"/>
              </w:rPr>
            </w:pPr>
            <w:r w:rsidRPr="009A7163">
              <w:rPr>
                <w:sz w:val="18"/>
                <w:szCs w:val="18"/>
                <w:lang w:eastAsia="en-GB"/>
              </w:rPr>
              <w:t>Sons, Nephews, Sons in law</w:t>
            </w:r>
          </w:p>
        </w:tc>
        <w:tc>
          <w:tcPr>
            <w:tcW w:w="1117" w:type="dxa"/>
            <w:tcBorders>
              <w:top w:val="nil"/>
              <w:left w:val="nil"/>
              <w:bottom w:val="single" w:sz="4" w:space="0" w:color="auto"/>
              <w:right w:val="single" w:sz="4" w:space="0" w:color="auto"/>
            </w:tcBorders>
            <w:shd w:val="clear" w:color="auto" w:fill="auto"/>
            <w:hideMark/>
          </w:tcPr>
          <w:p w14:paraId="490219B2" w14:textId="77777777" w:rsidR="00C20FCD" w:rsidRPr="009A7163" w:rsidRDefault="00C20FCD">
            <w:pPr>
              <w:rPr>
                <w:sz w:val="18"/>
                <w:szCs w:val="18"/>
                <w:lang w:eastAsia="en-GB"/>
              </w:rPr>
            </w:pPr>
            <w:r w:rsidRPr="009A7163">
              <w:rPr>
                <w:sz w:val="18"/>
                <w:szCs w:val="18"/>
                <w:lang w:eastAsia="en-GB"/>
              </w:rPr>
              <w:t>At least once a week</w:t>
            </w:r>
          </w:p>
        </w:tc>
        <w:tc>
          <w:tcPr>
            <w:tcW w:w="1025" w:type="dxa"/>
            <w:tcBorders>
              <w:top w:val="nil"/>
              <w:left w:val="nil"/>
              <w:bottom w:val="single" w:sz="4" w:space="0" w:color="auto"/>
              <w:right w:val="single" w:sz="4" w:space="0" w:color="auto"/>
            </w:tcBorders>
            <w:shd w:val="clear" w:color="auto" w:fill="auto"/>
            <w:hideMark/>
          </w:tcPr>
          <w:p w14:paraId="70A0AA30"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auto" w:fill="auto"/>
            <w:hideMark/>
          </w:tcPr>
          <w:p w14:paraId="5EADDC30"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4EE4F4E1"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4093349B" w14:textId="77777777" w:rsidR="00C20FCD" w:rsidRPr="009A7163" w:rsidRDefault="00C20FCD">
            <w:pPr>
              <w:rPr>
                <w:sz w:val="18"/>
                <w:szCs w:val="18"/>
                <w:lang w:eastAsia="en-GB"/>
              </w:rPr>
            </w:pPr>
            <w:r w:rsidRPr="009A7163">
              <w:rPr>
                <w:sz w:val="18"/>
                <w:szCs w:val="18"/>
                <w:lang w:eastAsia="en-GB"/>
              </w:rPr>
              <w:t>At least once a month</w:t>
            </w:r>
          </w:p>
        </w:tc>
        <w:tc>
          <w:tcPr>
            <w:tcW w:w="746" w:type="dxa"/>
            <w:tcBorders>
              <w:top w:val="nil"/>
              <w:left w:val="nil"/>
              <w:bottom w:val="single" w:sz="4" w:space="0" w:color="auto"/>
              <w:right w:val="single" w:sz="4" w:space="0" w:color="auto"/>
            </w:tcBorders>
            <w:shd w:val="clear" w:color="auto" w:fill="auto"/>
            <w:hideMark/>
          </w:tcPr>
          <w:p w14:paraId="6A55E21E" w14:textId="77777777" w:rsidR="00C20FCD" w:rsidRPr="009A7163" w:rsidRDefault="00C20FCD">
            <w:pPr>
              <w:rPr>
                <w:sz w:val="18"/>
                <w:szCs w:val="18"/>
                <w:lang w:eastAsia="en-GB"/>
              </w:rPr>
            </w:pPr>
            <w:r w:rsidRPr="009A7163">
              <w:rPr>
                <w:sz w:val="18"/>
                <w:szCs w:val="18"/>
                <w:lang w:eastAsia="en-GB"/>
              </w:rPr>
              <w:t>Never</w:t>
            </w:r>
          </w:p>
        </w:tc>
        <w:tc>
          <w:tcPr>
            <w:tcW w:w="466" w:type="dxa"/>
            <w:tcBorders>
              <w:top w:val="nil"/>
              <w:left w:val="nil"/>
              <w:bottom w:val="single" w:sz="4" w:space="0" w:color="auto"/>
              <w:right w:val="single" w:sz="4" w:space="0" w:color="auto"/>
            </w:tcBorders>
            <w:shd w:val="clear" w:color="auto" w:fill="auto"/>
            <w:hideMark/>
          </w:tcPr>
          <w:p w14:paraId="7BD0817F" w14:textId="77777777" w:rsidR="00C20FCD" w:rsidRPr="009A7163" w:rsidRDefault="00C20FCD">
            <w:pPr>
              <w:rPr>
                <w:sz w:val="18"/>
                <w:szCs w:val="18"/>
                <w:lang w:eastAsia="en-GB"/>
              </w:rPr>
            </w:pPr>
            <w:r w:rsidRPr="009A7163">
              <w:rPr>
                <w:sz w:val="18"/>
                <w:szCs w:val="18"/>
                <w:lang w:eastAsia="en-GB"/>
              </w:rPr>
              <w:t>Never</w:t>
            </w:r>
          </w:p>
        </w:tc>
        <w:tc>
          <w:tcPr>
            <w:tcW w:w="1212" w:type="dxa"/>
            <w:gridSpan w:val="2"/>
            <w:tcBorders>
              <w:top w:val="nil"/>
              <w:left w:val="nil"/>
              <w:bottom w:val="single" w:sz="4" w:space="0" w:color="auto"/>
              <w:right w:val="single" w:sz="4" w:space="0" w:color="auto"/>
            </w:tcBorders>
            <w:shd w:val="clear" w:color="auto" w:fill="auto"/>
            <w:hideMark/>
          </w:tcPr>
          <w:p w14:paraId="0904D4DC" w14:textId="77777777" w:rsidR="00C20FCD" w:rsidRPr="009A7163" w:rsidRDefault="00C20FCD">
            <w:pPr>
              <w:rPr>
                <w:sz w:val="18"/>
                <w:szCs w:val="18"/>
                <w:lang w:eastAsia="en-GB"/>
              </w:rPr>
            </w:pPr>
            <w:r w:rsidRPr="009A7163">
              <w:rPr>
                <w:sz w:val="18"/>
                <w:szCs w:val="18"/>
                <w:lang w:eastAsia="en-GB"/>
              </w:rPr>
              <w:t>Never</w:t>
            </w:r>
          </w:p>
        </w:tc>
        <w:tc>
          <w:tcPr>
            <w:tcW w:w="1026" w:type="dxa"/>
            <w:gridSpan w:val="2"/>
            <w:tcBorders>
              <w:top w:val="nil"/>
              <w:left w:val="nil"/>
              <w:bottom w:val="single" w:sz="4" w:space="0" w:color="auto"/>
              <w:right w:val="single" w:sz="4" w:space="0" w:color="auto"/>
            </w:tcBorders>
            <w:shd w:val="clear" w:color="auto" w:fill="auto"/>
            <w:hideMark/>
          </w:tcPr>
          <w:p w14:paraId="1966A8CE" w14:textId="77777777" w:rsidR="00C20FCD" w:rsidRPr="009A7163" w:rsidRDefault="00C20FCD">
            <w:pPr>
              <w:rPr>
                <w:sz w:val="18"/>
                <w:szCs w:val="18"/>
                <w:lang w:eastAsia="en-GB"/>
              </w:rPr>
            </w:pPr>
            <w:r w:rsidRPr="009A7163">
              <w:rPr>
                <w:sz w:val="18"/>
                <w:szCs w:val="18"/>
                <w:lang w:eastAsia="en-GB"/>
              </w:rPr>
              <w:t>Never</w:t>
            </w:r>
          </w:p>
        </w:tc>
        <w:tc>
          <w:tcPr>
            <w:tcW w:w="466" w:type="dxa"/>
            <w:gridSpan w:val="2"/>
            <w:tcBorders>
              <w:top w:val="nil"/>
              <w:left w:val="nil"/>
              <w:bottom w:val="nil"/>
              <w:right w:val="nil"/>
            </w:tcBorders>
            <w:shd w:val="clear" w:color="auto" w:fill="auto"/>
            <w:noWrap/>
            <w:hideMark/>
          </w:tcPr>
          <w:p w14:paraId="1266B91C" w14:textId="77777777" w:rsidR="00C20FCD" w:rsidRPr="009A7163" w:rsidRDefault="00C20FCD">
            <w:pPr>
              <w:rPr>
                <w:sz w:val="18"/>
                <w:szCs w:val="18"/>
                <w:lang w:eastAsia="en-GB"/>
              </w:rPr>
            </w:pPr>
          </w:p>
        </w:tc>
      </w:tr>
      <w:tr w:rsidR="001253A9" w:rsidRPr="009A7163" w14:paraId="7707CDC5" w14:textId="77777777" w:rsidTr="00CB5EDE">
        <w:trPr>
          <w:trHeight w:val="287"/>
        </w:trPr>
        <w:tc>
          <w:tcPr>
            <w:tcW w:w="9040" w:type="dxa"/>
            <w:gridSpan w:val="12"/>
            <w:tcBorders>
              <w:top w:val="nil"/>
              <w:left w:val="nil"/>
              <w:bottom w:val="nil"/>
              <w:right w:val="nil"/>
            </w:tcBorders>
            <w:shd w:val="clear" w:color="auto" w:fill="auto"/>
            <w:noWrap/>
            <w:hideMark/>
          </w:tcPr>
          <w:p w14:paraId="3B306224" w14:textId="3CBC4123" w:rsidR="001253A9" w:rsidRPr="009A7163" w:rsidRDefault="001253A9">
            <w:pPr>
              <w:rPr>
                <w:i/>
                <w:sz w:val="18"/>
                <w:szCs w:val="18"/>
                <w:lang w:eastAsia="en-GB"/>
              </w:rPr>
            </w:pPr>
            <w:r w:rsidRPr="009A7163">
              <w:rPr>
                <w:i/>
                <w:sz w:val="18"/>
                <w:szCs w:val="18"/>
                <w:lang w:eastAsia="en-GB"/>
              </w:rPr>
              <w:t>Note:</w:t>
            </w:r>
            <w:r w:rsidRPr="009A7163">
              <w:rPr>
                <w:i/>
                <w:sz w:val="20"/>
              </w:rPr>
              <w:t xml:space="preserve"> Only five surveys by partners were completed.</w:t>
            </w:r>
          </w:p>
        </w:tc>
        <w:tc>
          <w:tcPr>
            <w:tcW w:w="466" w:type="dxa"/>
            <w:gridSpan w:val="2"/>
            <w:tcBorders>
              <w:top w:val="nil"/>
              <w:left w:val="nil"/>
              <w:bottom w:val="nil"/>
              <w:right w:val="nil"/>
            </w:tcBorders>
            <w:shd w:val="clear" w:color="auto" w:fill="auto"/>
            <w:noWrap/>
            <w:hideMark/>
          </w:tcPr>
          <w:p w14:paraId="4A31E415" w14:textId="77777777" w:rsidR="001253A9" w:rsidRPr="009A7163" w:rsidRDefault="001253A9">
            <w:pPr>
              <w:rPr>
                <w:sz w:val="18"/>
                <w:szCs w:val="18"/>
                <w:lang w:eastAsia="en-GB"/>
              </w:rPr>
            </w:pPr>
          </w:p>
        </w:tc>
      </w:tr>
      <w:tr w:rsidR="00C20FCD" w:rsidRPr="009A7163" w14:paraId="439A2AF1" w14:textId="77777777" w:rsidTr="00CB5642">
        <w:trPr>
          <w:trHeight w:val="260"/>
        </w:trPr>
        <w:tc>
          <w:tcPr>
            <w:tcW w:w="8014" w:type="dxa"/>
            <w:gridSpan w:val="10"/>
            <w:tcBorders>
              <w:top w:val="nil"/>
              <w:left w:val="nil"/>
              <w:bottom w:val="nil"/>
              <w:right w:val="nil"/>
            </w:tcBorders>
            <w:shd w:val="clear" w:color="auto" w:fill="auto"/>
            <w:noWrap/>
            <w:hideMark/>
          </w:tcPr>
          <w:p w14:paraId="016DFE19" w14:textId="6E230347" w:rsidR="00C20FCD" w:rsidRPr="009A7163" w:rsidRDefault="00C20FCD" w:rsidP="00293176">
            <w:pPr>
              <w:pStyle w:val="TableTOC"/>
              <w:rPr>
                <w:sz w:val="18"/>
                <w:szCs w:val="18"/>
                <w:lang w:val="en-GB" w:eastAsia="en-GB"/>
              </w:rPr>
            </w:pPr>
            <w:bookmarkStart w:id="129" w:name="_Toc526710022"/>
            <w:r w:rsidRPr="009A7163">
              <w:rPr>
                <w:rFonts w:eastAsiaTheme="minorHAnsi"/>
                <w:lang w:val="en-GB" w:eastAsia="en-GB"/>
              </w:rPr>
              <w:lastRenderedPageBreak/>
              <w:t xml:space="preserve">Table </w:t>
            </w:r>
            <w:r w:rsidR="00A133BF" w:rsidRPr="009A7163">
              <w:rPr>
                <w:rFonts w:eastAsiaTheme="minorHAnsi"/>
                <w:lang w:val="en-GB" w:eastAsia="en-GB"/>
              </w:rPr>
              <w:t>6.4</w:t>
            </w:r>
            <w:r w:rsidRPr="009A7163">
              <w:rPr>
                <w:rFonts w:eastAsiaTheme="minorHAnsi"/>
                <w:lang w:val="en-GB" w:eastAsia="en-GB"/>
              </w:rPr>
              <w:t>. Household Survey Question 6.2, Achuapa (Sons and Daughters)</w:t>
            </w:r>
            <w:bookmarkEnd w:id="129"/>
          </w:p>
        </w:tc>
        <w:tc>
          <w:tcPr>
            <w:tcW w:w="1026" w:type="dxa"/>
            <w:gridSpan w:val="2"/>
            <w:tcBorders>
              <w:top w:val="nil"/>
              <w:left w:val="nil"/>
              <w:bottom w:val="nil"/>
              <w:right w:val="nil"/>
            </w:tcBorders>
            <w:shd w:val="clear" w:color="auto" w:fill="auto"/>
            <w:noWrap/>
            <w:hideMark/>
          </w:tcPr>
          <w:p w14:paraId="73B9BE8D" w14:textId="77777777" w:rsidR="00C20FCD" w:rsidRPr="009A7163" w:rsidRDefault="00C20FCD" w:rsidP="008C041F">
            <w:pPr>
              <w:rPr>
                <w:sz w:val="18"/>
                <w:szCs w:val="18"/>
                <w:lang w:eastAsia="en-GB"/>
              </w:rPr>
            </w:pPr>
          </w:p>
        </w:tc>
        <w:tc>
          <w:tcPr>
            <w:tcW w:w="466" w:type="dxa"/>
            <w:gridSpan w:val="2"/>
            <w:tcBorders>
              <w:top w:val="nil"/>
              <w:left w:val="nil"/>
              <w:bottom w:val="nil"/>
              <w:right w:val="nil"/>
            </w:tcBorders>
            <w:shd w:val="clear" w:color="auto" w:fill="auto"/>
            <w:noWrap/>
            <w:hideMark/>
          </w:tcPr>
          <w:p w14:paraId="37D00D47" w14:textId="77777777" w:rsidR="00C20FCD" w:rsidRPr="009A7163" w:rsidRDefault="00C20FCD">
            <w:pPr>
              <w:rPr>
                <w:sz w:val="18"/>
                <w:szCs w:val="18"/>
                <w:lang w:eastAsia="en-GB"/>
              </w:rPr>
            </w:pPr>
          </w:p>
        </w:tc>
      </w:tr>
      <w:tr w:rsidR="00C20FCD" w:rsidRPr="009A7163" w14:paraId="3FE3FD22" w14:textId="77777777" w:rsidTr="00CB5642">
        <w:trPr>
          <w:gridAfter w:val="1"/>
          <w:wAfter w:w="373" w:type="dxa"/>
          <w:trHeight w:val="20"/>
        </w:trPr>
        <w:tc>
          <w:tcPr>
            <w:tcW w:w="9133" w:type="dxa"/>
            <w:gridSpan w:val="13"/>
            <w:tcBorders>
              <w:top w:val="single" w:sz="4" w:space="0" w:color="auto"/>
              <w:left w:val="single" w:sz="4" w:space="0" w:color="auto"/>
              <w:bottom w:val="single" w:sz="4" w:space="0" w:color="auto"/>
              <w:right w:val="single" w:sz="4" w:space="0" w:color="auto"/>
            </w:tcBorders>
            <w:shd w:val="clear" w:color="auto" w:fill="auto"/>
            <w:noWrap/>
            <w:hideMark/>
          </w:tcPr>
          <w:p w14:paraId="0C6E4AB4" w14:textId="77777777" w:rsidR="00C20FCD" w:rsidRPr="009A7163" w:rsidRDefault="00C20FCD" w:rsidP="008C041F">
            <w:pPr>
              <w:rPr>
                <w:i/>
                <w:sz w:val="18"/>
                <w:szCs w:val="18"/>
                <w:lang w:eastAsia="en-GB"/>
              </w:rPr>
            </w:pPr>
            <w:r w:rsidRPr="009A7163">
              <w:rPr>
                <w:bCs/>
                <w:i/>
                <w:szCs w:val="18"/>
                <w:lang w:eastAsia="en-GB"/>
              </w:rPr>
              <w:t xml:space="preserve">Question 6.2: </w:t>
            </w:r>
            <w:r w:rsidRPr="009A7163">
              <w:rPr>
                <w:i/>
                <w:szCs w:val="18"/>
                <w:lang w:eastAsia="en-GB"/>
              </w:rPr>
              <w:t>In the last month, how often have members of your household done the following activities?</w:t>
            </w:r>
          </w:p>
          <w:p w14:paraId="7E34851F" w14:textId="77777777" w:rsidR="00C20FCD" w:rsidRPr="009A7163" w:rsidRDefault="00C20FCD">
            <w:pPr>
              <w:rPr>
                <w:i/>
                <w:sz w:val="18"/>
                <w:szCs w:val="18"/>
                <w:lang w:eastAsia="en-GB"/>
              </w:rPr>
            </w:pPr>
            <w:r w:rsidRPr="009A7163">
              <w:rPr>
                <w:i/>
                <w:sz w:val="18"/>
                <w:szCs w:val="18"/>
                <w:lang w:eastAsia="en-GB"/>
              </w:rPr>
              <w:t> </w:t>
            </w:r>
          </w:p>
        </w:tc>
      </w:tr>
      <w:tr w:rsidR="00C20FCD" w:rsidRPr="009A7163" w14:paraId="6BF8A311" w14:textId="77777777" w:rsidTr="00CB5642">
        <w:trPr>
          <w:gridAfter w:val="1"/>
          <w:wAfter w:w="373" w:type="dxa"/>
          <w:trHeight w:val="1560"/>
        </w:trPr>
        <w:tc>
          <w:tcPr>
            <w:tcW w:w="931" w:type="dxa"/>
            <w:tcBorders>
              <w:top w:val="nil"/>
              <w:left w:val="single" w:sz="4" w:space="0" w:color="auto"/>
              <w:bottom w:val="single" w:sz="4" w:space="0" w:color="auto"/>
              <w:right w:val="single" w:sz="4" w:space="0" w:color="auto"/>
            </w:tcBorders>
            <w:shd w:val="clear" w:color="auto" w:fill="auto"/>
            <w:noWrap/>
            <w:hideMark/>
          </w:tcPr>
          <w:p w14:paraId="2872D965" w14:textId="77777777" w:rsidR="00C20FCD" w:rsidRPr="009A7163" w:rsidRDefault="00C20FCD" w:rsidP="008C041F">
            <w:pPr>
              <w:rPr>
                <w:sz w:val="18"/>
                <w:szCs w:val="18"/>
                <w:lang w:eastAsia="en-GB"/>
              </w:rPr>
            </w:pPr>
            <w:r w:rsidRPr="009A7163">
              <w:rPr>
                <w:sz w:val="18"/>
                <w:szCs w:val="18"/>
                <w:lang w:eastAsia="en-GB"/>
              </w:rPr>
              <w:t> </w:t>
            </w:r>
          </w:p>
        </w:tc>
        <w:tc>
          <w:tcPr>
            <w:tcW w:w="1117" w:type="dxa"/>
            <w:tcBorders>
              <w:top w:val="nil"/>
              <w:left w:val="nil"/>
              <w:bottom w:val="single" w:sz="4" w:space="0" w:color="auto"/>
              <w:right w:val="single" w:sz="4" w:space="0" w:color="auto"/>
            </w:tcBorders>
            <w:shd w:val="clear" w:color="auto" w:fill="auto"/>
            <w:hideMark/>
          </w:tcPr>
          <w:p w14:paraId="590ABB93" w14:textId="77777777" w:rsidR="00C20FCD" w:rsidRPr="009A7163" w:rsidRDefault="00C20FCD">
            <w:pPr>
              <w:rPr>
                <w:sz w:val="18"/>
                <w:szCs w:val="18"/>
                <w:lang w:eastAsia="en-GB"/>
              </w:rPr>
            </w:pPr>
            <w:r w:rsidRPr="009A7163">
              <w:rPr>
                <w:sz w:val="18"/>
                <w:szCs w:val="18"/>
                <w:lang w:eastAsia="en-GB"/>
              </w:rPr>
              <w:t>Water collection</w:t>
            </w:r>
          </w:p>
        </w:tc>
        <w:tc>
          <w:tcPr>
            <w:tcW w:w="1025" w:type="dxa"/>
            <w:tcBorders>
              <w:top w:val="nil"/>
              <w:left w:val="nil"/>
              <w:bottom w:val="single" w:sz="4" w:space="0" w:color="auto"/>
              <w:right w:val="single" w:sz="4" w:space="0" w:color="auto"/>
            </w:tcBorders>
            <w:shd w:val="clear" w:color="auto" w:fill="auto"/>
            <w:hideMark/>
          </w:tcPr>
          <w:p w14:paraId="0BCAE5F9" w14:textId="77777777" w:rsidR="00C20FCD" w:rsidRPr="009A7163" w:rsidRDefault="00C20FCD">
            <w:pPr>
              <w:rPr>
                <w:sz w:val="18"/>
                <w:szCs w:val="18"/>
                <w:lang w:eastAsia="en-GB"/>
              </w:rPr>
            </w:pPr>
            <w:r w:rsidRPr="009A7163">
              <w:rPr>
                <w:sz w:val="18"/>
                <w:szCs w:val="18"/>
                <w:lang w:eastAsia="en-GB"/>
              </w:rPr>
              <w:t>Collecting firewood</w:t>
            </w:r>
          </w:p>
        </w:tc>
        <w:tc>
          <w:tcPr>
            <w:tcW w:w="839" w:type="dxa"/>
            <w:tcBorders>
              <w:top w:val="nil"/>
              <w:left w:val="nil"/>
              <w:bottom w:val="single" w:sz="4" w:space="0" w:color="auto"/>
              <w:right w:val="single" w:sz="4" w:space="0" w:color="auto"/>
            </w:tcBorders>
            <w:shd w:val="clear" w:color="auto" w:fill="auto"/>
            <w:hideMark/>
          </w:tcPr>
          <w:p w14:paraId="01E546B2" w14:textId="77777777" w:rsidR="00C20FCD" w:rsidRPr="009A7163" w:rsidRDefault="00C20FCD">
            <w:pPr>
              <w:rPr>
                <w:sz w:val="18"/>
                <w:szCs w:val="18"/>
                <w:lang w:eastAsia="en-GB"/>
              </w:rPr>
            </w:pPr>
            <w:r w:rsidRPr="009A7163">
              <w:rPr>
                <w:sz w:val="18"/>
                <w:szCs w:val="18"/>
                <w:lang w:eastAsia="en-GB"/>
              </w:rPr>
              <w:t>Meal preparation/washing clothes</w:t>
            </w:r>
          </w:p>
        </w:tc>
        <w:tc>
          <w:tcPr>
            <w:tcW w:w="839" w:type="dxa"/>
            <w:tcBorders>
              <w:top w:val="nil"/>
              <w:left w:val="nil"/>
              <w:bottom w:val="single" w:sz="4" w:space="0" w:color="auto"/>
              <w:right w:val="single" w:sz="4" w:space="0" w:color="auto"/>
            </w:tcBorders>
            <w:shd w:val="clear" w:color="auto" w:fill="auto"/>
            <w:hideMark/>
          </w:tcPr>
          <w:p w14:paraId="53D5C7D8" w14:textId="77777777" w:rsidR="00C20FCD" w:rsidRPr="009A7163" w:rsidRDefault="00C20FCD">
            <w:pPr>
              <w:rPr>
                <w:sz w:val="18"/>
                <w:szCs w:val="18"/>
                <w:lang w:eastAsia="en-GB"/>
              </w:rPr>
            </w:pPr>
            <w:r w:rsidRPr="009A7163">
              <w:rPr>
                <w:sz w:val="18"/>
                <w:szCs w:val="18"/>
                <w:lang w:eastAsia="en-GB"/>
              </w:rPr>
              <w:t>Cleaning and organizing the house</w:t>
            </w:r>
          </w:p>
        </w:tc>
        <w:tc>
          <w:tcPr>
            <w:tcW w:w="839" w:type="dxa"/>
            <w:tcBorders>
              <w:top w:val="nil"/>
              <w:left w:val="nil"/>
              <w:bottom w:val="single" w:sz="4" w:space="0" w:color="auto"/>
              <w:right w:val="single" w:sz="4" w:space="0" w:color="auto"/>
            </w:tcBorders>
            <w:shd w:val="clear" w:color="auto" w:fill="auto"/>
            <w:hideMark/>
          </w:tcPr>
          <w:p w14:paraId="4B60979E" w14:textId="77777777" w:rsidR="00C20FCD" w:rsidRPr="009A7163" w:rsidRDefault="00C20FCD">
            <w:pPr>
              <w:rPr>
                <w:sz w:val="18"/>
                <w:szCs w:val="18"/>
                <w:lang w:eastAsia="en-GB"/>
              </w:rPr>
            </w:pPr>
            <w:r w:rsidRPr="009A7163">
              <w:rPr>
                <w:sz w:val="18"/>
                <w:szCs w:val="18"/>
                <w:lang w:eastAsia="en-GB"/>
              </w:rPr>
              <w:t>Washing/drying/ironing/mending clothes</w:t>
            </w:r>
          </w:p>
        </w:tc>
        <w:tc>
          <w:tcPr>
            <w:tcW w:w="1212" w:type="dxa"/>
            <w:gridSpan w:val="2"/>
            <w:tcBorders>
              <w:top w:val="nil"/>
              <w:left w:val="nil"/>
              <w:bottom w:val="single" w:sz="4" w:space="0" w:color="auto"/>
              <w:right w:val="single" w:sz="4" w:space="0" w:color="auto"/>
            </w:tcBorders>
            <w:shd w:val="clear" w:color="auto" w:fill="auto"/>
            <w:hideMark/>
          </w:tcPr>
          <w:p w14:paraId="53A55353" w14:textId="77777777" w:rsidR="00C20FCD" w:rsidRPr="009A7163" w:rsidRDefault="00C20FCD">
            <w:pPr>
              <w:rPr>
                <w:sz w:val="18"/>
                <w:szCs w:val="18"/>
                <w:lang w:eastAsia="en-GB"/>
              </w:rPr>
            </w:pPr>
            <w:r w:rsidRPr="009A7163">
              <w:rPr>
                <w:sz w:val="18"/>
                <w:szCs w:val="18"/>
                <w:lang w:eastAsia="en-GB"/>
              </w:rPr>
              <w:t>Childcare</w:t>
            </w:r>
          </w:p>
        </w:tc>
        <w:tc>
          <w:tcPr>
            <w:tcW w:w="746" w:type="dxa"/>
            <w:tcBorders>
              <w:top w:val="nil"/>
              <w:left w:val="nil"/>
              <w:bottom w:val="single" w:sz="4" w:space="0" w:color="auto"/>
              <w:right w:val="single" w:sz="4" w:space="0" w:color="auto"/>
            </w:tcBorders>
            <w:shd w:val="clear" w:color="auto" w:fill="auto"/>
            <w:hideMark/>
          </w:tcPr>
          <w:p w14:paraId="087A8992" w14:textId="77777777" w:rsidR="00C20FCD" w:rsidRPr="009A7163" w:rsidRDefault="00C20FCD">
            <w:pPr>
              <w:rPr>
                <w:sz w:val="18"/>
                <w:szCs w:val="18"/>
                <w:lang w:eastAsia="en-GB"/>
              </w:rPr>
            </w:pPr>
            <w:r w:rsidRPr="009A7163">
              <w:rPr>
                <w:sz w:val="18"/>
                <w:szCs w:val="18"/>
                <w:lang w:eastAsia="en-GB"/>
              </w:rPr>
              <w:t>Care of elderly</w:t>
            </w:r>
          </w:p>
        </w:tc>
        <w:tc>
          <w:tcPr>
            <w:tcW w:w="804" w:type="dxa"/>
            <w:gridSpan w:val="2"/>
            <w:tcBorders>
              <w:top w:val="nil"/>
              <w:left w:val="nil"/>
              <w:bottom w:val="single" w:sz="4" w:space="0" w:color="auto"/>
              <w:right w:val="single" w:sz="4" w:space="0" w:color="auto"/>
            </w:tcBorders>
            <w:shd w:val="clear" w:color="auto" w:fill="auto"/>
            <w:hideMark/>
          </w:tcPr>
          <w:p w14:paraId="5FFC6786" w14:textId="77777777" w:rsidR="00C20FCD" w:rsidRPr="009A7163" w:rsidRDefault="00C20FCD">
            <w:pPr>
              <w:rPr>
                <w:sz w:val="18"/>
                <w:szCs w:val="18"/>
                <w:lang w:eastAsia="en-GB"/>
              </w:rPr>
            </w:pPr>
            <w:r w:rsidRPr="009A7163">
              <w:rPr>
                <w:sz w:val="18"/>
                <w:szCs w:val="18"/>
                <w:lang w:eastAsia="en-GB"/>
              </w:rPr>
              <w:t>Care of ill/disabled</w:t>
            </w:r>
          </w:p>
        </w:tc>
        <w:tc>
          <w:tcPr>
            <w:tcW w:w="781" w:type="dxa"/>
            <w:gridSpan w:val="2"/>
            <w:tcBorders>
              <w:top w:val="nil"/>
              <w:left w:val="nil"/>
              <w:bottom w:val="single" w:sz="4" w:space="0" w:color="auto"/>
              <w:right w:val="single" w:sz="4" w:space="0" w:color="auto"/>
            </w:tcBorders>
            <w:shd w:val="clear" w:color="auto" w:fill="auto"/>
            <w:hideMark/>
          </w:tcPr>
          <w:p w14:paraId="711C7670" w14:textId="77777777" w:rsidR="00C20FCD" w:rsidRPr="009A7163" w:rsidRDefault="00C20FCD">
            <w:pPr>
              <w:rPr>
                <w:sz w:val="18"/>
                <w:szCs w:val="18"/>
                <w:lang w:eastAsia="en-GB"/>
              </w:rPr>
            </w:pPr>
            <w:r w:rsidRPr="009A7163">
              <w:rPr>
                <w:sz w:val="18"/>
                <w:szCs w:val="18"/>
                <w:lang w:eastAsia="en-GB"/>
              </w:rPr>
              <w:t>Care of community members</w:t>
            </w:r>
          </w:p>
        </w:tc>
      </w:tr>
      <w:tr w:rsidR="00C20FCD" w:rsidRPr="009A7163" w14:paraId="0A9F779A" w14:textId="77777777" w:rsidTr="00CB5642">
        <w:trPr>
          <w:gridAfter w:val="1"/>
          <w:wAfter w:w="373" w:type="dxa"/>
          <w:trHeight w:val="520"/>
        </w:trPr>
        <w:tc>
          <w:tcPr>
            <w:tcW w:w="931" w:type="dxa"/>
            <w:tcBorders>
              <w:top w:val="nil"/>
              <w:left w:val="single" w:sz="4" w:space="0" w:color="auto"/>
              <w:bottom w:val="single" w:sz="4" w:space="0" w:color="auto"/>
              <w:right w:val="single" w:sz="4" w:space="0" w:color="auto"/>
            </w:tcBorders>
            <w:shd w:val="clear" w:color="auto" w:fill="auto"/>
            <w:noWrap/>
            <w:hideMark/>
          </w:tcPr>
          <w:p w14:paraId="3C94B119" w14:textId="77777777" w:rsidR="00C20FCD" w:rsidRPr="009A7163" w:rsidRDefault="00C20FCD" w:rsidP="008C041F">
            <w:pPr>
              <w:rPr>
                <w:sz w:val="18"/>
                <w:szCs w:val="18"/>
                <w:lang w:eastAsia="en-GB"/>
              </w:rPr>
            </w:pPr>
            <w:r w:rsidRPr="009A7163">
              <w:rPr>
                <w:sz w:val="18"/>
                <w:szCs w:val="18"/>
                <w:lang w:eastAsia="en-GB"/>
              </w:rPr>
              <w:t>Woman</w:t>
            </w:r>
          </w:p>
        </w:tc>
        <w:tc>
          <w:tcPr>
            <w:tcW w:w="1117" w:type="dxa"/>
            <w:tcBorders>
              <w:top w:val="nil"/>
              <w:left w:val="nil"/>
              <w:bottom w:val="single" w:sz="4" w:space="0" w:color="auto"/>
              <w:right w:val="single" w:sz="4" w:space="0" w:color="auto"/>
            </w:tcBorders>
            <w:shd w:val="clear" w:color="FF8080" w:fill="FF9999"/>
            <w:hideMark/>
          </w:tcPr>
          <w:p w14:paraId="2F5AD18B" w14:textId="77777777" w:rsidR="00C20FCD" w:rsidRPr="009A7163" w:rsidRDefault="00C20FCD">
            <w:pPr>
              <w:rPr>
                <w:sz w:val="18"/>
                <w:szCs w:val="18"/>
                <w:lang w:eastAsia="en-GB"/>
              </w:rPr>
            </w:pPr>
            <w:r w:rsidRPr="009A7163">
              <w:rPr>
                <w:sz w:val="18"/>
                <w:szCs w:val="18"/>
                <w:lang w:eastAsia="en-GB"/>
              </w:rPr>
              <w:t xml:space="preserve">Once a day </w:t>
            </w:r>
          </w:p>
        </w:tc>
        <w:tc>
          <w:tcPr>
            <w:tcW w:w="1025" w:type="dxa"/>
            <w:tcBorders>
              <w:top w:val="nil"/>
              <w:left w:val="nil"/>
              <w:bottom w:val="single" w:sz="4" w:space="0" w:color="auto"/>
              <w:right w:val="single" w:sz="4" w:space="0" w:color="auto"/>
            </w:tcBorders>
            <w:shd w:val="clear" w:color="auto" w:fill="auto"/>
            <w:hideMark/>
          </w:tcPr>
          <w:p w14:paraId="4A258395"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FF8080" w:fill="FF9999"/>
            <w:hideMark/>
          </w:tcPr>
          <w:p w14:paraId="1C35CCEA" w14:textId="77777777" w:rsidR="00C20FCD" w:rsidRPr="009A7163" w:rsidRDefault="00C20FCD">
            <w:pPr>
              <w:rPr>
                <w:sz w:val="18"/>
                <w:szCs w:val="18"/>
                <w:lang w:eastAsia="en-GB"/>
              </w:rPr>
            </w:pPr>
            <w:r w:rsidRPr="009A7163">
              <w:rPr>
                <w:sz w:val="18"/>
                <w:szCs w:val="18"/>
                <w:lang w:eastAsia="en-GB"/>
              </w:rPr>
              <w:t>Several times a day</w:t>
            </w:r>
          </w:p>
        </w:tc>
        <w:tc>
          <w:tcPr>
            <w:tcW w:w="839" w:type="dxa"/>
            <w:tcBorders>
              <w:top w:val="nil"/>
              <w:left w:val="nil"/>
              <w:bottom w:val="single" w:sz="4" w:space="0" w:color="auto"/>
              <w:right w:val="single" w:sz="4" w:space="0" w:color="auto"/>
            </w:tcBorders>
            <w:shd w:val="clear" w:color="FF8080" w:fill="FF9999"/>
            <w:hideMark/>
          </w:tcPr>
          <w:p w14:paraId="5702E20E" w14:textId="77777777" w:rsidR="00C20FCD" w:rsidRPr="009A7163" w:rsidRDefault="00C20FCD">
            <w:pPr>
              <w:rPr>
                <w:sz w:val="18"/>
                <w:szCs w:val="18"/>
                <w:lang w:eastAsia="en-GB"/>
              </w:rPr>
            </w:pPr>
            <w:r w:rsidRPr="009A7163">
              <w:rPr>
                <w:sz w:val="18"/>
                <w:szCs w:val="18"/>
                <w:lang w:eastAsia="en-GB"/>
              </w:rPr>
              <w:t>Several times a day</w:t>
            </w:r>
          </w:p>
        </w:tc>
        <w:tc>
          <w:tcPr>
            <w:tcW w:w="839" w:type="dxa"/>
            <w:tcBorders>
              <w:top w:val="nil"/>
              <w:left w:val="nil"/>
              <w:bottom w:val="single" w:sz="4" w:space="0" w:color="auto"/>
              <w:right w:val="single" w:sz="4" w:space="0" w:color="auto"/>
            </w:tcBorders>
            <w:shd w:val="clear" w:color="FF8080" w:fill="FF9999"/>
            <w:hideMark/>
          </w:tcPr>
          <w:p w14:paraId="24A72401" w14:textId="77777777" w:rsidR="00C20FCD" w:rsidRPr="009A7163" w:rsidRDefault="00C20FCD">
            <w:pPr>
              <w:rPr>
                <w:sz w:val="18"/>
                <w:szCs w:val="18"/>
                <w:lang w:eastAsia="en-GB"/>
              </w:rPr>
            </w:pPr>
            <w:r w:rsidRPr="009A7163">
              <w:rPr>
                <w:sz w:val="18"/>
                <w:szCs w:val="18"/>
                <w:lang w:eastAsia="en-GB"/>
              </w:rPr>
              <w:t xml:space="preserve">Once a day </w:t>
            </w:r>
          </w:p>
        </w:tc>
        <w:tc>
          <w:tcPr>
            <w:tcW w:w="1212" w:type="dxa"/>
            <w:gridSpan w:val="2"/>
            <w:tcBorders>
              <w:top w:val="nil"/>
              <w:left w:val="nil"/>
              <w:bottom w:val="single" w:sz="4" w:space="0" w:color="auto"/>
              <w:right w:val="single" w:sz="4" w:space="0" w:color="auto"/>
            </w:tcBorders>
            <w:shd w:val="clear" w:color="auto" w:fill="auto"/>
            <w:hideMark/>
          </w:tcPr>
          <w:p w14:paraId="3B1D09F0" w14:textId="77777777" w:rsidR="00C20FCD" w:rsidRPr="009A7163" w:rsidRDefault="00C20FCD">
            <w:pPr>
              <w:rPr>
                <w:sz w:val="18"/>
                <w:szCs w:val="18"/>
                <w:lang w:eastAsia="en-GB"/>
              </w:rPr>
            </w:pPr>
            <w:r w:rsidRPr="009A7163">
              <w:rPr>
                <w:sz w:val="18"/>
                <w:szCs w:val="18"/>
                <w:lang w:eastAsia="en-GB"/>
              </w:rPr>
              <w:t>At least once a month</w:t>
            </w:r>
          </w:p>
        </w:tc>
        <w:tc>
          <w:tcPr>
            <w:tcW w:w="746" w:type="dxa"/>
            <w:tcBorders>
              <w:top w:val="nil"/>
              <w:left w:val="nil"/>
              <w:bottom w:val="single" w:sz="4" w:space="0" w:color="auto"/>
              <w:right w:val="single" w:sz="4" w:space="0" w:color="auto"/>
            </w:tcBorders>
            <w:shd w:val="clear" w:color="auto" w:fill="auto"/>
            <w:hideMark/>
          </w:tcPr>
          <w:p w14:paraId="64131247" w14:textId="77777777" w:rsidR="00C20FCD" w:rsidRPr="009A7163" w:rsidRDefault="00C20FCD">
            <w:pPr>
              <w:rPr>
                <w:sz w:val="18"/>
                <w:szCs w:val="18"/>
                <w:lang w:eastAsia="en-GB"/>
              </w:rPr>
            </w:pPr>
            <w:r w:rsidRPr="009A7163">
              <w:rPr>
                <w:sz w:val="18"/>
                <w:szCs w:val="18"/>
                <w:lang w:eastAsia="en-GB"/>
              </w:rPr>
              <w:t>At least once a month</w:t>
            </w:r>
          </w:p>
        </w:tc>
        <w:tc>
          <w:tcPr>
            <w:tcW w:w="804" w:type="dxa"/>
            <w:gridSpan w:val="2"/>
            <w:tcBorders>
              <w:top w:val="nil"/>
              <w:left w:val="nil"/>
              <w:bottom w:val="single" w:sz="4" w:space="0" w:color="auto"/>
              <w:right w:val="single" w:sz="4" w:space="0" w:color="auto"/>
            </w:tcBorders>
            <w:shd w:val="clear" w:color="auto" w:fill="auto"/>
            <w:hideMark/>
          </w:tcPr>
          <w:p w14:paraId="4AB122AE" w14:textId="77777777" w:rsidR="00C20FCD" w:rsidRPr="009A7163" w:rsidRDefault="00C20FCD">
            <w:pPr>
              <w:rPr>
                <w:sz w:val="18"/>
                <w:szCs w:val="18"/>
                <w:lang w:eastAsia="en-GB"/>
              </w:rPr>
            </w:pPr>
            <w:r w:rsidRPr="009A7163">
              <w:rPr>
                <w:sz w:val="18"/>
                <w:szCs w:val="18"/>
                <w:lang w:eastAsia="en-GB"/>
              </w:rPr>
              <w:t>Never</w:t>
            </w:r>
          </w:p>
        </w:tc>
        <w:tc>
          <w:tcPr>
            <w:tcW w:w="781" w:type="dxa"/>
            <w:gridSpan w:val="2"/>
            <w:tcBorders>
              <w:top w:val="nil"/>
              <w:left w:val="nil"/>
              <w:bottom w:val="single" w:sz="4" w:space="0" w:color="auto"/>
              <w:right w:val="single" w:sz="4" w:space="0" w:color="auto"/>
            </w:tcBorders>
            <w:shd w:val="clear" w:color="auto" w:fill="auto"/>
            <w:hideMark/>
          </w:tcPr>
          <w:p w14:paraId="088C54D7"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699A330C" w14:textId="77777777" w:rsidTr="00CB5642">
        <w:trPr>
          <w:gridAfter w:val="1"/>
          <w:wAfter w:w="373" w:type="dxa"/>
          <w:trHeight w:val="1187"/>
        </w:trPr>
        <w:tc>
          <w:tcPr>
            <w:tcW w:w="931" w:type="dxa"/>
            <w:tcBorders>
              <w:top w:val="nil"/>
              <w:left w:val="single" w:sz="4" w:space="0" w:color="auto"/>
              <w:bottom w:val="single" w:sz="4" w:space="0" w:color="auto"/>
              <w:right w:val="single" w:sz="4" w:space="0" w:color="auto"/>
            </w:tcBorders>
            <w:shd w:val="clear" w:color="auto" w:fill="auto"/>
            <w:noWrap/>
            <w:hideMark/>
          </w:tcPr>
          <w:p w14:paraId="22BC0AF7" w14:textId="77777777" w:rsidR="00C20FCD" w:rsidRPr="009A7163" w:rsidRDefault="00C20FCD" w:rsidP="008C041F">
            <w:pPr>
              <w:rPr>
                <w:sz w:val="18"/>
                <w:szCs w:val="18"/>
                <w:lang w:eastAsia="en-GB"/>
              </w:rPr>
            </w:pPr>
            <w:r w:rsidRPr="009A7163">
              <w:rPr>
                <w:sz w:val="18"/>
                <w:szCs w:val="18"/>
                <w:lang w:eastAsia="en-GB"/>
              </w:rPr>
              <w:t>Spouse/partner</w:t>
            </w:r>
          </w:p>
        </w:tc>
        <w:tc>
          <w:tcPr>
            <w:tcW w:w="1117" w:type="dxa"/>
            <w:tcBorders>
              <w:top w:val="nil"/>
              <w:left w:val="nil"/>
              <w:bottom w:val="single" w:sz="4" w:space="0" w:color="auto"/>
              <w:right w:val="single" w:sz="4" w:space="0" w:color="auto"/>
            </w:tcBorders>
            <w:shd w:val="clear" w:color="FF8080" w:fill="FF9999"/>
            <w:hideMark/>
          </w:tcPr>
          <w:p w14:paraId="22FD6C2A" w14:textId="77777777" w:rsidR="00C20FCD" w:rsidRPr="009A7163" w:rsidRDefault="00C20FCD">
            <w:pPr>
              <w:rPr>
                <w:sz w:val="18"/>
                <w:szCs w:val="18"/>
                <w:lang w:eastAsia="en-GB"/>
              </w:rPr>
            </w:pPr>
            <w:r w:rsidRPr="009A7163">
              <w:rPr>
                <w:sz w:val="18"/>
                <w:szCs w:val="18"/>
                <w:lang w:eastAsia="en-GB"/>
              </w:rPr>
              <w:t>At least once a month</w:t>
            </w:r>
          </w:p>
        </w:tc>
        <w:tc>
          <w:tcPr>
            <w:tcW w:w="1025" w:type="dxa"/>
            <w:tcBorders>
              <w:top w:val="nil"/>
              <w:left w:val="nil"/>
              <w:bottom w:val="single" w:sz="4" w:space="0" w:color="auto"/>
              <w:right w:val="single" w:sz="4" w:space="0" w:color="auto"/>
            </w:tcBorders>
            <w:shd w:val="clear" w:color="auto" w:fill="auto"/>
            <w:hideMark/>
          </w:tcPr>
          <w:p w14:paraId="6F2B5734"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FF8080" w:fill="FF9999"/>
            <w:hideMark/>
          </w:tcPr>
          <w:p w14:paraId="6CBD5ED3"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FF8080" w:fill="FF9999"/>
            <w:hideMark/>
          </w:tcPr>
          <w:p w14:paraId="37EBA516"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FF8080" w:fill="FF9999"/>
            <w:hideMark/>
          </w:tcPr>
          <w:p w14:paraId="66290E23" w14:textId="77777777" w:rsidR="00C20FCD" w:rsidRPr="009A7163" w:rsidRDefault="00C20FCD">
            <w:pPr>
              <w:rPr>
                <w:sz w:val="18"/>
                <w:szCs w:val="18"/>
                <w:lang w:eastAsia="en-GB"/>
              </w:rPr>
            </w:pPr>
            <w:r w:rsidRPr="009A7163">
              <w:rPr>
                <w:sz w:val="18"/>
                <w:szCs w:val="18"/>
                <w:lang w:eastAsia="en-GB"/>
              </w:rPr>
              <w:t>At least once a month</w:t>
            </w:r>
          </w:p>
        </w:tc>
        <w:tc>
          <w:tcPr>
            <w:tcW w:w="1212" w:type="dxa"/>
            <w:gridSpan w:val="2"/>
            <w:tcBorders>
              <w:top w:val="nil"/>
              <w:left w:val="nil"/>
              <w:bottom w:val="single" w:sz="4" w:space="0" w:color="auto"/>
              <w:right w:val="single" w:sz="4" w:space="0" w:color="auto"/>
            </w:tcBorders>
            <w:shd w:val="clear" w:color="auto" w:fill="auto"/>
            <w:hideMark/>
          </w:tcPr>
          <w:p w14:paraId="50104A0D" w14:textId="77777777" w:rsidR="00C20FCD" w:rsidRPr="009A7163" w:rsidRDefault="00C20FCD">
            <w:pPr>
              <w:rPr>
                <w:sz w:val="18"/>
                <w:szCs w:val="18"/>
                <w:lang w:eastAsia="en-GB"/>
              </w:rPr>
            </w:pPr>
            <w:r w:rsidRPr="009A7163">
              <w:rPr>
                <w:sz w:val="18"/>
                <w:szCs w:val="18"/>
                <w:lang w:eastAsia="en-GB"/>
              </w:rPr>
              <w:t>Never</w:t>
            </w:r>
          </w:p>
        </w:tc>
        <w:tc>
          <w:tcPr>
            <w:tcW w:w="746" w:type="dxa"/>
            <w:tcBorders>
              <w:top w:val="nil"/>
              <w:left w:val="nil"/>
              <w:bottom w:val="single" w:sz="4" w:space="0" w:color="auto"/>
              <w:right w:val="single" w:sz="4" w:space="0" w:color="auto"/>
            </w:tcBorders>
            <w:shd w:val="clear" w:color="auto" w:fill="auto"/>
            <w:hideMark/>
          </w:tcPr>
          <w:p w14:paraId="1BF5BFCC" w14:textId="77777777" w:rsidR="00C20FCD" w:rsidRPr="009A7163" w:rsidRDefault="00C20FCD">
            <w:pPr>
              <w:rPr>
                <w:sz w:val="18"/>
                <w:szCs w:val="18"/>
                <w:lang w:eastAsia="en-GB"/>
              </w:rPr>
            </w:pPr>
            <w:r w:rsidRPr="009A7163">
              <w:rPr>
                <w:sz w:val="18"/>
                <w:szCs w:val="18"/>
                <w:lang w:eastAsia="en-GB"/>
              </w:rPr>
              <w:t>Never</w:t>
            </w:r>
          </w:p>
        </w:tc>
        <w:tc>
          <w:tcPr>
            <w:tcW w:w="804" w:type="dxa"/>
            <w:gridSpan w:val="2"/>
            <w:tcBorders>
              <w:top w:val="nil"/>
              <w:left w:val="nil"/>
              <w:bottom w:val="single" w:sz="4" w:space="0" w:color="auto"/>
              <w:right w:val="single" w:sz="4" w:space="0" w:color="auto"/>
            </w:tcBorders>
            <w:shd w:val="clear" w:color="auto" w:fill="auto"/>
            <w:hideMark/>
          </w:tcPr>
          <w:p w14:paraId="3DCBBE3D" w14:textId="77777777" w:rsidR="00C20FCD" w:rsidRPr="009A7163" w:rsidRDefault="00C20FCD">
            <w:pPr>
              <w:rPr>
                <w:sz w:val="18"/>
                <w:szCs w:val="18"/>
                <w:lang w:eastAsia="en-GB"/>
              </w:rPr>
            </w:pPr>
            <w:r w:rsidRPr="009A7163">
              <w:rPr>
                <w:sz w:val="18"/>
                <w:szCs w:val="18"/>
                <w:lang w:eastAsia="en-GB"/>
              </w:rPr>
              <w:t>Never</w:t>
            </w:r>
          </w:p>
        </w:tc>
        <w:tc>
          <w:tcPr>
            <w:tcW w:w="781" w:type="dxa"/>
            <w:gridSpan w:val="2"/>
            <w:tcBorders>
              <w:top w:val="nil"/>
              <w:left w:val="nil"/>
              <w:bottom w:val="single" w:sz="4" w:space="0" w:color="auto"/>
              <w:right w:val="single" w:sz="4" w:space="0" w:color="auto"/>
            </w:tcBorders>
            <w:shd w:val="clear" w:color="auto" w:fill="auto"/>
            <w:hideMark/>
          </w:tcPr>
          <w:p w14:paraId="4C4E0ECA"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0EFC6664" w14:textId="77777777" w:rsidTr="00CB5642">
        <w:trPr>
          <w:gridAfter w:val="1"/>
          <w:wAfter w:w="373" w:type="dxa"/>
          <w:trHeight w:val="780"/>
        </w:trPr>
        <w:tc>
          <w:tcPr>
            <w:tcW w:w="931" w:type="dxa"/>
            <w:tcBorders>
              <w:top w:val="nil"/>
              <w:left w:val="single" w:sz="4" w:space="0" w:color="auto"/>
              <w:bottom w:val="single" w:sz="4" w:space="0" w:color="auto"/>
              <w:right w:val="single" w:sz="4" w:space="0" w:color="auto"/>
            </w:tcBorders>
            <w:shd w:val="clear" w:color="auto" w:fill="auto"/>
            <w:hideMark/>
          </w:tcPr>
          <w:p w14:paraId="5BA54121" w14:textId="77777777" w:rsidR="00C20FCD" w:rsidRPr="009A7163" w:rsidRDefault="00C20FCD" w:rsidP="008C041F">
            <w:pPr>
              <w:rPr>
                <w:sz w:val="18"/>
                <w:szCs w:val="18"/>
                <w:lang w:eastAsia="en-GB"/>
              </w:rPr>
            </w:pPr>
            <w:r w:rsidRPr="009A7163">
              <w:rPr>
                <w:sz w:val="18"/>
                <w:szCs w:val="18"/>
                <w:lang w:eastAsia="en-GB"/>
              </w:rPr>
              <w:t>Daughters, nieces, and daughters in law</w:t>
            </w:r>
          </w:p>
        </w:tc>
        <w:tc>
          <w:tcPr>
            <w:tcW w:w="1117" w:type="dxa"/>
            <w:tcBorders>
              <w:top w:val="nil"/>
              <w:left w:val="nil"/>
              <w:bottom w:val="single" w:sz="4" w:space="0" w:color="auto"/>
              <w:right w:val="single" w:sz="4" w:space="0" w:color="auto"/>
            </w:tcBorders>
            <w:shd w:val="clear" w:color="auto" w:fill="auto"/>
            <w:hideMark/>
          </w:tcPr>
          <w:p w14:paraId="6DC06CCC" w14:textId="77777777" w:rsidR="00C20FCD" w:rsidRPr="009A7163" w:rsidRDefault="00C20FCD">
            <w:pPr>
              <w:rPr>
                <w:sz w:val="18"/>
                <w:szCs w:val="18"/>
                <w:lang w:eastAsia="en-GB"/>
              </w:rPr>
            </w:pPr>
            <w:r w:rsidRPr="009A7163">
              <w:rPr>
                <w:sz w:val="18"/>
                <w:szCs w:val="18"/>
                <w:lang w:eastAsia="en-GB"/>
              </w:rPr>
              <w:t>At least once a week</w:t>
            </w:r>
          </w:p>
        </w:tc>
        <w:tc>
          <w:tcPr>
            <w:tcW w:w="1025" w:type="dxa"/>
            <w:tcBorders>
              <w:top w:val="nil"/>
              <w:left w:val="nil"/>
              <w:bottom w:val="single" w:sz="4" w:space="0" w:color="auto"/>
              <w:right w:val="single" w:sz="4" w:space="0" w:color="auto"/>
            </w:tcBorders>
            <w:shd w:val="clear" w:color="auto" w:fill="auto"/>
            <w:hideMark/>
          </w:tcPr>
          <w:p w14:paraId="0A1AB7D6" w14:textId="77777777" w:rsidR="00C20FCD" w:rsidRPr="009A7163" w:rsidRDefault="00C20FCD">
            <w:pPr>
              <w:rPr>
                <w:sz w:val="18"/>
                <w:szCs w:val="18"/>
                <w:lang w:eastAsia="en-GB"/>
              </w:rPr>
            </w:pPr>
            <w:r w:rsidRPr="009A7163">
              <w:rPr>
                <w:sz w:val="18"/>
                <w:szCs w:val="18"/>
                <w:lang w:eastAsia="en-GB"/>
              </w:rPr>
              <w:t>Never</w:t>
            </w:r>
          </w:p>
        </w:tc>
        <w:tc>
          <w:tcPr>
            <w:tcW w:w="839" w:type="dxa"/>
            <w:tcBorders>
              <w:top w:val="nil"/>
              <w:left w:val="nil"/>
              <w:bottom w:val="single" w:sz="4" w:space="0" w:color="auto"/>
              <w:right w:val="single" w:sz="4" w:space="0" w:color="auto"/>
            </w:tcBorders>
            <w:shd w:val="clear" w:color="auto" w:fill="auto"/>
            <w:hideMark/>
          </w:tcPr>
          <w:p w14:paraId="3E0B4B9C" w14:textId="77777777" w:rsidR="00C20FCD" w:rsidRPr="009A7163" w:rsidRDefault="00C20FCD">
            <w:pPr>
              <w:rPr>
                <w:sz w:val="18"/>
                <w:szCs w:val="18"/>
                <w:lang w:eastAsia="en-GB"/>
              </w:rPr>
            </w:pPr>
            <w:r w:rsidRPr="009A7163">
              <w:rPr>
                <w:sz w:val="18"/>
                <w:szCs w:val="18"/>
                <w:lang w:eastAsia="en-GB"/>
              </w:rPr>
              <w:t>Several times a day</w:t>
            </w:r>
          </w:p>
        </w:tc>
        <w:tc>
          <w:tcPr>
            <w:tcW w:w="839" w:type="dxa"/>
            <w:tcBorders>
              <w:top w:val="nil"/>
              <w:left w:val="nil"/>
              <w:bottom w:val="single" w:sz="4" w:space="0" w:color="auto"/>
              <w:right w:val="single" w:sz="4" w:space="0" w:color="auto"/>
            </w:tcBorders>
            <w:shd w:val="clear" w:color="auto" w:fill="auto"/>
            <w:hideMark/>
          </w:tcPr>
          <w:p w14:paraId="5260625B" w14:textId="77777777" w:rsidR="00C20FCD" w:rsidRPr="009A7163" w:rsidRDefault="00C20FCD">
            <w:pPr>
              <w:rPr>
                <w:sz w:val="18"/>
                <w:szCs w:val="18"/>
                <w:lang w:eastAsia="en-GB"/>
              </w:rPr>
            </w:pPr>
            <w:r w:rsidRPr="009A7163">
              <w:rPr>
                <w:sz w:val="18"/>
                <w:szCs w:val="18"/>
                <w:lang w:eastAsia="en-GB"/>
              </w:rPr>
              <w:t>Several times a day</w:t>
            </w:r>
          </w:p>
        </w:tc>
        <w:tc>
          <w:tcPr>
            <w:tcW w:w="839" w:type="dxa"/>
            <w:tcBorders>
              <w:top w:val="nil"/>
              <w:left w:val="nil"/>
              <w:bottom w:val="single" w:sz="4" w:space="0" w:color="auto"/>
              <w:right w:val="single" w:sz="4" w:space="0" w:color="auto"/>
            </w:tcBorders>
            <w:shd w:val="clear" w:color="auto" w:fill="auto"/>
            <w:hideMark/>
          </w:tcPr>
          <w:p w14:paraId="56AA3039" w14:textId="77777777" w:rsidR="00C20FCD" w:rsidRPr="009A7163" w:rsidRDefault="00C20FCD">
            <w:pPr>
              <w:rPr>
                <w:sz w:val="18"/>
                <w:szCs w:val="18"/>
                <w:lang w:eastAsia="en-GB"/>
              </w:rPr>
            </w:pPr>
            <w:r w:rsidRPr="009A7163">
              <w:rPr>
                <w:sz w:val="18"/>
                <w:szCs w:val="18"/>
                <w:lang w:eastAsia="en-GB"/>
              </w:rPr>
              <w:t>Once a day</w:t>
            </w:r>
          </w:p>
        </w:tc>
        <w:tc>
          <w:tcPr>
            <w:tcW w:w="1212" w:type="dxa"/>
            <w:gridSpan w:val="2"/>
            <w:tcBorders>
              <w:top w:val="nil"/>
              <w:left w:val="nil"/>
              <w:bottom w:val="single" w:sz="4" w:space="0" w:color="auto"/>
              <w:right w:val="single" w:sz="4" w:space="0" w:color="auto"/>
            </w:tcBorders>
            <w:shd w:val="clear" w:color="auto" w:fill="auto"/>
            <w:hideMark/>
          </w:tcPr>
          <w:p w14:paraId="5A08DB83" w14:textId="77777777" w:rsidR="00C20FCD" w:rsidRPr="009A7163" w:rsidRDefault="00C20FCD">
            <w:pPr>
              <w:rPr>
                <w:sz w:val="18"/>
                <w:szCs w:val="18"/>
                <w:lang w:eastAsia="en-GB"/>
              </w:rPr>
            </w:pPr>
            <w:r w:rsidRPr="009A7163">
              <w:rPr>
                <w:sz w:val="18"/>
                <w:szCs w:val="18"/>
                <w:lang w:eastAsia="en-GB"/>
              </w:rPr>
              <w:t>Once a day</w:t>
            </w:r>
          </w:p>
        </w:tc>
        <w:tc>
          <w:tcPr>
            <w:tcW w:w="746" w:type="dxa"/>
            <w:tcBorders>
              <w:top w:val="nil"/>
              <w:left w:val="nil"/>
              <w:bottom w:val="single" w:sz="4" w:space="0" w:color="auto"/>
              <w:right w:val="single" w:sz="4" w:space="0" w:color="auto"/>
            </w:tcBorders>
            <w:shd w:val="clear" w:color="auto" w:fill="auto"/>
            <w:hideMark/>
          </w:tcPr>
          <w:p w14:paraId="20DA2482" w14:textId="77777777" w:rsidR="00C20FCD" w:rsidRPr="009A7163" w:rsidRDefault="00C20FCD">
            <w:pPr>
              <w:rPr>
                <w:sz w:val="18"/>
                <w:szCs w:val="18"/>
                <w:lang w:eastAsia="en-GB"/>
              </w:rPr>
            </w:pPr>
            <w:r w:rsidRPr="009A7163">
              <w:rPr>
                <w:sz w:val="18"/>
                <w:szCs w:val="18"/>
                <w:lang w:eastAsia="en-GB"/>
              </w:rPr>
              <w:t>Never</w:t>
            </w:r>
          </w:p>
        </w:tc>
        <w:tc>
          <w:tcPr>
            <w:tcW w:w="804" w:type="dxa"/>
            <w:gridSpan w:val="2"/>
            <w:tcBorders>
              <w:top w:val="nil"/>
              <w:left w:val="nil"/>
              <w:bottom w:val="single" w:sz="4" w:space="0" w:color="auto"/>
              <w:right w:val="single" w:sz="4" w:space="0" w:color="auto"/>
            </w:tcBorders>
            <w:shd w:val="clear" w:color="auto" w:fill="auto"/>
            <w:hideMark/>
          </w:tcPr>
          <w:p w14:paraId="6BB742A0" w14:textId="77777777" w:rsidR="00C20FCD" w:rsidRPr="009A7163" w:rsidRDefault="00C20FCD">
            <w:pPr>
              <w:rPr>
                <w:sz w:val="18"/>
                <w:szCs w:val="18"/>
                <w:lang w:eastAsia="en-GB"/>
              </w:rPr>
            </w:pPr>
            <w:r w:rsidRPr="009A7163">
              <w:rPr>
                <w:sz w:val="18"/>
                <w:szCs w:val="18"/>
                <w:lang w:eastAsia="en-GB"/>
              </w:rPr>
              <w:t>Never</w:t>
            </w:r>
          </w:p>
        </w:tc>
        <w:tc>
          <w:tcPr>
            <w:tcW w:w="781" w:type="dxa"/>
            <w:gridSpan w:val="2"/>
            <w:tcBorders>
              <w:top w:val="nil"/>
              <w:left w:val="nil"/>
              <w:bottom w:val="single" w:sz="4" w:space="0" w:color="auto"/>
              <w:right w:val="single" w:sz="4" w:space="0" w:color="auto"/>
            </w:tcBorders>
            <w:shd w:val="clear" w:color="auto" w:fill="auto"/>
            <w:hideMark/>
          </w:tcPr>
          <w:p w14:paraId="7083E530"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5AEB2321" w14:textId="77777777" w:rsidTr="00CB5642">
        <w:trPr>
          <w:gridAfter w:val="1"/>
          <w:wAfter w:w="373" w:type="dxa"/>
          <w:trHeight w:val="520"/>
        </w:trPr>
        <w:tc>
          <w:tcPr>
            <w:tcW w:w="931" w:type="dxa"/>
            <w:tcBorders>
              <w:top w:val="nil"/>
              <w:left w:val="single" w:sz="4" w:space="0" w:color="auto"/>
              <w:bottom w:val="single" w:sz="4" w:space="0" w:color="auto"/>
              <w:right w:val="single" w:sz="4" w:space="0" w:color="auto"/>
            </w:tcBorders>
            <w:shd w:val="clear" w:color="auto" w:fill="auto"/>
            <w:hideMark/>
          </w:tcPr>
          <w:p w14:paraId="03F0B8DD" w14:textId="77777777" w:rsidR="00C20FCD" w:rsidRPr="009A7163" w:rsidRDefault="00C20FCD" w:rsidP="008C041F">
            <w:pPr>
              <w:rPr>
                <w:sz w:val="18"/>
                <w:szCs w:val="18"/>
                <w:lang w:eastAsia="en-GB"/>
              </w:rPr>
            </w:pPr>
            <w:r w:rsidRPr="009A7163">
              <w:rPr>
                <w:sz w:val="18"/>
                <w:szCs w:val="18"/>
                <w:lang w:eastAsia="en-GB"/>
              </w:rPr>
              <w:t>Sons, Nephews, sons in law</w:t>
            </w:r>
          </w:p>
        </w:tc>
        <w:tc>
          <w:tcPr>
            <w:tcW w:w="1117" w:type="dxa"/>
            <w:tcBorders>
              <w:top w:val="nil"/>
              <w:left w:val="nil"/>
              <w:bottom w:val="single" w:sz="4" w:space="0" w:color="auto"/>
              <w:right w:val="single" w:sz="4" w:space="0" w:color="auto"/>
            </w:tcBorders>
            <w:shd w:val="clear" w:color="auto" w:fill="auto"/>
            <w:hideMark/>
          </w:tcPr>
          <w:p w14:paraId="44F0A20B" w14:textId="77777777" w:rsidR="00C20FCD" w:rsidRPr="009A7163" w:rsidRDefault="00C20FCD">
            <w:pPr>
              <w:rPr>
                <w:sz w:val="18"/>
                <w:szCs w:val="18"/>
                <w:lang w:eastAsia="en-GB"/>
              </w:rPr>
            </w:pPr>
            <w:r w:rsidRPr="009A7163">
              <w:rPr>
                <w:sz w:val="18"/>
                <w:szCs w:val="18"/>
                <w:lang w:eastAsia="en-GB"/>
              </w:rPr>
              <w:t>At least once a month</w:t>
            </w:r>
          </w:p>
        </w:tc>
        <w:tc>
          <w:tcPr>
            <w:tcW w:w="1025" w:type="dxa"/>
            <w:tcBorders>
              <w:top w:val="nil"/>
              <w:left w:val="nil"/>
              <w:bottom w:val="single" w:sz="4" w:space="0" w:color="auto"/>
              <w:right w:val="single" w:sz="4" w:space="0" w:color="auto"/>
            </w:tcBorders>
            <w:shd w:val="clear" w:color="auto" w:fill="auto"/>
            <w:hideMark/>
          </w:tcPr>
          <w:p w14:paraId="5E855CD5"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auto" w:fill="auto"/>
            <w:hideMark/>
          </w:tcPr>
          <w:p w14:paraId="3D47333E"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auto" w:fill="auto"/>
            <w:hideMark/>
          </w:tcPr>
          <w:p w14:paraId="6F859F85" w14:textId="77777777" w:rsidR="00C20FCD" w:rsidRPr="009A7163" w:rsidRDefault="00C20FCD">
            <w:pPr>
              <w:rPr>
                <w:sz w:val="18"/>
                <w:szCs w:val="18"/>
                <w:lang w:eastAsia="en-GB"/>
              </w:rPr>
            </w:pPr>
            <w:r w:rsidRPr="009A7163">
              <w:rPr>
                <w:sz w:val="18"/>
                <w:szCs w:val="18"/>
                <w:lang w:eastAsia="en-GB"/>
              </w:rPr>
              <w:t>At least once a month</w:t>
            </w:r>
          </w:p>
        </w:tc>
        <w:tc>
          <w:tcPr>
            <w:tcW w:w="839" w:type="dxa"/>
            <w:tcBorders>
              <w:top w:val="nil"/>
              <w:left w:val="nil"/>
              <w:bottom w:val="single" w:sz="4" w:space="0" w:color="auto"/>
              <w:right w:val="single" w:sz="4" w:space="0" w:color="auto"/>
            </w:tcBorders>
            <w:shd w:val="clear" w:color="auto" w:fill="auto"/>
            <w:hideMark/>
          </w:tcPr>
          <w:p w14:paraId="7445B4E3" w14:textId="77777777" w:rsidR="00C20FCD" w:rsidRPr="009A7163" w:rsidRDefault="00C20FCD">
            <w:pPr>
              <w:rPr>
                <w:sz w:val="18"/>
                <w:szCs w:val="18"/>
                <w:lang w:eastAsia="en-GB"/>
              </w:rPr>
            </w:pPr>
            <w:r w:rsidRPr="009A7163">
              <w:rPr>
                <w:sz w:val="18"/>
                <w:szCs w:val="18"/>
                <w:lang w:eastAsia="en-GB"/>
              </w:rPr>
              <w:t>At least once a month</w:t>
            </w:r>
          </w:p>
        </w:tc>
        <w:tc>
          <w:tcPr>
            <w:tcW w:w="1212" w:type="dxa"/>
            <w:gridSpan w:val="2"/>
            <w:tcBorders>
              <w:top w:val="nil"/>
              <w:left w:val="nil"/>
              <w:bottom w:val="single" w:sz="4" w:space="0" w:color="auto"/>
              <w:right w:val="single" w:sz="4" w:space="0" w:color="auto"/>
            </w:tcBorders>
            <w:shd w:val="clear" w:color="auto" w:fill="auto"/>
            <w:hideMark/>
          </w:tcPr>
          <w:p w14:paraId="3139672B" w14:textId="77777777" w:rsidR="00C20FCD" w:rsidRPr="009A7163" w:rsidRDefault="00C20FCD">
            <w:pPr>
              <w:rPr>
                <w:sz w:val="18"/>
                <w:szCs w:val="18"/>
                <w:lang w:eastAsia="en-GB"/>
              </w:rPr>
            </w:pPr>
            <w:r w:rsidRPr="009A7163">
              <w:rPr>
                <w:sz w:val="18"/>
                <w:szCs w:val="18"/>
                <w:lang w:eastAsia="en-GB"/>
              </w:rPr>
              <w:t>At least once a month</w:t>
            </w:r>
          </w:p>
        </w:tc>
        <w:tc>
          <w:tcPr>
            <w:tcW w:w="746" w:type="dxa"/>
            <w:tcBorders>
              <w:top w:val="nil"/>
              <w:left w:val="nil"/>
              <w:bottom w:val="single" w:sz="4" w:space="0" w:color="auto"/>
              <w:right w:val="single" w:sz="4" w:space="0" w:color="auto"/>
            </w:tcBorders>
            <w:shd w:val="clear" w:color="auto" w:fill="auto"/>
            <w:hideMark/>
          </w:tcPr>
          <w:p w14:paraId="0237BC75" w14:textId="77777777" w:rsidR="00C20FCD" w:rsidRPr="009A7163" w:rsidRDefault="00C20FCD">
            <w:pPr>
              <w:rPr>
                <w:sz w:val="18"/>
                <w:szCs w:val="18"/>
                <w:lang w:eastAsia="en-GB"/>
              </w:rPr>
            </w:pPr>
            <w:r w:rsidRPr="009A7163">
              <w:rPr>
                <w:sz w:val="18"/>
                <w:szCs w:val="18"/>
                <w:lang w:eastAsia="en-GB"/>
              </w:rPr>
              <w:t>Never</w:t>
            </w:r>
          </w:p>
        </w:tc>
        <w:tc>
          <w:tcPr>
            <w:tcW w:w="804" w:type="dxa"/>
            <w:gridSpan w:val="2"/>
            <w:tcBorders>
              <w:top w:val="nil"/>
              <w:left w:val="nil"/>
              <w:bottom w:val="single" w:sz="4" w:space="0" w:color="auto"/>
              <w:right w:val="single" w:sz="4" w:space="0" w:color="auto"/>
            </w:tcBorders>
            <w:shd w:val="clear" w:color="auto" w:fill="auto"/>
            <w:hideMark/>
          </w:tcPr>
          <w:p w14:paraId="2F459432" w14:textId="77777777" w:rsidR="00C20FCD" w:rsidRPr="009A7163" w:rsidRDefault="00C20FCD">
            <w:pPr>
              <w:rPr>
                <w:sz w:val="18"/>
                <w:szCs w:val="18"/>
                <w:lang w:eastAsia="en-GB"/>
              </w:rPr>
            </w:pPr>
            <w:r w:rsidRPr="009A7163">
              <w:rPr>
                <w:sz w:val="18"/>
                <w:szCs w:val="18"/>
                <w:lang w:eastAsia="en-GB"/>
              </w:rPr>
              <w:t>Never</w:t>
            </w:r>
          </w:p>
        </w:tc>
        <w:tc>
          <w:tcPr>
            <w:tcW w:w="781" w:type="dxa"/>
            <w:gridSpan w:val="2"/>
            <w:tcBorders>
              <w:top w:val="nil"/>
              <w:left w:val="nil"/>
              <w:bottom w:val="single" w:sz="4" w:space="0" w:color="auto"/>
              <w:right w:val="single" w:sz="4" w:space="0" w:color="auto"/>
            </w:tcBorders>
            <w:shd w:val="clear" w:color="auto" w:fill="auto"/>
            <w:hideMark/>
          </w:tcPr>
          <w:p w14:paraId="1B5304C8" w14:textId="77777777" w:rsidR="00C20FCD" w:rsidRPr="009A7163" w:rsidRDefault="00C20FCD">
            <w:pPr>
              <w:rPr>
                <w:sz w:val="18"/>
                <w:szCs w:val="18"/>
                <w:lang w:eastAsia="en-GB"/>
              </w:rPr>
            </w:pPr>
            <w:r w:rsidRPr="009A7163">
              <w:rPr>
                <w:sz w:val="18"/>
                <w:szCs w:val="18"/>
                <w:lang w:eastAsia="en-GB"/>
              </w:rPr>
              <w:t>Never</w:t>
            </w:r>
          </w:p>
        </w:tc>
      </w:tr>
    </w:tbl>
    <w:p w14:paraId="2D886D32" w14:textId="5AE1EA05" w:rsidR="00C20FCD" w:rsidRPr="009A7163" w:rsidRDefault="00C20FCD" w:rsidP="00293176">
      <w:pPr>
        <w:spacing w:before="360" w:line="360" w:lineRule="auto"/>
        <w:ind w:firstLine="720"/>
        <w:jc w:val="both"/>
        <w:rPr>
          <w:rFonts w:eastAsiaTheme="minorHAnsi"/>
          <w:lang w:eastAsia="en-GB"/>
        </w:rPr>
      </w:pPr>
      <w:r w:rsidRPr="009A7163">
        <w:rPr>
          <w:rFonts w:eastAsiaTheme="minorHAnsi"/>
          <w:lang w:eastAsia="en-GB"/>
        </w:rPr>
        <w:t>The tables bring some interesting points to light. From the women’s perspective, men either undertake unpaid care activities either once a month or never with only the exception of collecting firewood weekly. Women on the other hand, according to the women, undertake cooking, cleaning and washing clothes at least once a day and collect water once a week. Childcare is clearly unreported</w:t>
      </w:r>
      <w:r w:rsidR="00A9160F" w:rsidRPr="009A7163">
        <w:rPr>
          <w:rFonts w:eastAsiaTheme="minorHAnsi"/>
          <w:lang w:eastAsia="en-GB"/>
        </w:rPr>
        <w:t xml:space="preserve">, </w:t>
      </w:r>
      <w:r w:rsidRPr="009A7163">
        <w:rPr>
          <w:rFonts w:eastAsiaTheme="minorHAnsi"/>
          <w:lang w:eastAsia="en-GB"/>
        </w:rPr>
        <w:t xml:space="preserve">but interestingly the women reported that they look after children just once a week, whereas their daughters, nieces and daughters-in-law do it once a day, suggesting that </w:t>
      </w:r>
      <w:r w:rsidR="003A2C87" w:rsidRPr="009A7163">
        <w:rPr>
          <w:rFonts w:eastAsiaTheme="minorHAnsi"/>
          <w:lang w:eastAsia="en-GB"/>
        </w:rPr>
        <w:t>UCW</w:t>
      </w:r>
      <w:r w:rsidRPr="009A7163">
        <w:rPr>
          <w:rFonts w:eastAsiaTheme="minorHAnsi"/>
          <w:lang w:eastAsia="en-GB"/>
        </w:rPr>
        <w:t xml:space="preserve"> is passed onto other women in the house as previously mentioned (also reported in the interviews and focus groups). Other women in the house help with cooking, cleaning and washing clothes at least once a day and collect water once a week whilst the other men (i.e., sons, nephews, sons-in-law) help once a month with cooking/washing dishes, cleaning and organizing the house and looking after children.</w:t>
      </w:r>
    </w:p>
    <w:p w14:paraId="7B2F562E" w14:textId="334D7B65" w:rsidR="005B494A" w:rsidRPr="009A7163" w:rsidRDefault="00C20FCD" w:rsidP="008C041F">
      <w:pPr>
        <w:spacing w:line="360" w:lineRule="auto"/>
        <w:ind w:firstLine="720"/>
        <w:jc w:val="both"/>
        <w:rPr>
          <w:rFonts w:eastAsiaTheme="minorHAnsi"/>
          <w:lang w:eastAsia="en-GB"/>
        </w:rPr>
      </w:pPr>
      <w:r w:rsidRPr="009A7163">
        <w:rPr>
          <w:rFonts w:eastAsiaTheme="minorHAnsi"/>
          <w:lang w:eastAsia="en-GB"/>
        </w:rPr>
        <w:t>Although the fieldwork did not allow for the capturing of other perspectives, a small set of r</w:t>
      </w:r>
      <w:r w:rsidR="003F4DB5" w:rsidRPr="009A7163">
        <w:rPr>
          <w:rFonts w:eastAsiaTheme="minorHAnsi"/>
          <w:lang w:eastAsia="en-GB"/>
        </w:rPr>
        <w:t>esponses (26 responses in total</w:t>
      </w:r>
      <w:r w:rsidRPr="009A7163">
        <w:rPr>
          <w:rFonts w:eastAsiaTheme="minorHAnsi"/>
          <w:lang w:eastAsia="en-GB"/>
        </w:rPr>
        <w:t xml:space="preserve">) to the same question was collected from spouses/partners and children. This information is important to capture and in future studies this should be done more extensively as Ambler et al. (2017) highlight: </w:t>
      </w:r>
      <w:r w:rsidRPr="009A7163">
        <w:rPr>
          <w:rFonts w:eastAsiaTheme="minorHAnsi"/>
          <w:lang w:eastAsia="en-GB"/>
        </w:rPr>
        <w:lastRenderedPageBreak/>
        <w:t>‘</w:t>
      </w:r>
      <w:r w:rsidRPr="009A7163">
        <w:rPr>
          <w:rFonts w:eastAsiaTheme="minorHAnsi"/>
        </w:rPr>
        <w:t>Participation in household decisions and control over assets are often used as indicators of bargaining power.  Yet spouses do not necessarily provide the same answers to these questions’</w:t>
      </w:r>
      <w:r w:rsidR="005B494A" w:rsidRPr="009A7163">
        <w:rPr>
          <w:rFonts w:eastAsiaTheme="minorHAnsi"/>
        </w:rPr>
        <w:t xml:space="preserve"> (</w:t>
      </w:r>
      <w:r w:rsidR="005B494A" w:rsidRPr="009A7163">
        <w:rPr>
          <w:rFonts w:eastAsiaTheme="minorHAnsi"/>
          <w:lang w:eastAsia="en-GB"/>
        </w:rPr>
        <w:t>p. v)</w:t>
      </w:r>
      <w:r w:rsidRPr="009A7163">
        <w:rPr>
          <w:rFonts w:eastAsiaTheme="minorHAnsi"/>
        </w:rPr>
        <w:t>. They further warn: ‘</w:t>
      </w:r>
      <w:r w:rsidRPr="009A7163">
        <w:rPr>
          <w:rFonts w:eastAsiaTheme="minorHAnsi"/>
          <w:lang w:eastAsia="en-GB"/>
        </w:rPr>
        <w:t>Many such surveys ask the same set of questions to multiple household members, an approach that generates a wealth of information but also creates the challenge of determining how to analyse multiple and possibly contradictory answers to the same question’ (p. 1). Whilst this section of the research may have gaps in terms of the amount of data collected from spouses/partners and children, the data provided is still telling</w:t>
      </w:r>
      <w:r w:rsidR="00ED5D31" w:rsidRPr="009A7163">
        <w:rPr>
          <w:rFonts w:eastAsiaTheme="minorHAnsi"/>
          <w:lang w:eastAsia="en-GB"/>
        </w:rPr>
        <w:t>. Bradshaw</w:t>
      </w:r>
      <w:r w:rsidR="005E5BC2" w:rsidRPr="009A7163">
        <w:rPr>
          <w:rFonts w:eastAsiaTheme="minorHAnsi"/>
          <w:lang w:eastAsia="en-GB"/>
        </w:rPr>
        <w:t xml:space="preserve"> </w:t>
      </w:r>
      <w:r w:rsidR="005B494A" w:rsidRPr="009A7163">
        <w:rPr>
          <w:rFonts w:eastAsiaTheme="minorHAnsi"/>
          <w:lang w:eastAsia="en-GB"/>
        </w:rPr>
        <w:t xml:space="preserve">(2013) </w:t>
      </w:r>
      <w:r w:rsidR="005E5BC2" w:rsidRPr="009A7163">
        <w:rPr>
          <w:rFonts w:eastAsiaTheme="minorHAnsi"/>
          <w:lang w:eastAsia="en-GB"/>
        </w:rPr>
        <w:t>argues</w:t>
      </w:r>
      <w:r w:rsidR="00ED5D31" w:rsidRPr="009A7163">
        <w:rPr>
          <w:rFonts w:eastAsiaTheme="minorHAnsi"/>
          <w:lang w:eastAsia="en-GB"/>
        </w:rPr>
        <w:t xml:space="preserve">: </w:t>
      </w:r>
    </w:p>
    <w:p w14:paraId="12A7FA00" w14:textId="21A63D65" w:rsidR="005B494A" w:rsidRPr="009A7163" w:rsidRDefault="005B494A" w:rsidP="007A3A29">
      <w:pPr>
        <w:spacing w:after="180"/>
        <w:ind w:left="720"/>
        <w:jc w:val="both"/>
        <w:rPr>
          <w:rFonts w:eastAsiaTheme="minorHAnsi"/>
          <w:lang w:eastAsia="en-GB"/>
        </w:rPr>
      </w:pPr>
      <w:r w:rsidRPr="009A7163">
        <w:rPr>
          <w:rFonts w:eastAsiaTheme="minorHAnsi"/>
          <w:lang w:eastAsia="en-GB"/>
        </w:rPr>
        <w:t>[S]</w:t>
      </w:r>
      <w:r w:rsidR="00ED5D31" w:rsidRPr="009A7163">
        <w:rPr>
          <w:rFonts w:eastAsiaTheme="minorHAnsi"/>
          <w:lang w:eastAsia="en-GB"/>
        </w:rPr>
        <w:t>tudies from the West highlight that men seem to overestimate their own contribution to housework or, read another way, that women underestimate men’s contribution.</w:t>
      </w:r>
      <w:r w:rsidR="005E5BC2" w:rsidRPr="009A7163">
        <w:rPr>
          <w:rFonts w:eastAsiaTheme="minorHAnsi"/>
          <w:lang w:eastAsia="en-GB"/>
        </w:rPr>
        <w:t xml:space="preserve"> </w:t>
      </w:r>
      <w:r w:rsidR="00ED5D31" w:rsidRPr="009A7163">
        <w:rPr>
          <w:rFonts w:eastAsiaTheme="minorHAnsi"/>
          <w:lang w:eastAsia="en-GB"/>
        </w:rPr>
        <w:t>The important lesson here is that perceptions of contribution of self and others do not necessarily match, even or especially within couples. Some research also suggests that the more women earn, the less housework they do</w:t>
      </w:r>
      <w:r w:rsidRPr="009A7163">
        <w:rPr>
          <w:rFonts w:eastAsiaTheme="minorHAnsi"/>
          <w:lang w:eastAsia="en-GB"/>
        </w:rPr>
        <w:t>. (</w:t>
      </w:r>
      <w:r w:rsidR="00ED5D31" w:rsidRPr="009A7163">
        <w:rPr>
          <w:rFonts w:eastAsiaTheme="minorHAnsi"/>
          <w:lang w:eastAsia="en-GB"/>
        </w:rPr>
        <w:t>p.</w:t>
      </w:r>
      <w:r w:rsidRPr="009A7163">
        <w:rPr>
          <w:rFonts w:eastAsiaTheme="minorHAnsi"/>
          <w:lang w:eastAsia="en-GB"/>
        </w:rPr>
        <w:t xml:space="preserve"> </w:t>
      </w:r>
      <w:r w:rsidR="00ED5D31" w:rsidRPr="009A7163">
        <w:rPr>
          <w:rFonts w:eastAsiaTheme="minorHAnsi"/>
          <w:lang w:eastAsia="en-GB"/>
        </w:rPr>
        <w:t>83)</w:t>
      </w:r>
      <w:r w:rsidR="00070AD5" w:rsidRPr="009A7163">
        <w:rPr>
          <w:rFonts w:eastAsiaTheme="minorHAnsi"/>
          <w:lang w:eastAsia="en-GB"/>
        </w:rPr>
        <w:t xml:space="preserve">. </w:t>
      </w:r>
    </w:p>
    <w:p w14:paraId="65D1F45F" w14:textId="438DB7BC" w:rsidR="00C20FCD" w:rsidRPr="009A7163" w:rsidRDefault="00C11252" w:rsidP="008C041F">
      <w:pPr>
        <w:spacing w:line="360" w:lineRule="auto"/>
        <w:ind w:firstLine="720"/>
        <w:jc w:val="both"/>
        <w:rPr>
          <w:rFonts w:eastAsiaTheme="minorHAnsi"/>
          <w:lang w:eastAsia="en-GB"/>
        </w:rPr>
      </w:pPr>
      <w:r w:rsidRPr="009A7163">
        <w:rPr>
          <w:rFonts w:eastAsiaTheme="minorHAnsi"/>
          <w:lang w:eastAsia="en-GB"/>
        </w:rPr>
        <w:t>In this study in Nicaragua, w</w:t>
      </w:r>
      <w:r w:rsidR="00C20FCD" w:rsidRPr="009A7163">
        <w:rPr>
          <w:rFonts w:eastAsiaTheme="minorHAnsi"/>
          <w:lang w:eastAsia="en-GB"/>
        </w:rPr>
        <w:t>hereas the women said they looked after children once a week, the men said the women did this once a day</w:t>
      </w:r>
      <w:r w:rsidR="005B494A" w:rsidRPr="009A7163">
        <w:rPr>
          <w:rFonts w:eastAsiaTheme="minorHAnsi"/>
          <w:lang w:eastAsia="en-GB"/>
        </w:rPr>
        <w:t>,</w:t>
      </w:r>
      <w:r w:rsidR="00C20FCD" w:rsidRPr="009A7163">
        <w:rPr>
          <w:rFonts w:eastAsiaTheme="minorHAnsi"/>
          <w:lang w:eastAsia="en-GB"/>
        </w:rPr>
        <w:t xml:space="preserve"> and while the women said that their partners helped with food preparation and washing up as well as cleaning and organizing the house once a month, the men said that they never did. The men who answered this may have </w:t>
      </w:r>
      <w:r w:rsidRPr="009A7163">
        <w:rPr>
          <w:rFonts w:eastAsiaTheme="minorHAnsi"/>
          <w:lang w:eastAsia="en-GB"/>
        </w:rPr>
        <w:t xml:space="preserve">responded in this </w:t>
      </w:r>
      <w:r w:rsidR="00402025" w:rsidRPr="009A7163">
        <w:rPr>
          <w:rFonts w:eastAsiaTheme="minorHAnsi"/>
          <w:lang w:eastAsia="en-GB"/>
        </w:rPr>
        <w:t>way because</w:t>
      </w:r>
      <w:r w:rsidR="00C20FCD" w:rsidRPr="009A7163">
        <w:rPr>
          <w:rFonts w:eastAsiaTheme="minorHAnsi"/>
          <w:lang w:eastAsia="en-GB"/>
        </w:rPr>
        <w:t xml:space="preserve"> this was their version of </w:t>
      </w:r>
      <w:r w:rsidR="009C4EB2" w:rsidRPr="009A7163">
        <w:rPr>
          <w:rFonts w:eastAsiaTheme="minorHAnsi"/>
          <w:lang w:eastAsia="en-GB"/>
        </w:rPr>
        <w:t xml:space="preserve">reality, </w:t>
      </w:r>
      <w:r w:rsidR="006A5022" w:rsidRPr="009A7163">
        <w:rPr>
          <w:rFonts w:eastAsiaTheme="minorHAnsi"/>
          <w:lang w:eastAsia="en-GB"/>
        </w:rPr>
        <w:t>or maybe</w:t>
      </w:r>
      <w:r w:rsidR="00C20FCD" w:rsidRPr="009A7163">
        <w:rPr>
          <w:rFonts w:eastAsiaTheme="minorHAnsi"/>
          <w:lang w:eastAsia="en-GB"/>
        </w:rPr>
        <w:t xml:space="preserve"> </w:t>
      </w:r>
      <w:r w:rsidR="00D97F17" w:rsidRPr="009A7163">
        <w:rPr>
          <w:rFonts w:eastAsiaTheme="minorHAnsi"/>
          <w:lang w:eastAsia="en-GB"/>
        </w:rPr>
        <w:t>they did</w:t>
      </w:r>
      <w:r w:rsidR="00C20FCD" w:rsidRPr="009A7163">
        <w:rPr>
          <w:rFonts w:eastAsiaTheme="minorHAnsi"/>
          <w:lang w:eastAsia="en-GB"/>
        </w:rPr>
        <w:t xml:space="preserve"> help but wanted to maintain their masculine identity</w:t>
      </w:r>
      <w:r w:rsidRPr="009A7163">
        <w:rPr>
          <w:rFonts w:eastAsiaTheme="minorHAnsi"/>
          <w:lang w:eastAsia="en-GB"/>
        </w:rPr>
        <w:t xml:space="preserve"> in public which precluded them </w:t>
      </w:r>
      <w:r w:rsidR="005B494A" w:rsidRPr="009A7163">
        <w:rPr>
          <w:rFonts w:eastAsiaTheme="minorHAnsi"/>
          <w:lang w:eastAsia="en-GB"/>
        </w:rPr>
        <w:t>from ‘</w:t>
      </w:r>
      <w:r w:rsidRPr="009A7163">
        <w:rPr>
          <w:rFonts w:eastAsiaTheme="minorHAnsi"/>
          <w:lang w:eastAsia="en-GB"/>
        </w:rPr>
        <w:t>admitting</w:t>
      </w:r>
      <w:r w:rsidR="005B494A" w:rsidRPr="009A7163">
        <w:rPr>
          <w:rFonts w:eastAsiaTheme="minorHAnsi"/>
          <w:lang w:eastAsia="en-GB"/>
        </w:rPr>
        <w:t>’</w:t>
      </w:r>
      <w:r w:rsidRPr="009A7163">
        <w:rPr>
          <w:rFonts w:eastAsiaTheme="minorHAnsi"/>
          <w:lang w:eastAsia="en-GB"/>
        </w:rPr>
        <w:t xml:space="preserve"> to housework </w:t>
      </w:r>
      <w:r w:rsidR="00C20FCD" w:rsidRPr="009A7163">
        <w:rPr>
          <w:rFonts w:eastAsiaTheme="minorHAnsi"/>
          <w:lang w:eastAsia="en-GB"/>
        </w:rPr>
        <w:t xml:space="preserve">. </w:t>
      </w:r>
    </w:p>
    <w:p w14:paraId="4298DF37" w14:textId="5DB296DA"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Furthermore, in regard to the daughters and son’s responses, some of the children, like the male participants in some instances, stated that the women get water once a day as opposed to what the women themselves reported (once a week). They also said that the women cleaned and organ</w:t>
      </w:r>
      <w:r w:rsidR="00C95A06" w:rsidRPr="009A7163">
        <w:rPr>
          <w:rFonts w:eastAsiaTheme="minorHAnsi"/>
          <w:lang w:eastAsia="en-GB"/>
        </w:rPr>
        <w:t>ise</w:t>
      </w:r>
      <w:r w:rsidRPr="009A7163">
        <w:rPr>
          <w:rFonts w:eastAsiaTheme="minorHAnsi"/>
          <w:lang w:eastAsia="en-GB"/>
        </w:rPr>
        <w:t>d the house various times a day whilst the women said just once. They said their</w:t>
      </w:r>
      <w:r w:rsidR="00E06939" w:rsidRPr="009A7163">
        <w:rPr>
          <w:rFonts w:eastAsiaTheme="minorHAnsi"/>
          <w:lang w:eastAsia="en-GB"/>
        </w:rPr>
        <w:t xml:space="preserve"> father</w:t>
      </w:r>
      <w:r w:rsidRPr="009A7163">
        <w:rPr>
          <w:rFonts w:eastAsiaTheme="minorHAnsi"/>
          <w:lang w:eastAsia="en-GB"/>
        </w:rPr>
        <w:t>/</w:t>
      </w:r>
      <w:r w:rsidR="00E06939" w:rsidRPr="009A7163">
        <w:rPr>
          <w:rFonts w:eastAsiaTheme="minorHAnsi"/>
          <w:lang w:eastAsia="en-GB"/>
        </w:rPr>
        <w:t>mother</w:t>
      </w:r>
      <w:r w:rsidRPr="009A7163">
        <w:rPr>
          <w:rFonts w:eastAsiaTheme="minorHAnsi"/>
          <w:lang w:eastAsia="en-GB"/>
        </w:rPr>
        <w:t xml:space="preserve"> only collected water once a month like the women; however, the men said once a week. The children also reported that men never helped prepare food or clean or organ</w:t>
      </w:r>
      <w:r w:rsidR="00C95A06" w:rsidRPr="009A7163">
        <w:rPr>
          <w:rFonts w:eastAsiaTheme="minorHAnsi"/>
          <w:lang w:eastAsia="en-GB"/>
        </w:rPr>
        <w:t>ise</w:t>
      </w:r>
      <w:r w:rsidRPr="009A7163">
        <w:rPr>
          <w:rFonts w:eastAsiaTheme="minorHAnsi"/>
          <w:lang w:eastAsia="en-GB"/>
        </w:rPr>
        <w:t xml:space="preserve"> the house and would only help with clothes washing once a month. Whilst the men said they would never do that. All participants said that young boys (i.e., sons, nephews, and sons-in-laws) did either nothing or only helped once a week. So the key message here is women underreport their own work, whilst men over reported work.</w:t>
      </w:r>
    </w:p>
    <w:p w14:paraId="1BCCD1BF" w14:textId="58AD7CD4" w:rsidR="00C20FCD" w:rsidRPr="009A7163" w:rsidRDefault="00A133BF" w:rsidP="00293176">
      <w:pPr>
        <w:pStyle w:val="Heading2"/>
        <w:rPr>
          <w:rFonts w:eastAsiaTheme="minorHAnsi"/>
          <w:lang w:val="en-GB" w:eastAsia="en-GB"/>
        </w:rPr>
      </w:pPr>
      <w:bookmarkStart w:id="130" w:name="_Toc526819338"/>
      <w:r w:rsidRPr="009A7163">
        <w:rPr>
          <w:rFonts w:eastAsiaTheme="minorHAnsi"/>
          <w:lang w:val="en-GB" w:eastAsia="en-GB"/>
        </w:rPr>
        <w:lastRenderedPageBreak/>
        <w:t xml:space="preserve">6.3  </w:t>
      </w:r>
      <w:r w:rsidR="00C20FCD" w:rsidRPr="009A7163">
        <w:rPr>
          <w:rFonts w:eastAsiaTheme="minorHAnsi"/>
          <w:lang w:val="en-GB" w:eastAsia="en-GB"/>
        </w:rPr>
        <w:t>Case Study Two: Coffee</w:t>
      </w:r>
      <w:bookmarkEnd w:id="130"/>
    </w:p>
    <w:p w14:paraId="1B975332" w14:textId="15250A13"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Like the women who work with sesame, women's days in coffee are long, tiring and monotonous. They work over 10 hours</w:t>
      </w:r>
      <w:r w:rsidRPr="009A7163">
        <w:rPr>
          <w:rFonts w:eastAsiaTheme="minorHAnsi"/>
          <w:vertAlign w:val="superscript"/>
          <w:lang w:eastAsia="en-GB"/>
        </w:rPr>
        <w:footnoteReference w:id="115"/>
      </w:r>
      <w:r w:rsidRPr="009A7163">
        <w:rPr>
          <w:rFonts w:eastAsiaTheme="minorHAnsi"/>
          <w:lang w:eastAsia="en-GB"/>
        </w:rPr>
        <w:t xml:space="preserve"> per day in general and this includes paid work, community work and unpaid work, which was exactly the same in the sesame case study. This was the same for the overall and sample group.</w:t>
      </w:r>
      <w:r w:rsidR="003F4DB5" w:rsidRPr="009A7163">
        <w:rPr>
          <w:rFonts w:eastAsiaTheme="minorHAnsi"/>
          <w:lang w:eastAsia="en-GB"/>
        </w:rPr>
        <w:t xml:space="preserve"> </w:t>
      </w:r>
      <w:r w:rsidRPr="009A7163">
        <w:rPr>
          <w:rFonts w:eastAsiaTheme="minorHAnsi"/>
          <w:lang w:eastAsia="en-GB"/>
        </w:rPr>
        <w:t xml:space="preserve">The focus groups highlighted the triple burden: productive, reproductive and social/community work. One women in the focus group said: </w:t>
      </w:r>
    </w:p>
    <w:p w14:paraId="175F7198" w14:textId="2A58AA5F" w:rsidR="00C20FCD" w:rsidRPr="009A7163" w:rsidRDefault="00C20FCD" w:rsidP="00293176">
      <w:pPr>
        <w:spacing w:after="180"/>
        <w:ind w:left="720"/>
        <w:jc w:val="both"/>
        <w:rPr>
          <w:rFonts w:eastAsiaTheme="minorHAnsi"/>
          <w:lang w:eastAsia="en-GB"/>
        </w:rPr>
      </w:pPr>
      <w:r w:rsidRPr="009A7163">
        <w:rPr>
          <w:rFonts w:eastAsiaTheme="minorHAnsi"/>
          <w:lang w:eastAsia="en-GB"/>
        </w:rPr>
        <w:t>At times our work further multiplies because the woman always has to attend meetings, especially if she is organ</w:t>
      </w:r>
      <w:r w:rsidR="00C95A06" w:rsidRPr="009A7163">
        <w:rPr>
          <w:rFonts w:eastAsiaTheme="minorHAnsi"/>
          <w:lang w:eastAsia="en-GB"/>
        </w:rPr>
        <w:t>ise</w:t>
      </w:r>
      <w:r w:rsidRPr="009A7163">
        <w:rPr>
          <w:rFonts w:eastAsiaTheme="minorHAnsi"/>
          <w:lang w:eastAsia="en-GB"/>
        </w:rPr>
        <w:t>d (participating in a project) and has to go to trainings, meetings and sometimes even cooperative meetings and other activities outside of the home. So [being involved in a project] makes our work even harder as we have more responsibilities. However now we’ve got used to these extra activities and we’ve found spaces to relax, just being here in this focus group is a moment of rest for us</w:t>
      </w:r>
      <w:r w:rsidR="00FE5EB3" w:rsidRPr="009A7163">
        <w:rPr>
          <w:rFonts w:eastAsiaTheme="minorHAnsi"/>
          <w:lang w:eastAsia="en-GB"/>
        </w:rPr>
        <w:t>…</w:t>
      </w:r>
      <w:r w:rsidR="00A9160F" w:rsidRPr="009A7163">
        <w:rPr>
          <w:rFonts w:eastAsiaTheme="minorHAnsi"/>
          <w:lang w:eastAsia="en-GB"/>
        </w:rPr>
        <w:t xml:space="preserve"> </w:t>
      </w:r>
      <w:r w:rsidRPr="009A7163">
        <w:rPr>
          <w:rFonts w:eastAsiaTheme="minorHAnsi"/>
          <w:lang w:eastAsia="en-GB"/>
        </w:rPr>
        <w:t>(Focus Group Women, La Reina-San Ramón, March 5, 2015).</w:t>
      </w:r>
    </w:p>
    <w:p w14:paraId="4395922F" w14:textId="028E02EE" w:rsidR="00C20FCD" w:rsidRPr="009A7163" w:rsidRDefault="00C20FCD" w:rsidP="008C041F">
      <w:pPr>
        <w:spacing w:line="360" w:lineRule="auto"/>
        <w:jc w:val="both"/>
        <w:rPr>
          <w:lang w:eastAsia="en-GB"/>
        </w:rPr>
      </w:pPr>
      <w:r w:rsidRPr="009A7163">
        <w:rPr>
          <w:lang w:eastAsia="en-GB"/>
        </w:rPr>
        <w:t xml:space="preserve">This view was also expressed by the leader of the women’s movement of the </w:t>
      </w:r>
      <w:r w:rsidR="002C37E1" w:rsidRPr="009A7163">
        <w:rPr>
          <w:rFonts w:eastAsiaTheme="minorHAnsi"/>
          <w:lang w:eastAsia="en-GB"/>
        </w:rPr>
        <w:t>Asociación de Trabajadores del Campo (Rural Workers Association, or ATC)</w:t>
      </w:r>
      <w:r w:rsidRPr="009A7163">
        <w:rPr>
          <w:lang w:eastAsia="en-GB"/>
        </w:rPr>
        <w:t xml:space="preserve"> and the regional coordinator of the women’s commission for the Vía Campesina, Central America, </w:t>
      </w:r>
      <w:r w:rsidR="00627EF4" w:rsidRPr="009A7163">
        <w:rPr>
          <w:lang w:eastAsia="en-GB"/>
        </w:rPr>
        <w:t>Yolanda Ar</w:t>
      </w:r>
      <w:r w:rsidR="005B494A" w:rsidRPr="009A7163">
        <w:rPr>
          <w:lang w:eastAsia="en-GB"/>
        </w:rPr>
        <w:t>i</w:t>
      </w:r>
      <w:r w:rsidR="00627EF4" w:rsidRPr="009A7163">
        <w:rPr>
          <w:lang w:eastAsia="en-GB"/>
        </w:rPr>
        <w:t>as Blass</w:t>
      </w:r>
      <w:r w:rsidR="005B494A" w:rsidRPr="009A7163">
        <w:rPr>
          <w:lang w:eastAsia="en-GB"/>
        </w:rPr>
        <w:t>,</w:t>
      </w:r>
      <w:r w:rsidR="00627EF4" w:rsidRPr="009A7163">
        <w:rPr>
          <w:lang w:eastAsia="en-GB"/>
        </w:rPr>
        <w:t xml:space="preserve"> </w:t>
      </w:r>
      <w:r w:rsidRPr="009A7163">
        <w:rPr>
          <w:lang w:eastAsia="en-GB"/>
        </w:rPr>
        <w:t xml:space="preserve">who said the following about the triple burden that women in coffee face, </w:t>
      </w:r>
      <w:r w:rsidR="00A9160F" w:rsidRPr="009A7163">
        <w:rPr>
          <w:lang w:eastAsia="en-GB"/>
        </w:rPr>
        <w:t xml:space="preserve">which further </w:t>
      </w:r>
      <w:r w:rsidRPr="009A7163">
        <w:rPr>
          <w:lang w:eastAsia="en-GB"/>
        </w:rPr>
        <w:t>echo</w:t>
      </w:r>
      <w:r w:rsidR="00A9160F" w:rsidRPr="009A7163">
        <w:rPr>
          <w:lang w:eastAsia="en-GB"/>
        </w:rPr>
        <w:t>es</w:t>
      </w:r>
      <w:r w:rsidRPr="009A7163">
        <w:rPr>
          <w:lang w:eastAsia="en-GB"/>
        </w:rPr>
        <w:t xml:space="preserve"> the vignettes from the Achuapa sesame case study:</w:t>
      </w:r>
      <w:r w:rsidRPr="009A7163">
        <w:rPr>
          <w:lang w:eastAsia="en-GB"/>
        </w:rPr>
        <w:tab/>
      </w:r>
    </w:p>
    <w:p w14:paraId="5C15F73B" w14:textId="7F033572" w:rsidR="00C20FCD" w:rsidRPr="009A7163" w:rsidRDefault="00C20FCD" w:rsidP="00293176">
      <w:pPr>
        <w:spacing w:after="180"/>
        <w:ind w:left="720"/>
        <w:jc w:val="both"/>
        <w:rPr>
          <w:lang w:eastAsia="en-GB"/>
        </w:rPr>
      </w:pPr>
      <w:r w:rsidRPr="009A7163">
        <w:rPr>
          <w:lang w:eastAsia="en-GB"/>
        </w:rPr>
        <w:t>In terms of our work in the productive sphere, we have completed a number of studies on gender inequalities in the cooperatives which relates to care work and the different responsibilities that women have: reproductive, productive and community work. We believe that the men in the cooperative should be more conscious of this reality</w:t>
      </w:r>
      <w:r w:rsidR="00FE5EB3" w:rsidRPr="009A7163">
        <w:rPr>
          <w:lang w:eastAsia="en-GB"/>
        </w:rPr>
        <w:t>…</w:t>
      </w:r>
      <w:r w:rsidRPr="009A7163">
        <w:rPr>
          <w:lang w:eastAsia="en-GB"/>
        </w:rPr>
        <w:t>And look at the evidence of how overloaded with work the women are. This is often not recognised at the heart of the cooperative and not seen. We found clear examples of this when we were undertaking the research. The cooperative men would come to a meeting, take a seat and say, “the meeting hasn’t started yet as the women haven’t finished making the refreshments” and then the women would say mid meeting, “We have to leave because we have to make workshop lunch”. (Expert Interview, May 9, 2016)</w:t>
      </w:r>
    </w:p>
    <w:p w14:paraId="51BA6A53" w14:textId="3A8AFBE3" w:rsidR="00C20FCD" w:rsidRPr="009A7163" w:rsidRDefault="00C20FCD" w:rsidP="008C041F">
      <w:pPr>
        <w:spacing w:line="360" w:lineRule="auto"/>
        <w:jc w:val="both"/>
        <w:rPr>
          <w:lang w:eastAsia="en-GB"/>
        </w:rPr>
      </w:pPr>
      <w:r w:rsidRPr="009A7163">
        <w:rPr>
          <w:lang w:eastAsia="en-GB"/>
        </w:rPr>
        <w:t>When women are given the opportunity to participate in meetings, as in the sesame case study, they are immediately seen as carers and providers and</w:t>
      </w:r>
      <w:r w:rsidR="005B494A" w:rsidRPr="009A7163">
        <w:rPr>
          <w:lang w:eastAsia="en-GB"/>
        </w:rPr>
        <w:t>,</w:t>
      </w:r>
      <w:r w:rsidRPr="009A7163">
        <w:rPr>
          <w:lang w:eastAsia="en-GB"/>
        </w:rPr>
        <w:t xml:space="preserve"> as a consequence</w:t>
      </w:r>
      <w:r w:rsidR="005B494A" w:rsidRPr="009A7163">
        <w:rPr>
          <w:lang w:eastAsia="en-GB"/>
        </w:rPr>
        <w:t>,</w:t>
      </w:r>
      <w:r w:rsidRPr="009A7163">
        <w:rPr>
          <w:lang w:eastAsia="en-GB"/>
        </w:rPr>
        <w:t xml:space="preserve"> undertake more unpaid work in another sphere. Furthermore, women can be given a fourth burden if they are given the task of caring for the environment through gender focused climate change or development projects. An average of an hour per day in both </w:t>
      </w:r>
      <w:r w:rsidRPr="009A7163">
        <w:rPr>
          <w:lang w:eastAsia="en-GB"/>
        </w:rPr>
        <w:lastRenderedPageBreak/>
        <w:t>the overall and sample group was reported. In this particular case study, the women’s involvement in the initiative involves producing organic fertilisers for a coffee brand</w:t>
      </w:r>
      <w:r w:rsidR="005B494A" w:rsidRPr="009A7163">
        <w:rPr>
          <w:lang w:eastAsia="en-GB"/>
        </w:rPr>
        <w:t>,</w:t>
      </w:r>
      <w:r w:rsidRPr="009A7163">
        <w:rPr>
          <w:lang w:eastAsia="en-GB"/>
        </w:rPr>
        <w:t xml:space="preserve"> whereby the premium for the recognition for the unpaid work of women is paid by the coffee buyers and the coffee is sold to them as agroecologically produced coffee.</w:t>
      </w:r>
      <w:r w:rsidRPr="009A7163">
        <w:rPr>
          <w:vertAlign w:val="superscript"/>
          <w:lang w:eastAsia="en-GB"/>
        </w:rPr>
        <w:footnoteReference w:id="116"/>
      </w:r>
      <w:r w:rsidRPr="009A7163">
        <w:rPr>
          <w:lang w:eastAsia="en-GB"/>
        </w:rPr>
        <w:t xml:space="preserve"> As part of a larger project which this initiative formed part of, the women were trained in seed saving, given seed banks to manage, taught to construct home gardens and trained to producer fertil</w:t>
      </w:r>
      <w:r w:rsidR="00C95A06" w:rsidRPr="009A7163">
        <w:rPr>
          <w:lang w:eastAsia="en-GB"/>
        </w:rPr>
        <w:t>ise</w:t>
      </w:r>
      <w:r w:rsidRPr="009A7163">
        <w:rPr>
          <w:lang w:eastAsia="en-GB"/>
        </w:rPr>
        <w:t xml:space="preserve">rs and repellent. </w:t>
      </w:r>
      <w:r w:rsidRPr="009A7163">
        <w:rPr>
          <w:rFonts w:eastAsiaTheme="minorHAnsi"/>
          <w:lang w:eastAsia="en-GB"/>
        </w:rPr>
        <w:t>Gonda (2014) speaks of a fourth role</w:t>
      </w:r>
      <w:r w:rsidRPr="009A7163">
        <w:rPr>
          <w:rFonts w:eastAsiaTheme="minorHAnsi"/>
          <w:vertAlign w:val="superscript"/>
          <w:lang w:eastAsia="en-GB"/>
        </w:rPr>
        <w:footnoteReference w:id="117"/>
      </w:r>
      <w:r w:rsidRPr="009A7163">
        <w:rPr>
          <w:rFonts w:eastAsiaTheme="minorHAnsi"/>
          <w:lang w:eastAsia="en-GB"/>
        </w:rPr>
        <w:t xml:space="preserve"> that women are assigned in relation to environmental work, which is a theme pertinent to this case study. </w:t>
      </w:r>
      <w:r w:rsidRPr="009A7163">
        <w:rPr>
          <w:lang w:eastAsia="en-GB"/>
        </w:rPr>
        <w:t xml:space="preserve">This echos what Gonda (2014) </w:t>
      </w:r>
      <w:r w:rsidR="00A9160F" w:rsidRPr="009A7163">
        <w:rPr>
          <w:lang w:eastAsia="en-GB"/>
        </w:rPr>
        <w:t>states</w:t>
      </w:r>
      <w:r w:rsidRPr="009A7163">
        <w:rPr>
          <w:lang w:eastAsia="en-GB"/>
        </w:rPr>
        <w:t>:</w:t>
      </w:r>
    </w:p>
    <w:p w14:paraId="778DCE76" w14:textId="17EA8C5F" w:rsidR="00C20FCD" w:rsidRPr="009A7163" w:rsidRDefault="00C20FCD" w:rsidP="00293176">
      <w:pPr>
        <w:spacing w:after="180"/>
        <w:ind w:left="720"/>
        <w:jc w:val="both"/>
        <w:rPr>
          <w:lang w:eastAsia="en-GB"/>
        </w:rPr>
      </w:pPr>
      <w:r w:rsidRPr="009A7163">
        <w:rPr>
          <w:lang w:eastAsia="en-GB"/>
        </w:rPr>
        <w:t>Similarly, with some women-focused projects, women are seen to be more sensitive to environmental issues so there are climate change adaption projects which are specifically adapted for women (such as environmental awareness raising educational projects, recovery of seeds for climate change adaption</w:t>
      </w:r>
      <w:r w:rsidR="00A9160F" w:rsidRPr="009A7163">
        <w:rPr>
          <w:lang w:eastAsia="en-GB"/>
        </w:rPr>
        <w:t>,</w:t>
      </w:r>
      <w:r w:rsidRPr="009A7163">
        <w:rPr>
          <w:lang w:eastAsia="en-GB"/>
        </w:rPr>
        <w:t xml:space="preserve"> etc.)</w:t>
      </w:r>
      <w:r w:rsidRPr="009A7163">
        <w:rPr>
          <w:rFonts w:eastAsiaTheme="minorHAnsi"/>
          <w:lang w:eastAsia="en-GB"/>
        </w:rPr>
        <w:t xml:space="preserve"> </w:t>
      </w:r>
      <w:r w:rsidRPr="009A7163">
        <w:rPr>
          <w:lang w:eastAsia="en-GB"/>
        </w:rPr>
        <w:t>Thus, in addition to their threefold gender-based role (reproductive, productive and community), the risk is that they will be overburdened by assigning them a fourth role in relation to environmental management.</w:t>
      </w:r>
      <w:r w:rsidR="005B494A" w:rsidRPr="009A7163">
        <w:rPr>
          <w:lang w:eastAsia="en-GB"/>
        </w:rPr>
        <w:t xml:space="preserve"> (pp. 7–8)</w:t>
      </w:r>
    </w:p>
    <w:p w14:paraId="16367CAE" w14:textId="77777777" w:rsidR="00C20FCD" w:rsidRPr="009A7163" w:rsidRDefault="00C20FCD" w:rsidP="008C041F">
      <w:pPr>
        <w:spacing w:line="360" w:lineRule="auto"/>
        <w:jc w:val="both"/>
        <w:rPr>
          <w:lang w:eastAsia="en-GB"/>
        </w:rPr>
      </w:pPr>
      <w:r w:rsidRPr="009A7163">
        <w:rPr>
          <w:lang w:eastAsia="en-GB"/>
        </w:rPr>
        <w:t>The issues of care of the environment and climate change brought up two more issues related to findings around the distribution of work among coffee farmers. The first finding was the issue of migration to other cities to look for work or migrating to nearby farms to work as day labourers either of the man (the main breadwinner) or the woman, resulting in other family members taking on care work. One woman explained:</w:t>
      </w:r>
    </w:p>
    <w:p w14:paraId="4359E3C5" w14:textId="77777777" w:rsidR="00C20FCD" w:rsidRPr="009A7163" w:rsidRDefault="00C20FCD" w:rsidP="00293176">
      <w:pPr>
        <w:spacing w:after="180"/>
        <w:ind w:left="720"/>
        <w:jc w:val="both"/>
        <w:rPr>
          <w:lang w:eastAsia="en-GB"/>
        </w:rPr>
      </w:pPr>
      <w:r w:rsidRPr="009A7163">
        <w:rPr>
          <w:lang w:eastAsia="en-GB"/>
        </w:rPr>
        <w:t>My husband doesn’t have a fixed job, and it’s the same for other husbands too. They’ve had to go and work on a plantation for a week at a time to make ends meet. Coop members and producers this year have had to work for others on their plantations because the coffee yield was so low [due to coffee rust] and because of climate change. I also left as well and worked in a large farm in Jinotega [1 hour away]. Our husbands work 8 hours and get 110 cordabos ($4.12 USD).</w:t>
      </w:r>
      <w:r w:rsidRPr="009A7163">
        <w:rPr>
          <w:vertAlign w:val="superscript"/>
          <w:lang w:eastAsia="en-GB"/>
        </w:rPr>
        <w:footnoteReference w:id="118"/>
      </w:r>
      <w:r w:rsidRPr="009A7163">
        <w:rPr>
          <w:lang w:eastAsia="en-GB"/>
        </w:rPr>
        <w:t xml:space="preserve">  (Focus Group Women, La Reina-San Ramón, March 5, 2015) </w:t>
      </w:r>
    </w:p>
    <w:p w14:paraId="6A83DE1F" w14:textId="2AAC8EDB" w:rsidR="00C20FCD" w:rsidRPr="009A7163" w:rsidRDefault="00C20FCD" w:rsidP="008C041F">
      <w:pPr>
        <w:spacing w:line="360" w:lineRule="auto"/>
        <w:jc w:val="both"/>
        <w:rPr>
          <w:lang w:eastAsia="en-GB"/>
        </w:rPr>
      </w:pPr>
      <w:r w:rsidRPr="009A7163">
        <w:rPr>
          <w:lang w:eastAsia="en-GB"/>
        </w:rPr>
        <w:t xml:space="preserve"> </w:t>
      </w:r>
      <w:r w:rsidRPr="009A7163">
        <w:rPr>
          <w:lang w:eastAsia="en-GB"/>
        </w:rPr>
        <w:tab/>
        <w:t xml:space="preserve">Second, when the man migrates due to effects of climate change on the land and crops, the role of the woman in the house changes and the onus is on her to resolve any the emerging issues and the main necessities of her family. </w:t>
      </w:r>
      <w:r w:rsidR="00627EF4" w:rsidRPr="009A7163">
        <w:rPr>
          <w:lang w:eastAsia="en-GB"/>
        </w:rPr>
        <w:t>Ana Portocarrero, t</w:t>
      </w:r>
      <w:r w:rsidRPr="009A7163">
        <w:rPr>
          <w:lang w:eastAsia="en-GB"/>
        </w:rPr>
        <w:t xml:space="preserve">he </w:t>
      </w:r>
      <w:r w:rsidRPr="009A7163">
        <w:rPr>
          <w:rFonts w:eastAsiaTheme="minorHAnsi"/>
          <w:lang w:eastAsia="en-GB"/>
        </w:rPr>
        <w:t>Academic Coordinator for a Master’s Gender Program at the Universidad Centroamericana in Managua,</w:t>
      </w:r>
      <w:r w:rsidRPr="009A7163">
        <w:rPr>
          <w:lang w:eastAsia="en-GB"/>
        </w:rPr>
        <w:t xml:space="preserve"> said:</w:t>
      </w:r>
    </w:p>
    <w:p w14:paraId="5FED3822" w14:textId="45AF8FF5" w:rsidR="00C20FCD" w:rsidRPr="009A7163" w:rsidRDefault="00C20FCD" w:rsidP="00293176">
      <w:pPr>
        <w:spacing w:after="180"/>
        <w:ind w:left="720"/>
        <w:jc w:val="both"/>
        <w:rPr>
          <w:lang w:eastAsia="en-GB"/>
        </w:rPr>
      </w:pPr>
      <w:r w:rsidRPr="009A7163">
        <w:rPr>
          <w:lang w:eastAsia="en-GB"/>
        </w:rPr>
        <w:lastRenderedPageBreak/>
        <w:t>Due to the “natural” order of gender in which we are living, it’s definitely the women that have to resolve the most immediate needs of the family. So when the men migrate because of their needs and the ever-worsening climate and land conditions</w:t>
      </w:r>
      <w:r w:rsidR="00FE5EB3" w:rsidRPr="009A7163">
        <w:rPr>
          <w:lang w:eastAsia="en-GB"/>
        </w:rPr>
        <w:t>…</w:t>
      </w:r>
      <w:r w:rsidRPr="009A7163">
        <w:rPr>
          <w:lang w:eastAsia="en-GB"/>
        </w:rPr>
        <w:t>the land becomes poorer and so they are less able to produce due to climate change and the land becomes drier due to no rain – there’s nothing that can be done, so the men leave the communities and the women are left in these spaces to resolve everything and each time with less and less support [from their partners]</w:t>
      </w:r>
      <w:r w:rsidR="00FE5EB3" w:rsidRPr="009A7163">
        <w:rPr>
          <w:lang w:eastAsia="en-GB"/>
        </w:rPr>
        <w:t>…</w:t>
      </w:r>
      <w:r w:rsidRPr="009A7163">
        <w:rPr>
          <w:lang w:eastAsia="en-GB"/>
        </w:rPr>
        <w:t>so they have to secure their child’s nutrition when this could be provided by the state…This is telling of our political and economic system in which we are living which provides no support to combat climate change and food security and piles more responsibility onto the women to resolve these issues. So, women are further burdened. (Expert Interview, March 14, 2016)</w:t>
      </w:r>
    </w:p>
    <w:p w14:paraId="2A8F4745" w14:textId="714919D1" w:rsidR="00C20FCD" w:rsidRPr="009A7163" w:rsidRDefault="00C20FCD" w:rsidP="008C041F">
      <w:pPr>
        <w:spacing w:line="360" w:lineRule="auto"/>
        <w:jc w:val="both"/>
        <w:rPr>
          <w:rFonts w:eastAsiaTheme="minorHAnsi"/>
          <w:lang w:eastAsia="en-GB"/>
        </w:rPr>
      </w:pPr>
      <w:r w:rsidRPr="009A7163">
        <w:rPr>
          <w:rFonts w:eastAsiaTheme="minorHAnsi"/>
          <w:lang w:eastAsia="en-GB"/>
        </w:rPr>
        <w:t>In addition to the struggle for economic resources, families can be expected to reorganise to deal with the demands for time devoted to unpaid labour – both domestic work and care</w:t>
      </w:r>
      <w:r w:rsidR="00B375A8" w:rsidRPr="009A7163">
        <w:rPr>
          <w:rFonts w:eastAsiaTheme="minorHAnsi"/>
          <w:lang w:eastAsia="en-GB"/>
        </w:rPr>
        <w:t xml:space="preserve"> which is part of family survival strategies. </w:t>
      </w:r>
      <w:r w:rsidRPr="009A7163">
        <w:rPr>
          <w:rFonts w:eastAsiaTheme="minorHAnsi"/>
          <w:lang w:eastAsia="en-GB"/>
        </w:rPr>
        <w:t xml:space="preserve"> </w:t>
      </w:r>
    </w:p>
    <w:p w14:paraId="55ADF084" w14:textId="7BE96083" w:rsidR="00C20FCD" w:rsidRPr="009A7163" w:rsidRDefault="00C20FCD" w:rsidP="008C041F">
      <w:pPr>
        <w:spacing w:line="360" w:lineRule="auto"/>
        <w:ind w:firstLine="720"/>
        <w:jc w:val="both"/>
        <w:rPr>
          <w:lang w:eastAsia="en-GB"/>
        </w:rPr>
      </w:pPr>
      <w:r w:rsidRPr="009A7163">
        <w:rPr>
          <w:lang w:eastAsia="en-GB"/>
        </w:rPr>
        <w:t>Women’s unpaid work at home is already a</w:t>
      </w:r>
      <w:r w:rsidR="002C2A09" w:rsidRPr="009A7163">
        <w:rPr>
          <w:lang w:eastAsia="en-GB"/>
        </w:rPr>
        <w:t xml:space="preserve"> </w:t>
      </w:r>
      <w:r w:rsidR="00D83673" w:rsidRPr="009A7163">
        <w:rPr>
          <w:lang w:eastAsia="en-GB"/>
        </w:rPr>
        <w:t>large</w:t>
      </w:r>
      <w:r w:rsidRPr="009A7163">
        <w:rPr>
          <w:lang w:eastAsia="en-GB"/>
        </w:rPr>
        <w:t xml:space="preserve"> part of their daily routine. The majority of unpaid work that women in this case study undertake is </w:t>
      </w:r>
      <w:r w:rsidR="003A2C87" w:rsidRPr="009A7163">
        <w:rPr>
          <w:lang w:eastAsia="en-GB"/>
        </w:rPr>
        <w:t>UCW</w:t>
      </w:r>
      <w:r w:rsidRPr="009A7163">
        <w:rPr>
          <w:lang w:eastAsia="en-GB"/>
        </w:rPr>
        <w:t xml:space="preserve"> and it takes up to 6–7 hours. The following </w:t>
      </w:r>
      <w:r w:rsidR="003A2C87" w:rsidRPr="009A7163">
        <w:rPr>
          <w:lang w:eastAsia="en-GB"/>
        </w:rPr>
        <w:t>UCW</w:t>
      </w:r>
      <w:r w:rsidRPr="009A7163">
        <w:rPr>
          <w:lang w:eastAsia="en-GB"/>
        </w:rPr>
        <w:t xml:space="preserve"> tasks were identified:</w:t>
      </w:r>
      <w:r w:rsidRPr="009A7163">
        <w:rPr>
          <w:rFonts w:eastAsiaTheme="minorHAnsi"/>
          <w:lang w:eastAsia="en-GB"/>
        </w:rPr>
        <w:t xml:space="preserve"> </w:t>
      </w:r>
      <w:r w:rsidRPr="009A7163">
        <w:rPr>
          <w:lang w:eastAsia="en-GB"/>
        </w:rPr>
        <w:t xml:space="preserve">cooking, collecting water, washing and ironing clothes, cleaning the house, looking after children, care of elderly, pregnant, disabled, care of animals, looking </w:t>
      </w:r>
      <w:r w:rsidR="00A9160F" w:rsidRPr="009A7163">
        <w:rPr>
          <w:lang w:eastAsia="en-GB"/>
        </w:rPr>
        <w:t xml:space="preserve">after the </w:t>
      </w:r>
      <w:r w:rsidRPr="009A7163">
        <w:rPr>
          <w:lang w:eastAsia="en-GB"/>
        </w:rPr>
        <w:t>family/community vegetable patch, collect</w:t>
      </w:r>
      <w:r w:rsidR="00A06904" w:rsidRPr="009A7163">
        <w:rPr>
          <w:lang w:eastAsia="en-GB"/>
        </w:rPr>
        <w:t>ing</w:t>
      </w:r>
      <w:r w:rsidRPr="009A7163">
        <w:rPr>
          <w:lang w:eastAsia="en-GB"/>
        </w:rPr>
        <w:t xml:space="preserve"> firewood and shopping.  This is less than in the sesame case study, which totalled an average of 8 hours. In the overall group, the average time was six hours. Community work increased during the harvest. In the sample group, the average time was 7 hours and community work increased in the second research round to one hour due to work on a community ranch. </w:t>
      </w:r>
    </w:p>
    <w:p w14:paraId="0CF0D89D" w14:textId="7A17432C" w:rsidR="00C20FCD" w:rsidRPr="009A7163" w:rsidRDefault="00C20FCD">
      <w:pPr>
        <w:spacing w:line="360" w:lineRule="auto"/>
        <w:ind w:firstLine="720"/>
        <w:jc w:val="both"/>
        <w:rPr>
          <w:lang w:eastAsia="en-GB"/>
        </w:rPr>
      </w:pPr>
      <w:r w:rsidRPr="009A7163">
        <w:rPr>
          <w:lang w:eastAsia="en-GB"/>
        </w:rPr>
        <w:t xml:space="preserve">Unpaid work on coffee (such as picking, sorting, washing and drying coffee beans) equals 2–3 hours on average and is a central part of the women's daily lives. Time spent on the crop mirrors the agricultural cycle (e.g., coffee harvest is once a year). This finding was in contrast to the sesame case study time use results whereby no unpaid work related to the crops were reported during the fieldwork visits. The different coffee activities identified were the following for the community of La Pita: pick coffee, sort coffee, roast and grind coffee. In the community of La Reyna, these coffee activities were undertaken: pick coffee, </w:t>
      </w:r>
      <w:r w:rsidRPr="009A7163">
        <w:rPr>
          <w:i/>
          <w:lang w:eastAsia="en-GB"/>
        </w:rPr>
        <w:t>repelar,</w:t>
      </w:r>
      <w:r w:rsidRPr="009A7163">
        <w:rPr>
          <w:lang w:eastAsia="en-GB"/>
        </w:rPr>
        <w:t xml:space="preserve"> remove the pulp from the ripe coffee bean, grind and roast coffee and plant coffee trees.</w:t>
      </w:r>
      <w:r w:rsidR="003F4DB5" w:rsidRPr="009A7163">
        <w:rPr>
          <w:lang w:eastAsia="en-GB"/>
        </w:rPr>
        <w:t xml:space="preserve"> </w:t>
      </w:r>
      <w:r w:rsidRPr="009A7163">
        <w:rPr>
          <w:lang w:eastAsia="en-GB"/>
        </w:rPr>
        <w:t xml:space="preserve">One woman explained: ‘When it’s harvest time, you have to pick, select, wash and then dry the coffee and after that sell it which is also a lot of work’ (Interview with Producer, La Reina, San Ramón, </w:t>
      </w:r>
      <w:r w:rsidR="00E06939" w:rsidRPr="009A7163">
        <w:rPr>
          <w:lang w:eastAsia="en-GB"/>
        </w:rPr>
        <w:t>March 7</w:t>
      </w:r>
      <w:r w:rsidR="00A9160F" w:rsidRPr="009A7163">
        <w:rPr>
          <w:lang w:eastAsia="en-GB"/>
        </w:rPr>
        <w:t>,</w:t>
      </w:r>
      <w:r w:rsidR="00E06939" w:rsidRPr="009A7163">
        <w:rPr>
          <w:lang w:eastAsia="en-GB"/>
        </w:rPr>
        <w:t xml:space="preserve"> 2015)</w:t>
      </w:r>
      <w:r w:rsidRPr="009A7163">
        <w:rPr>
          <w:lang w:eastAsia="en-GB"/>
        </w:rPr>
        <w:t xml:space="preserve">. For the overall group, the average time spent on coffee work was three </w:t>
      </w:r>
      <w:r w:rsidRPr="009A7163">
        <w:rPr>
          <w:lang w:eastAsia="en-GB"/>
        </w:rPr>
        <w:lastRenderedPageBreak/>
        <w:t>hours, but this included paid work</w:t>
      </w:r>
      <w:r w:rsidR="00A06904" w:rsidRPr="009A7163">
        <w:rPr>
          <w:lang w:eastAsia="en-GB"/>
        </w:rPr>
        <w:t>.</w:t>
      </w:r>
      <w:r w:rsidRPr="009A7163">
        <w:rPr>
          <w:lang w:eastAsia="en-GB"/>
        </w:rPr>
        <w:t xml:space="preserve"> For the sample group, the average was 2 hours per day. </w:t>
      </w:r>
    </w:p>
    <w:p w14:paraId="0EB2BEA7" w14:textId="77777777" w:rsidR="00C20FCD" w:rsidRPr="009A7163" w:rsidRDefault="00C20FCD">
      <w:pPr>
        <w:spacing w:line="360" w:lineRule="auto"/>
        <w:ind w:firstLine="720"/>
        <w:jc w:val="both"/>
        <w:rPr>
          <w:lang w:eastAsia="en-GB"/>
        </w:rPr>
      </w:pPr>
      <w:r w:rsidRPr="009A7163">
        <w:rPr>
          <w:lang w:eastAsia="en-GB"/>
        </w:rPr>
        <w:t xml:space="preserve">In the focus group, one woman highlighted the gender division of some of the roles in coffee tasks. She said: </w:t>
      </w:r>
    </w:p>
    <w:p w14:paraId="7A48C84F" w14:textId="60B907F5" w:rsidR="00C20FCD" w:rsidRPr="009A7163" w:rsidRDefault="00C20FCD" w:rsidP="00293176">
      <w:pPr>
        <w:spacing w:after="180"/>
        <w:ind w:left="720"/>
        <w:jc w:val="both"/>
        <w:rPr>
          <w:lang w:eastAsia="en-GB"/>
        </w:rPr>
      </w:pPr>
      <w:r w:rsidRPr="009A7163">
        <w:rPr>
          <w:lang w:eastAsia="en-GB"/>
        </w:rPr>
        <w:t>For example, when you have to fill the small coffee bags to plant the coffee seedlings, the men dig up the earth and we fill the bags and water the plants</w:t>
      </w:r>
      <w:r w:rsidR="00FE5EB3" w:rsidRPr="009A7163">
        <w:rPr>
          <w:lang w:eastAsia="en-GB"/>
        </w:rPr>
        <w:t>…</w:t>
      </w:r>
      <w:r w:rsidRPr="009A7163">
        <w:rPr>
          <w:lang w:eastAsia="en-GB"/>
        </w:rPr>
        <w:t>and with the foliar spray application, we can make the foliar mixture but the men and our sons will apply the application. There’s some work that we can do, but the work will be divided up between the family. It also depends on the woman, in some cases the husband will do the majority of the work, they’ll do the most difficult work. In my case, the coffee was in my name, and so I had to lift the coffee bags off the new coffee trees, fill the bags in the nursery, later plant the trees, and also prune them regularly. I think as a woman you can do these jobs as well</w:t>
      </w:r>
      <w:r w:rsidR="00FE5EB3" w:rsidRPr="009A7163">
        <w:rPr>
          <w:lang w:eastAsia="en-GB"/>
        </w:rPr>
        <w:t>…</w:t>
      </w:r>
      <w:r w:rsidRPr="009A7163">
        <w:rPr>
          <w:lang w:eastAsia="en-GB"/>
        </w:rPr>
        <w:t>But if you’re talking about digging up earth or planting the coffee trees, the men do this. (Focus Group Women, La Pita-San Ramón, March 4, 2015)</w:t>
      </w:r>
    </w:p>
    <w:p w14:paraId="55396F04" w14:textId="1E0847BC" w:rsidR="00C20FCD" w:rsidRPr="009A7163" w:rsidRDefault="00C20FCD" w:rsidP="008C041F">
      <w:pPr>
        <w:widowControl w:val="0"/>
        <w:tabs>
          <w:tab w:val="left" w:pos="220"/>
          <w:tab w:val="left" w:pos="720"/>
        </w:tabs>
        <w:autoSpaceDE w:val="0"/>
        <w:autoSpaceDN w:val="0"/>
        <w:adjustRightInd w:val="0"/>
        <w:spacing w:line="360" w:lineRule="auto"/>
        <w:jc w:val="both"/>
        <w:rPr>
          <w:bCs/>
          <w:lang w:eastAsia="en-GB"/>
        </w:rPr>
      </w:pPr>
      <w:r w:rsidRPr="009A7163">
        <w:rPr>
          <w:lang w:eastAsia="en-GB"/>
        </w:rPr>
        <w:t>Another woman stated: ‘</w:t>
      </w:r>
      <w:r w:rsidRPr="009A7163">
        <w:rPr>
          <w:bCs/>
          <w:lang w:eastAsia="en-GB"/>
        </w:rPr>
        <w:t>So, whilst the women do support the men with work in the fields (filling up coffee bags, sowing, picking coffee, carrying and transporting coffee</w:t>
      </w:r>
      <w:r w:rsidR="00A06904" w:rsidRPr="009A7163">
        <w:rPr>
          <w:bCs/>
          <w:lang w:eastAsia="en-GB"/>
        </w:rPr>
        <w:t>)</w:t>
      </w:r>
      <w:r w:rsidRPr="009A7163">
        <w:rPr>
          <w:bCs/>
          <w:lang w:eastAsia="en-GB"/>
        </w:rPr>
        <w:t>…there are men that won’t even light a fire to help cook’ (Focus Group Women, La Pita-San Ramón, March 4, 2015).</w:t>
      </w:r>
      <w:r w:rsidRPr="009A7163">
        <w:rPr>
          <w:lang w:eastAsia="en-GB"/>
        </w:rPr>
        <w:tab/>
      </w:r>
    </w:p>
    <w:p w14:paraId="1764D116" w14:textId="567CAA0A" w:rsidR="00C20FCD" w:rsidRPr="009A7163" w:rsidRDefault="00C20FCD">
      <w:pPr>
        <w:widowControl w:val="0"/>
        <w:tabs>
          <w:tab w:val="left" w:pos="220"/>
          <w:tab w:val="left" w:pos="720"/>
        </w:tabs>
        <w:autoSpaceDE w:val="0"/>
        <w:autoSpaceDN w:val="0"/>
        <w:adjustRightInd w:val="0"/>
        <w:spacing w:line="360" w:lineRule="auto"/>
        <w:jc w:val="both"/>
        <w:rPr>
          <w:rFonts w:eastAsiaTheme="minorHAnsi"/>
          <w:lang w:eastAsia="en-GB"/>
        </w:rPr>
      </w:pPr>
      <w:r w:rsidRPr="009A7163">
        <w:rPr>
          <w:bCs/>
          <w:lang w:eastAsia="en-GB"/>
        </w:rPr>
        <w:tab/>
      </w:r>
      <w:r w:rsidRPr="009A7163">
        <w:rPr>
          <w:bCs/>
          <w:lang w:eastAsia="en-GB"/>
        </w:rPr>
        <w:tab/>
        <w:t xml:space="preserve"> </w:t>
      </w:r>
      <w:r w:rsidRPr="009A7163">
        <w:rPr>
          <w:rFonts w:eastAsiaTheme="minorHAnsi"/>
          <w:lang w:eastAsia="en-GB"/>
        </w:rPr>
        <w:t>In the focus group in La Pita, the majority of the women</w:t>
      </w:r>
      <w:r w:rsidRPr="009A7163">
        <w:rPr>
          <w:rFonts w:eastAsiaTheme="minorHAnsi"/>
          <w:vertAlign w:val="superscript"/>
          <w:lang w:eastAsia="en-GB"/>
        </w:rPr>
        <w:footnoteReference w:id="119"/>
      </w:r>
      <w:r w:rsidRPr="009A7163">
        <w:rPr>
          <w:rFonts w:eastAsiaTheme="minorHAnsi"/>
          <w:lang w:eastAsia="en-GB"/>
        </w:rPr>
        <w:t xml:space="preserve"> said the harvest time made a difference to their daily routines</w:t>
      </w:r>
      <w:r w:rsidR="00A06904" w:rsidRPr="009A7163">
        <w:rPr>
          <w:rFonts w:eastAsiaTheme="minorHAnsi"/>
          <w:lang w:eastAsia="en-GB"/>
        </w:rPr>
        <w:t>,</w:t>
      </w:r>
      <w:r w:rsidRPr="009A7163">
        <w:rPr>
          <w:rFonts w:eastAsiaTheme="minorHAnsi"/>
          <w:lang w:eastAsia="en-GB"/>
        </w:rPr>
        <w:t xml:space="preserve"> as they had to get up earlier and work harder, and almost all of them go out to the fields to support the harvest work. The housework is harder as the women arrive later (having been in the fields) and, for example, washing clothes is tougher and more time consuming as the clothes are dirtier. It is also necessary to prepare more food and for more people, and in some cases the women take the children to work with them, which increases the pressure on their day and also emotionally. However, even though work in the fields is the most physically challenging, some mentioned that ‘going out to work in the coffee fields is a chance to forget all the household worries’ (</w:t>
      </w:r>
      <w:r w:rsidR="00D702E8" w:rsidRPr="009A7163">
        <w:rPr>
          <w:rFonts w:eastAsiaTheme="minorHAnsi"/>
          <w:lang w:eastAsia="en-GB"/>
        </w:rPr>
        <w:t>Focus Group Women, Achuapa, Fe</w:t>
      </w:r>
      <w:r w:rsidR="00A9160F" w:rsidRPr="009A7163">
        <w:rPr>
          <w:rFonts w:eastAsiaTheme="minorHAnsi"/>
          <w:lang w:eastAsia="en-GB"/>
        </w:rPr>
        <w:t>b</w:t>
      </w:r>
      <w:r w:rsidR="00D702E8" w:rsidRPr="009A7163">
        <w:rPr>
          <w:rFonts w:eastAsiaTheme="minorHAnsi"/>
          <w:lang w:eastAsia="en-GB"/>
        </w:rPr>
        <w:t>ruary 15, 2015)</w:t>
      </w:r>
      <w:r w:rsidRPr="009A7163">
        <w:rPr>
          <w:rFonts w:eastAsiaTheme="minorHAnsi"/>
          <w:lang w:eastAsia="en-GB"/>
        </w:rPr>
        <w:t xml:space="preserve">.  Furthermore, when the women were asked about whether their </w:t>
      </w:r>
      <w:r w:rsidR="003A2C87" w:rsidRPr="009A7163">
        <w:rPr>
          <w:rFonts w:eastAsiaTheme="minorHAnsi"/>
          <w:lang w:eastAsia="en-GB"/>
        </w:rPr>
        <w:t>UCW</w:t>
      </w:r>
      <w:r w:rsidRPr="009A7163">
        <w:rPr>
          <w:rFonts w:eastAsiaTheme="minorHAnsi"/>
          <w:lang w:eastAsia="en-GB"/>
        </w:rPr>
        <w:t xml:space="preserve"> contributes to coffee production, all the women affirmed that is a contribution that should be recogn</w:t>
      </w:r>
      <w:r w:rsidR="00C95A06" w:rsidRPr="009A7163">
        <w:rPr>
          <w:rFonts w:eastAsiaTheme="minorHAnsi"/>
          <w:lang w:eastAsia="en-GB"/>
        </w:rPr>
        <w:t>ise</w:t>
      </w:r>
      <w:r w:rsidRPr="009A7163">
        <w:rPr>
          <w:rFonts w:eastAsiaTheme="minorHAnsi"/>
          <w:lang w:eastAsia="en-GB"/>
        </w:rPr>
        <w:t xml:space="preserve">d. One said, ‘What we do in the house contributes one way or another to the harvest’.  However, they feel that this work is not valued. One stated: ‘They [the men] don’t see all that we do’ (Focus Group Women, La Pita-San Ramón, March 4, 2015). Over the year the hardest months (most tiring and physically demanding months) the </w:t>
      </w:r>
      <w:r w:rsidRPr="009A7163">
        <w:rPr>
          <w:rFonts w:eastAsiaTheme="minorHAnsi"/>
          <w:lang w:eastAsia="en-GB"/>
        </w:rPr>
        <w:lastRenderedPageBreak/>
        <w:t xml:space="preserve">women say are those when there’s no school and its harvest time (November–February) (Focus Group Women La Reina-San Ramón, March 5, 2015), as there is less childcare and more work overall, both paid and unpaid. During harvest time, younger women between the ages of 18–24 take on more unpaid work, as reported in the </w:t>
      </w:r>
      <w:r w:rsidR="005B207F" w:rsidRPr="009A7163">
        <w:rPr>
          <w:rFonts w:eastAsiaTheme="minorHAnsi"/>
          <w:lang w:eastAsia="en-GB"/>
        </w:rPr>
        <w:t>TUS</w:t>
      </w:r>
      <w:r w:rsidRPr="009A7163">
        <w:rPr>
          <w:rFonts w:eastAsiaTheme="minorHAnsi"/>
          <w:lang w:eastAsia="en-GB"/>
        </w:rPr>
        <w:t xml:space="preserve"> in the fieldwork.</w:t>
      </w:r>
    </w:p>
    <w:p w14:paraId="11B5EA4C" w14:textId="07941C4D" w:rsidR="00C20FCD" w:rsidRPr="009A7163" w:rsidRDefault="00C20FCD">
      <w:pPr>
        <w:spacing w:line="360" w:lineRule="auto"/>
        <w:ind w:firstLine="720"/>
        <w:jc w:val="both"/>
        <w:rPr>
          <w:lang w:eastAsia="en-GB"/>
        </w:rPr>
      </w:pPr>
      <w:r w:rsidRPr="009A7163">
        <w:rPr>
          <w:lang w:eastAsia="en-GB"/>
        </w:rPr>
        <w:t>Paid work increases post-harvest</w:t>
      </w:r>
      <w:r w:rsidR="00A133BF" w:rsidRPr="009A7163">
        <w:rPr>
          <w:lang w:eastAsia="en-GB"/>
        </w:rPr>
        <w:t xml:space="preserve"> </w:t>
      </w:r>
      <w:r w:rsidRPr="009A7163">
        <w:rPr>
          <w:lang w:eastAsia="en-GB"/>
        </w:rPr>
        <w:t>plus in concordance with tourism and US/European holidays and averaged one hour a day in both the overall and sample group. Paid work activities in both communities in San Ramón primarily revolve around an ecotourism project whereby the families host tourists. The one exception of paid work was a woman who works as a school teacher</w:t>
      </w:r>
      <w:r w:rsidR="00A133BF" w:rsidRPr="009A7163">
        <w:rPr>
          <w:lang w:eastAsia="en-GB"/>
        </w:rPr>
        <w:t xml:space="preserve">. </w:t>
      </w:r>
      <w:r w:rsidRPr="009A7163">
        <w:rPr>
          <w:lang w:eastAsia="en-GB"/>
        </w:rPr>
        <w:t>The following rest activities were recorded:</w:t>
      </w:r>
      <w:r w:rsidRPr="009A7163">
        <w:rPr>
          <w:shd w:val="clear" w:color="auto" w:fill="FFFFFF"/>
          <w:lang w:eastAsia="en-GB"/>
        </w:rPr>
        <w:t xml:space="preserve"> </w:t>
      </w:r>
      <w:r w:rsidRPr="009A7163">
        <w:rPr>
          <w:lang w:eastAsia="en-GB"/>
        </w:rPr>
        <w:t>rest, listen to radio, watch television, receive visits and religious activities (pray/read the Bible)</w:t>
      </w:r>
      <w:r w:rsidRPr="009A7163">
        <w:rPr>
          <w:i/>
          <w:lang w:eastAsia="en-GB"/>
        </w:rPr>
        <w:t xml:space="preserve">. </w:t>
      </w:r>
      <w:r w:rsidRPr="009A7163">
        <w:rPr>
          <w:lang w:eastAsia="en-GB"/>
        </w:rPr>
        <w:t>This is in contrast to the men who rest as soon as they are back from working in the coffee plantations, which typically means from 12–2pm onwards. One woman from the community of La Pita-San Ramón responded the following when asked about who rests on a daily basis in her household:</w:t>
      </w:r>
    </w:p>
    <w:p w14:paraId="0AEA2D05" w14:textId="268ABF32" w:rsidR="00C20FCD" w:rsidRPr="009A7163" w:rsidRDefault="00C20FCD" w:rsidP="00293176">
      <w:pPr>
        <w:spacing w:after="180"/>
        <w:ind w:left="720"/>
        <w:jc w:val="both"/>
        <w:rPr>
          <w:lang w:eastAsia="en-GB"/>
        </w:rPr>
      </w:pPr>
      <w:r w:rsidRPr="009A7163">
        <w:rPr>
          <w:lang w:eastAsia="en-GB"/>
        </w:rPr>
        <w:t>Normally it’s the men, the men arrive between 1–2pm. In my house, my brothers who live with me sleep nearly all the time. They’re always sleeping from around 3</w:t>
      </w:r>
      <w:r w:rsidRPr="009A7163">
        <w:rPr>
          <w:rFonts w:eastAsiaTheme="minorHAnsi"/>
          <w:lang w:eastAsia="en-GB"/>
        </w:rPr>
        <w:t>–</w:t>
      </w:r>
      <w:r w:rsidRPr="009A7163">
        <w:rPr>
          <w:lang w:eastAsia="en-GB"/>
        </w:rPr>
        <w:t>4pm. They sleep because the men work so hard, so they must rest more</w:t>
      </w:r>
      <w:r w:rsidR="00FE5EB3" w:rsidRPr="009A7163">
        <w:rPr>
          <w:lang w:eastAsia="en-GB"/>
        </w:rPr>
        <w:t>…</w:t>
      </w:r>
      <w:r w:rsidRPr="009A7163">
        <w:rPr>
          <w:lang w:eastAsia="en-GB"/>
        </w:rPr>
        <w:t>they must come back at and then rest. So normally they’ll eat around 1</w:t>
      </w:r>
      <w:r w:rsidR="00A06904" w:rsidRPr="009A7163">
        <w:rPr>
          <w:lang w:eastAsia="en-GB"/>
        </w:rPr>
        <w:t>:</w:t>
      </w:r>
      <w:r w:rsidRPr="009A7163">
        <w:rPr>
          <w:lang w:eastAsia="en-GB"/>
        </w:rPr>
        <w:t>30pm and won’t do anymore. (Focus Group Women, La Reina-San Ramón, March 4, 2015)</w:t>
      </w:r>
    </w:p>
    <w:p w14:paraId="54CDD043" w14:textId="77777777" w:rsidR="00C20FCD" w:rsidRPr="009A7163" w:rsidRDefault="00C20FCD" w:rsidP="008C041F">
      <w:pPr>
        <w:spacing w:line="360" w:lineRule="auto"/>
        <w:jc w:val="both"/>
        <w:rPr>
          <w:lang w:eastAsia="en-GB"/>
        </w:rPr>
      </w:pPr>
      <w:r w:rsidRPr="009A7163">
        <w:rPr>
          <w:lang w:eastAsia="en-GB"/>
        </w:rPr>
        <w:t>The woman participant above does not question or compare the amount of work done versus the need for rest and seems to have internalised cultural norms that men need more rest. In the quotes that follow, the men explain resting and working as a choice and how they may help based on motivation. What follows is two examples from the men’s focus group held in La Reina-San Ramón (March 19, 2015):</w:t>
      </w:r>
    </w:p>
    <w:p w14:paraId="76BB8410" w14:textId="3B5D48C3" w:rsidR="00C20FCD" w:rsidRPr="009A7163" w:rsidRDefault="00C20FCD" w:rsidP="00293176">
      <w:pPr>
        <w:spacing w:after="180"/>
        <w:ind w:left="720"/>
        <w:jc w:val="both"/>
        <w:rPr>
          <w:lang w:eastAsia="en-GB"/>
        </w:rPr>
      </w:pPr>
      <w:r w:rsidRPr="009A7163">
        <w:rPr>
          <w:lang w:eastAsia="en-GB"/>
        </w:rPr>
        <w:t>Well us men, the most we work is 7 hours in a day. That’s the most we’ll work in a day</w:t>
      </w:r>
      <w:r w:rsidR="006B0BC9" w:rsidRPr="009A7163">
        <w:rPr>
          <w:lang w:eastAsia="en-GB"/>
        </w:rPr>
        <w:t>…</w:t>
      </w:r>
      <w:r w:rsidRPr="009A7163">
        <w:rPr>
          <w:lang w:eastAsia="en-GB"/>
        </w:rPr>
        <w:t>and if we have to go out to collect firewood once our work is done we will, likewise if we need to go see our plot of land but other than that, we do nothing, we watch TV, the news, see what’s going on [men laugh]</w:t>
      </w:r>
      <w:r w:rsidR="00FE5EB3" w:rsidRPr="009A7163">
        <w:rPr>
          <w:lang w:eastAsia="en-GB"/>
        </w:rPr>
        <w:t>…</w:t>
      </w:r>
      <w:r w:rsidRPr="009A7163">
        <w:rPr>
          <w:lang w:eastAsia="en-GB"/>
        </w:rPr>
        <w:t>this is what we are used to doing and I am not going to deny it</w:t>
      </w:r>
      <w:r w:rsidR="00FE5EB3" w:rsidRPr="009A7163">
        <w:rPr>
          <w:lang w:eastAsia="en-GB"/>
        </w:rPr>
        <w:t>…</w:t>
      </w:r>
      <w:r w:rsidRPr="009A7163">
        <w:rPr>
          <w:lang w:eastAsia="en-GB"/>
        </w:rPr>
        <w:t xml:space="preserve">sometimes we’ll help [in the house] and other times no. </w:t>
      </w:r>
    </w:p>
    <w:p w14:paraId="12C63EF8" w14:textId="77777777" w:rsidR="00C20FCD" w:rsidRPr="009A7163" w:rsidRDefault="00C20FCD" w:rsidP="00293176">
      <w:pPr>
        <w:spacing w:after="180"/>
        <w:ind w:left="720"/>
        <w:jc w:val="both"/>
        <w:rPr>
          <w:lang w:eastAsia="en-GB"/>
        </w:rPr>
      </w:pPr>
      <w:r w:rsidRPr="009A7163">
        <w:rPr>
          <w:lang w:eastAsia="en-GB"/>
        </w:rPr>
        <w:t xml:space="preserve">It varies between men, but if I am feeling lazy, then perhaps I will work until 12pm and then not bother going back to work. </w:t>
      </w:r>
    </w:p>
    <w:p w14:paraId="5A6A6BF6" w14:textId="04BD337D" w:rsidR="00C20FCD" w:rsidRPr="009A7163" w:rsidRDefault="00C20FCD" w:rsidP="008C041F">
      <w:pPr>
        <w:spacing w:line="360" w:lineRule="auto"/>
        <w:jc w:val="both"/>
        <w:rPr>
          <w:i/>
          <w:lang w:eastAsia="en-GB"/>
        </w:rPr>
      </w:pPr>
      <w:r w:rsidRPr="009A7163">
        <w:rPr>
          <w:lang w:eastAsia="en-GB"/>
        </w:rPr>
        <w:t xml:space="preserve">In particular, </w:t>
      </w:r>
      <w:r w:rsidRPr="009A7163">
        <w:rPr>
          <w:rFonts w:eastAsiaTheme="minorHAnsi"/>
          <w:lang w:eastAsia="en-GB"/>
        </w:rPr>
        <w:t xml:space="preserve">members of the cooperative undertake more paid work and coffee work and have less leisure time and undertake less unpaid work. Unpaid work is redistributed to other women in the household. In the overall group this was true at harvest time both </w:t>
      </w:r>
      <w:r w:rsidRPr="009A7163">
        <w:rPr>
          <w:rFonts w:eastAsiaTheme="minorHAnsi"/>
          <w:lang w:eastAsia="en-GB"/>
        </w:rPr>
        <w:lastRenderedPageBreak/>
        <w:t xml:space="preserve">spent similar times on coffee related work and unpaid work; producers also spent more time on paid work and had less leisure time than non-members. In the sample group, </w:t>
      </w:r>
      <w:r w:rsidR="00A06904" w:rsidRPr="009A7163">
        <w:rPr>
          <w:rFonts w:eastAsiaTheme="minorHAnsi"/>
          <w:lang w:eastAsia="en-GB"/>
        </w:rPr>
        <w:t>it was also true that</w:t>
      </w:r>
      <w:r w:rsidRPr="009A7163">
        <w:rPr>
          <w:rFonts w:eastAsiaTheme="minorHAnsi"/>
          <w:lang w:eastAsia="en-GB"/>
        </w:rPr>
        <w:t xml:space="preserve"> members do more paid work and community work and non-members do more unpaid work in the majority of cases except at harvest time when they do more paid work. As in the sesame case study</w:t>
      </w:r>
      <w:r w:rsidR="00A06904" w:rsidRPr="009A7163">
        <w:rPr>
          <w:rFonts w:eastAsiaTheme="minorHAnsi"/>
          <w:lang w:eastAsia="en-GB"/>
        </w:rPr>
        <w:t>,</w:t>
      </w:r>
      <w:r w:rsidRPr="009A7163">
        <w:rPr>
          <w:rFonts w:eastAsiaTheme="minorHAnsi"/>
          <w:lang w:eastAsia="en-GB"/>
        </w:rPr>
        <w:t xml:space="preserve"> this results in younger members of the household undertaking more unpaid tasks.</w:t>
      </w:r>
    </w:p>
    <w:p w14:paraId="3FBC9B3A" w14:textId="21DC7555" w:rsidR="00C20FCD" w:rsidRPr="009A7163" w:rsidRDefault="00C20FCD">
      <w:pPr>
        <w:spacing w:after="240" w:line="360" w:lineRule="auto"/>
        <w:ind w:firstLine="720"/>
        <w:jc w:val="both"/>
        <w:rPr>
          <w:rFonts w:eastAsiaTheme="minorHAnsi"/>
          <w:lang w:eastAsia="en-GB"/>
        </w:rPr>
      </w:pPr>
      <w:r w:rsidRPr="009A7163">
        <w:rPr>
          <w:rFonts w:eastAsiaTheme="minorHAnsi"/>
          <w:lang w:eastAsia="en-GB"/>
        </w:rPr>
        <w:t>The final key message is that the same assumption made at the beginning of the study</w:t>
      </w:r>
      <w:r w:rsidR="00A06904" w:rsidRPr="009A7163">
        <w:rPr>
          <w:rFonts w:eastAsiaTheme="minorHAnsi"/>
          <w:lang w:eastAsia="en-GB"/>
        </w:rPr>
        <w:t xml:space="preserve"> –</w:t>
      </w:r>
      <w:r w:rsidRPr="009A7163">
        <w:rPr>
          <w:rFonts w:eastAsiaTheme="minorHAnsi"/>
          <w:lang w:eastAsia="en-GB"/>
        </w:rPr>
        <w:t xml:space="preserve"> that the longer women participated in the initiative and become empowered, the more likely they were to reduce and redistribute </w:t>
      </w:r>
      <w:r w:rsidR="003A2C87" w:rsidRPr="009A7163">
        <w:rPr>
          <w:rFonts w:eastAsiaTheme="minorHAnsi"/>
          <w:lang w:eastAsia="en-GB"/>
        </w:rPr>
        <w:t>UCW</w:t>
      </w:r>
      <w:r w:rsidR="00A06904" w:rsidRPr="009A7163">
        <w:rPr>
          <w:rFonts w:eastAsiaTheme="minorHAnsi"/>
          <w:lang w:eastAsia="en-GB"/>
        </w:rPr>
        <w:t xml:space="preserve"> –</w:t>
      </w:r>
      <w:r w:rsidRPr="009A7163">
        <w:rPr>
          <w:rFonts w:eastAsiaTheme="minorHAnsi"/>
          <w:lang w:eastAsia="en-GB"/>
        </w:rPr>
        <w:t xml:space="preserve"> was not found to be true, which mirrors the sesame case study. In the case study of San Ramón, one of the two communities that have double the time in the initiative and all the women participants in the initiative joined at the same time, unlike the sesame case study. For this finding, we can therefore compare answers from communities. In </w:t>
      </w:r>
      <w:r w:rsidR="00A9160F" w:rsidRPr="009A7163">
        <w:rPr>
          <w:rFonts w:eastAsiaTheme="minorHAnsi"/>
          <w:lang w:eastAsia="en-GB"/>
        </w:rPr>
        <w:t>Q</w:t>
      </w:r>
      <w:r w:rsidRPr="009A7163">
        <w:rPr>
          <w:rFonts w:eastAsiaTheme="minorHAnsi"/>
          <w:lang w:eastAsia="en-GB"/>
        </w:rPr>
        <w:t xml:space="preserve">uestion 8.12 from the </w:t>
      </w:r>
      <w:r w:rsidR="00A9160F" w:rsidRPr="009A7163">
        <w:rPr>
          <w:rFonts w:eastAsiaTheme="minorHAnsi"/>
          <w:lang w:eastAsia="en-GB"/>
        </w:rPr>
        <w:t>H</w:t>
      </w:r>
      <w:r w:rsidRPr="009A7163">
        <w:rPr>
          <w:rFonts w:eastAsiaTheme="minorHAnsi"/>
          <w:lang w:eastAsia="en-GB"/>
        </w:rPr>
        <w:t xml:space="preserve">ousehold </w:t>
      </w:r>
      <w:r w:rsidR="00A9160F" w:rsidRPr="009A7163">
        <w:rPr>
          <w:rFonts w:eastAsiaTheme="minorHAnsi"/>
          <w:lang w:eastAsia="en-GB"/>
        </w:rPr>
        <w:t>S</w:t>
      </w:r>
      <w:r w:rsidRPr="009A7163">
        <w:rPr>
          <w:rFonts w:eastAsiaTheme="minorHAnsi"/>
          <w:lang w:eastAsia="en-GB"/>
        </w:rPr>
        <w:t xml:space="preserve">urvey, both communities answered similarly to the question. In neither case had the women done anything to reduce their work. See Figures </w:t>
      </w:r>
      <w:r w:rsidR="00A133BF" w:rsidRPr="009A7163">
        <w:rPr>
          <w:rFonts w:eastAsiaTheme="minorHAnsi"/>
          <w:lang w:eastAsia="en-GB"/>
        </w:rPr>
        <w:t>6.4</w:t>
      </w:r>
      <w:r w:rsidRPr="009A7163">
        <w:rPr>
          <w:rFonts w:eastAsiaTheme="minorHAnsi"/>
          <w:lang w:eastAsia="en-GB"/>
        </w:rPr>
        <w:t xml:space="preserve"> and </w:t>
      </w:r>
      <w:r w:rsidR="00A133BF" w:rsidRPr="009A7163">
        <w:rPr>
          <w:rFonts w:eastAsiaTheme="minorHAnsi"/>
          <w:lang w:eastAsia="en-GB"/>
        </w:rPr>
        <w:t>6.5</w:t>
      </w:r>
      <w:r w:rsidRPr="009A7163">
        <w:rPr>
          <w:rFonts w:eastAsiaTheme="minorHAnsi"/>
          <w:lang w:eastAsia="en-GB"/>
        </w:rPr>
        <w:t xml:space="preserve"> below.</w:t>
      </w:r>
    </w:p>
    <w:p w14:paraId="12C4542A" w14:textId="151B2207" w:rsidR="00C20FCD" w:rsidRPr="009A7163" w:rsidRDefault="00C20FCD" w:rsidP="00293176">
      <w:pPr>
        <w:pStyle w:val="FigureTOCCaption"/>
        <w:rPr>
          <w:rFonts w:eastAsiaTheme="minorHAnsi"/>
          <w:lang w:val="en-GB" w:eastAsia="en-GB"/>
        </w:rPr>
      </w:pPr>
      <w:bookmarkStart w:id="131" w:name="_Toc526710029"/>
      <w:r w:rsidRPr="009A7163">
        <w:rPr>
          <w:rFonts w:eastAsiaTheme="minorHAnsi"/>
          <w:lang w:val="en-GB" w:eastAsia="en-GB"/>
        </w:rPr>
        <w:t xml:space="preserve">Figure </w:t>
      </w:r>
      <w:r w:rsidR="00A133BF" w:rsidRPr="009A7163">
        <w:rPr>
          <w:rFonts w:eastAsiaTheme="minorHAnsi"/>
          <w:lang w:val="en-GB" w:eastAsia="en-GB"/>
        </w:rPr>
        <w:t>6.4</w:t>
      </w:r>
      <w:r w:rsidRPr="009A7163">
        <w:rPr>
          <w:rFonts w:eastAsiaTheme="minorHAnsi"/>
          <w:lang w:val="en-GB" w:eastAsia="en-GB"/>
        </w:rPr>
        <w:t>. Household Survey Question 8.12</w:t>
      </w:r>
      <w:r w:rsidR="00A133BF" w:rsidRPr="009A7163">
        <w:rPr>
          <w:rFonts w:eastAsiaTheme="minorHAnsi"/>
          <w:lang w:val="en-GB" w:eastAsia="en-GB"/>
        </w:rPr>
        <w:t xml:space="preserve"> (</w:t>
      </w:r>
      <w:r w:rsidRPr="009A7163">
        <w:rPr>
          <w:rFonts w:eastAsiaTheme="minorHAnsi"/>
          <w:lang w:val="en-GB" w:eastAsia="en-GB"/>
        </w:rPr>
        <w:t>10 participants</w:t>
      </w:r>
      <w:r w:rsidR="00A133BF" w:rsidRPr="009A7163">
        <w:rPr>
          <w:rFonts w:eastAsiaTheme="minorHAnsi"/>
          <w:lang w:val="en-GB" w:eastAsia="en-GB"/>
        </w:rPr>
        <w:t>)</w:t>
      </w:r>
      <w:bookmarkEnd w:id="131"/>
    </w:p>
    <w:p w14:paraId="10DD9039" w14:textId="77777777" w:rsidR="00C20FCD" w:rsidRPr="009A7163" w:rsidRDefault="00C20FCD" w:rsidP="008C041F">
      <w:pPr>
        <w:spacing w:line="360" w:lineRule="auto"/>
        <w:rPr>
          <w:rFonts w:eastAsiaTheme="minorHAnsi"/>
          <w:lang w:eastAsia="en-GB"/>
        </w:rPr>
      </w:pPr>
    </w:p>
    <w:p w14:paraId="1EF2A0B1" w14:textId="77777777" w:rsidR="00C20FCD" w:rsidRPr="009A7163" w:rsidRDefault="00C20FCD">
      <w:pPr>
        <w:spacing w:line="360" w:lineRule="auto"/>
        <w:rPr>
          <w:i/>
          <w:lang w:eastAsia="en-GB"/>
        </w:rPr>
      </w:pPr>
      <w:r w:rsidRPr="009A7163">
        <w:rPr>
          <w:rFonts w:eastAsiaTheme="minorHAnsi"/>
          <w:noProof/>
          <w:lang w:eastAsia="en-GB"/>
        </w:rPr>
        <w:drawing>
          <wp:inline distT="0" distB="0" distL="0" distR="0" wp14:anchorId="04EA2234" wp14:editId="252ECF74">
            <wp:extent cx="5727700" cy="2792095"/>
            <wp:effectExtent l="0" t="0" r="0" b="19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0B72CD" w14:textId="77777777" w:rsidR="00C20FCD" w:rsidRPr="009A7163" w:rsidRDefault="00C20FCD">
      <w:pPr>
        <w:spacing w:line="360" w:lineRule="auto"/>
        <w:rPr>
          <w:i/>
          <w:lang w:eastAsia="en-GB"/>
        </w:rPr>
      </w:pPr>
    </w:p>
    <w:p w14:paraId="1B400DC6" w14:textId="77777777" w:rsidR="00C20FCD" w:rsidRPr="009A7163" w:rsidRDefault="00C20FCD">
      <w:pPr>
        <w:spacing w:line="360" w:lineRule="auto"/>
        <w:rPr>
          <w:i/>
          <w:lang w:eastAsia="en-GB"/>
        </w:rPr>
      </w:pPr>
    </w:p>
    <w:p w14:paraId="035D1C9B" w14:textId="77777777" w:rsidR="00C20FCD" w:rsidRPr="009A7163" w:rsidRDefault="00C20FCD">
      <w:pPr>
        <w:spacing w:line="360" w:lineRule="auto"/>
        <w:rPr>
          <w:i/>
          <w:lang w:eastAsia="en-GB"/>
        </w:rPr>
      </w:pPr>
    </w:p>
    <w:p w14:paraId="261F1836" w14:textId="5EA8D5F4" w:rsidR="00C20FCD" w:rsidRPr="009A7163" w:rsidRDefault="00C20FCD">
      <w:pPr>
        <w:spacing w:line="360" w:lineRule="auto"/>
        <w:rPr>
          <w:i/>
          <w:lang w:eastAsia="en-GB"/>
        </w:rPr>
      </w:pPr>
      <w:bookmarkStart w:id="132" w:name="_Toc526710030"/>
      <w:r w:rsidRPr="009A7163">
        <w:rPr>
          <w:rStyle w:val="FigureTOCCaptionChar"/>
        </w:rPr>
        <w:lastRenderedPageBreak/>
        <w:t xml:space="preserve">Figure </w:t>
      </w:r>
      <w:r w:rsidR="00A133BF" w:rsidRPr="009A7163">
        <w:rPr>
          <w:rStyle w:val="FigureTOCCaptionChar"/>
        </w:rPr>
        <w:t>6.5</w:t>
      </w:r>
      <w:r w:rsidRPr="009A7163">
        <w:rPr>
          <w:rStyle w:val="FigureTOCCaptionChar"/>
        </w:rPr>
        <w:t>. Household Survey Question 8.12</w:t>
      </w:r>
      <w:r w:rsidR="00A133BF" w:rsidRPr="009A7163">
        <w:rPr>
          <w:rStyle w:val="FigureTOCCaptionChar"/>
        </w:rPr>
        <w:t xml:space="preserve"> (</w:t>
      </w:r>
      <w:r w:rsidRPr="009A7163">
        <w:rPr>
          <w:rStyle w:val="FigureTOCCaptionChar"/>
        </w:rPr>
        <w:t>7 participants</w:t>
      </w:r>
      <w:r w:rsidR="00A133BF" w:rsidRPr="009A7163">
        <w:rPr>
          <w:rStyle w:val="FigureTOCCaptionChar"/>
        </w:rPr>
        <w:t>)</w:t>
      </w:r>
      <w:bookmarkEnd w:id="132"/>
      <w:r w:rsidRPr="009A7163">
        <w:rPr>
          <w:rFonts w:eastAsiaTheme="minorHAnsi"/>
          <w:noProof/>
          <w:lang w:eastAsia="en-GB"/>
        </w:rPr>
        <w:drawing>
          <wp:inline distT="0" distB="0" distL="0" distR="0" wp14:anchorId="0FD94F37" wp14:editId="1EC09BB1">
            <wp:extent cx="5727700" cy="279781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F0A869" w14:textId="77777777" w:rsidR="00C20FCD" w:rsidRPr="009A7163" w:rsidRDefault="00C20FCD">
      <w:pPr>
        <w:spacing w:line="360" w:lineRule="auto"/>
        <w:rPr>
          <w:lang w:eastAsia="en-GB"/>
        </w:rPr>
      </w:pPr>
    </w:p>
    <w:p w14:paraId="587980FC" w14:textId="68374F43" w:rsidR="00C20FCD" w:rsidRPr="009A7163" w:rsidRDefault="00C20FCD" w:rsidP="00293176">
      <w:pPr>
        <w:spacing w:line="360" w:lineRule="auto"/>
        <w:ind w:firstLine="720"/>
        <w:jc w:val="both"/>
        <w:rPr>
          <w:lang w:eastAsia="en-GB"/>
        </w:rPr>
      </w:pPr>
      <w:r w:rsidRPr="009A7163">
        <w:rPr>
          <w:lang w:eastAsia="en-GB"/>
        </w:rPr>
        <w:t>So, whilst the women have done little to reduce their work</w:t>
      </w:r>
      <w:r w:rsidR="00A06904" w:rsidRPr="009A7163">
        <w:rPr>
          <w:lang w:eastAsia="en-GB"/>
        </w:rPr>
        <w:t>,</w:t>
      </w:r>
      <w:r w:rsidRPr="009A7163">
        <w:rPr>
          <w:lang w:eastAsia="en-GB"/>
        </w:rPr>
        <w:t xml:space="preserve"> as seen above, they have also not always redistributed the work and/or paid for someone to undertake the care work. It is interesting to observe that the women from the community of La Pita</w:t>
      </w:r>
      <w:r w:rsidR="00A06904" w:rsidRPr="009A7163">
        <w:rPr>
          <w:lang w:eastAsia="en-GB"/>
        </w:rPr>
        <w:t>,</w:t>
      </w:r>
      <w:r w:rsidRPr="009A7163">
        <w:rPr>
          <w:lang w:eastAsia="en-GB"/>
        </w:rPr>
        <w:t xml:space="preserve"> who have had twice as much time in the initiative as the community of La Reina</w:t>
      </w:r>
      <w:r w:rsidR="00A06904" w:rsidRPr="009A7163">
        <w:rPr>
          <w:lang w:eastAsia="en-GB"/>
        </w:rPr>
        <w:t>,</w:t>
      </w:r>
      <w:r w:rsidRPr="009A7163">
        <w:rPr>
          <w:lang w:eastAsia="en-GB"/>
        </w:rPr>
        <w:t xml:space="preserve"> were least likely to pay someone to undertake their care work. However, as discussed in the case study of Achuapa, redistributing unpaid work does not always lead to empowerment and often burdens other women in the household. It’s also hard to draw conclusions on this answer without taking into consideration income. See </w:t>
      </w:r>
      <w:r w:rsidR="00A06904" w:rsidRPr="009A7163">
        <w:rPr>
          <w:lang w:eastAsia="en-GB"/>
        </w:rPr>
        <w:t>H</w:t>
      </w:r>
      <w:r w:rsidRPr="009A7163">
        <w:rPr>
          <w:lang w:eastAsia="en-GB"/>
        </w:rPr>
        <w:t xml:space="preserve">ousehold </w:t>
      </w:r>
      <w:r w:rsidR="00A06904" w:rsidRPr="009A7163">
        <w:rPr>
          <w:lang w:eastAsia="en-GB"/>
        </w:rPr>
        <w:t>S</w:t>
      </w:r>
      <w:r w:rsidRPr="009A7163">
        <w:rPr>
          <w:lang w:eastAsia="en-GB"/>
        </w:rPr>
        <w:t xml:space="preserve">urvey </w:t>
      </w:r>
      <w:r w:rsidR="00A06904" w:rsidRPr="009A7163">
        <w:rPr>
          <w:lang w:eastAsia="en-GB"/>
        </w:rPr>
        <w:t>Q</w:t>
      </w:r>
      <w:r w:rsidRPr="009A7163">
        <w:rPr>
          <w:lang w:eastAsia="en-GB"/>
        </w:rPr>
        <w:t>uestion 6.3 below</w:t>
      </w:r>
      <w:r w:rsidR="00A06904" w:rsidRPr="009A7163">
        <w:rPr>
          <w:lang w:eastAsia="en-GB"/>
        </w:rPr>
        <w:t>.</w:t>
      </w:r>
      <w:r w:rsidRPr="009A7163">
        <w:rPr>
          <w:lang w:eastAsia="en-GB"/>
        </w:rPr>
        <w:t xml:space="preserve"> </w:t>
      </w:r>
    </w:p>
    <w:p w14:paraId="48563045" w14:textId="77777777" w:rsidR="00C20FCD" w:rsidRPr="009A7163" w:rsidRDefault="00C20FCD" w:rsidP="008C041F">
      <w:pPr>
        <w:spacing w:line="360" w:lineRule="auto"/>
        <w:jc w:val="both"/>
        <w:rPr>
          <w:lang w:eastAsia="en-GB"/>
        </w:rPr>
      </w:pPr>
    </w:p>
    <w:p w14:paraId="2D86900C" w14:textId="0E24DC1E" w:rsidR="00C20FCD" w:rsidRPr="009A7163" w:rsidRDefault="00C20FCD" w:rsidP="00293176">
      <w:pPr>
        <w:pStyle w:val="FigureTOCCaption"/>
        <w:rPr>
          <w:lang w:val="en-GB" w:eastAsia="en-GB"/>
        </w:rPr>
      </w:pPr>
      <w:bookmarkStart w:id="133" w:name="_Toc526710031"/>
      <w:r w:rsidRPr="009A7163">
        <w:rPr>
          <w:lang w:val="en-GB" w:eastAsia="en-GB"/>
        </w:rPr>
        <w:lastRenderedPageBreak/>
        <w:t xml:space="preserve">Figure </w:t>
      </w:r>
      <w:r w:rsidR="00A133BF" w:rsidRPr="009A7163">
        <w:rPr>
          <w:lang w:val="en-GB" w:eastAsia="en-GB"/>
        </w:rPr>
        <w:t>6.6</w:t>
      </w:r>
      <w:r w:rsidRPr="009A7163">
        <w:rPr>
          <w:lang w:val="en-GB" w:eastAsia="en-GB"/>
        </w:rPr>
        <w:t>. Household Survey Question 6.3, La Reina</w:t>
      </w:r>
      <w:bookmarkEnd w:id="133"/>
    </w:p>
    <w:p w14:paraId="1E50F30E" w14:textId="77777777" w:rsidR="00C20FCD" w:rsidRPr="009A7163" w:rsidRDefault="00C20FCD" w:rsidP="008C041F">
      <w:pPr>
        <w:spacing w:line="360" w:lineRule="auto"/>
        <w:rPr>
          <w:lang w:eastAsia="en-GB"/>
        </w:rPr>
      </w:pPr>
      <w:r w:rsidRPr="009A7163">
        <w:rPr>
          <w:rFonts w:eastAsiaTheme="minorHAnsi"/>
          <w:noProof/>
          <w:lang w:eastAsia="en-GB"/>
        </w:rPr>
        <w:drawing>
          <wp:inline distT="0" distB="0" distL="0" distR="0" wp14:anchorId="5E219D4E" wp14:editId="67C6D4CD">
            <wp:extent cx="4797778" cy="2427112"/>
            <wp:effectExtent l="0" t="0" r="3175"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739323" w14:textId="39192014" w:rsidR="00C20FCD" w:rsidRPr="009A7163" w:rsidRDefault="00C20FCD" w:rsidP="00293176">
      <w:pPr>
        <w:pStyle w:val="FigureTOCCaption"/>
        <w:rPr>
          <w:lang w:val="en-GB" w:eastAsia="en-GB"/>
        </w:rPr>
      </w:pPr>
      <w:bookmarkStart w:id="134" w:name="_Toc526710032"/>
      <w:r w:rsidRPr="009A7163">
        <w:rPr>
          <w:lang w:val="en-GB" w:eastAsia="en-GB"/>
        </w:rPr>
        <w:t xml:space="preserve">Figure </w:t>
      </w:r>
      <w:r w:rsidR="00A133BF" w:rsidRPr="009A7163">
        <w:rPr>
          <w:lang w:val="en-GB" w:eastAsia="en-GB"/>
        </w:rPr>
        <w:t>6.7</w:t>
      </w:r>
      <w:r w:rsidRPr="009A7163">
        <w:rPr>
          <w:lang w:val="en-GB" w:eastAsia="en-GB"/>
        </w:rPr>
        <w:t>. Household Survey Question 6.3, La Pita</w:t>
      </w:r>
      <w:bookmarkEnd w:id="134"/>
    </w:p>
    <w:p w14:paraId="47E06C86" w14:textId="77777777" w:rsidR="00C20FCD" w:rsidRPr="009A7163" w:rsidRDefault="00C20FCD" w:rsidP="008C041F">
      <w:pPr>
        <w:spacing w:line="360" w:lineRule="auto"/>
        <w:rPr>
          <w:lang w:eastAsia="en-GB"/>
        </w:rPr>
      </w:pPr>
    </w:p>
    <w:p w14:paraId="07B01D1C" w14:textId="77777777" w:rsidR="00C20FCD" w:rsidRPr="009A7163" w:rsidRDefault="00C20FCD">
      <w:pPr>
        <w:spacing w:line="360" w:lineRule="auto"/>
        <w:rPr>
          <w:lang w:eastAsia="en-GB"/>
        </w:rPr>
      </w:pPr>
      <w:r w:rsidRPr="009A7163">
        <w:rPr>
          <w:rFonts w:eastAsiaTheme="minorHAnsi"/>
          <w:noProof/>
          <w:lang w:eastAsia="en-GB"/>
        </w:rPr>
        <w:drawing>
          <wp:inline distT="0" distB="0" distL="0" distR="0" wp14:anchorId="76FA3229" wp14:editId="7763370B">
            <wp:extent cx="5035550" cy="251777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597924" w14:textId="6B537B13" w:rsidR="00C20FCD" w:rsidRPr="009A7163" w:rsidRDefault="00C20FCD" w:rsidP="00293176">
      <w:pPr>
        <w:spacing w:before="360" w:after="240" w:line="360" w:lineRule="auto"/>
        <w:jc w:val="both"/>
        <w:rPr>
          <w:lang w:eastAsia="en-GB"/>
        </w:rPr>
      </w:pPr>
      <w:r w:rsidRPr="009A7163">
        <w:rPr>
          <w:lang w:eastAsia="en-GB"/>
        </w:rPr>
        <w:t xml:space="preserve">So in terms of asking for support in order to redistribute </w:t>
      </w:r>
      <w:r w:rsidR="003A2C87" w:rsidRPr="009A7163">
        <w:rPr>
          <w:lang w:eastAsia="en-GB"/>
        </w:rPr>
        <w:t>UCW</w:t>
      </w:r>
      <w:r w:rsidRPr="009A7163">
        <w:rPr>
          <w:lang w:eastAsia="en-GB"/>
        </w:rPr>
        <w:t>, the women in La Pita are more likely to ask their daughter, sons or a paid worker to help than their partners. In La Reina, they are less likely to ask for support and</w:t>
      </w:r>
      <w:r w:rsidR="00A06904" w:rsidRPr="009A7163">
        <w:rPr>
          <w:lang w:eastAsia="en-GB"/>
        </w:rPr>
        <w:t>,</w:t>
      </w:r>
      <w:r w:rsidRPr="009A7163">
        <w:rPr>
          <w:lang w:eastAsia="en-GB"/>
        </w:rPr>
        <w:t xml:space="preserve"> when they do</w:t>
      </w:r>
      <w:r w:rsidR="00A06904" w:rsidRPr="009A7163">
        <w:rPr>
          <w:lang w:eastAsia="en-GB"/>
        </w:rPr>
        <w:t>,</w:t>
      </w:r>
      <w:r w:rsidRPr="009A7163">
        <w:rPr>
          <w:lang w:eastAsia="en-GB"/>
        </w:rPr>
        <w:t xml:space="preserve"> the</w:t>
      </w:r>
      <w:r w:rsidR="00A06904" w:rsidRPr="009A7163">
        <w:rPr>
          <w:lang w:eastAsia="en-GB"/>
        </w:rPr>
        <w:t>y</w:t>
      </w:r>
      <w:r w:rsidRPr="009A7163">
        <w:rPr>
          <w:lang w:eastAsia="en-GB"/>
        </w:rPr>
        <w:t xml:space="preserve"> ask their partners. Here are the results of </w:t>
      </w:r>
      <w:r w:rsidR="00832276" w:rsidRPr="009A7163">
        <w:rPr>
          <w:lang w:eastAsia="en-GB"/>
        </w:rPr>
        <w:t>H</w:t>
      </w:r>
      <w:r w:rsidRPr="009A7163">
        <w:rPr>
          <w:lang w:eastAsia="en-GB"/>
        </w:rPr>
        <w:t xml:space="preserve">ousehold </w:t>
      </w:r>
      <w:r w:rsidR="00832276" w:rsidRPr="009A7163">
        <w:rPr>
          <w:lang w:eastAsia="en-GB"/>
        </w:rPr>
        <w:t>S</w:t>
      </w:r>
      <w:r w:rsidRPr="009A7163">
        <w:rPr>
          <w:lang w:eastAsia="en-GB"/>
        </w:rPr>
        <w:t xml:space="preserve">urvey </w:t>
      </w:r>
      <w:r w:rsidR="00832276" w:rsidRPr="009A7163">
        <w:rPr>
          <w:lang w:eastAsia="en-GB"/>
        </w:rPr>
        <w:t>Q</w:t>
      </w:r>
      <w:r w:rsidRPr="009A7163">
        <w:rPr>
          <w:lang w:eastAsia="en-GB"/>
        </w:rPr>
        <w:t>uestion 7.21 per community and a discussion:</w:t>
      </w:r>
    </w:p>
    <w:p w14:paraId="1718E3E8" w14:textId="11200EA4" w:rsidR="00C20FCD" w:rsidRPr="009A7163" w:rsidRDefault="00C20FCD" w:rsidP="00293176">
      <w:pPr>
        <w:pStyle w:val="FigureTOCCaption"/>
        <w:rPr>
          <w:lang w:val="en-GB" w:eastAsia="en-GB"/>
        </w:rPr>
      </w:pPr>
      <w:bookmarkStart w:id="135" w:name="_Toc526710033"/>
      <w:r w:rsidRPr="009A7163">
        <w:rPr>
          <w:lang w:val="en-GB" w:eastAsia="en-GB"/>
        </w:rPr>
        <w:lastRenderedPageBreak/>
        <w:t xml:space="preserve">Figure </w:t>
      </w:r>
      <w:r w:rsidR="00A133BF" w:rsidRPr="009A7163">
        <w:rPr>
          <w:lang w:val="en-GB" w:eastAsia="en-GB"/>
        </w:rPr>
        <w:t>6.8</w:t>
      </w:r>
      <w:r w:rsidRPr="009A7163">
        <w:rPr>
          <w:lang w:val="en-GB" w:eastAsia="en-GB"/>
        </w:rPr>
        <w:t>. Household Survey Question 7.21, La Reina</w:t>
      </w:r>
      <w:bookmarkEnd w:id="135"/>
    </w:p>
    <w:p w14:paraId="30EBF13B" w14:textId="77777777" w:rsidR="00C20FCD" w:rsidRPr="009A7163" w:rsidRDefault="00C20FCD" w:rsidP="008C041F">
      <w:pPr>
        <w:spacing w:line="360" w:lineRule="auto"/>
        <w:rPr>
          <w:lang w:eastAsia="en-GB"/>
        </w:rPr>
      </w:pPr>
      <w:r w:rsidRPr="009A7163">
        <w:rPr>
          <w:rFonts w:eastAsiaTheme="minorHAnsi"/>
          <w:noProof/>
          <w:lang w:eastAsia="en-GB"/>
        </w:rPr>
        <w:drawing>
          <wp:inline distT="0" distB="0" distL="0" distR="0" wp14:anchorId="34438D6B" wp14:editId="1E95156B">
            <wp:extent cx="5727700" cy="2588895"/>
            <wp:effectExtent l="0" t="0" r="6350" b="19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9235E1" w14:textId="77777777" w:rsidR="00C20FCD" w:rsidRPr="009A7163" w:rsidRDefault="00C20FCD">
      <w:pPr>
        <w:spacing w:line="360" w:lineRule="auto"/>
        <w:rPr>
          <w:lang w:eastAsia="en-GB"/>
        </w:rPr>
      </w:pPr>
    </w:p>
    <w:p w14:paraId="1229E397" w14:textId="77777777" w:rsidR="00C20FCD" w:rsidRPr="009A7163" w:rsidRDefault="00C20FCD">
      <w:pPr>
        <w:spacing w:line="360" w:lineRule="auto"/>
        <w:rPr>
          <w:lang w:eastAsia="en-GB"/>
        </w:rPr>
      </w:pPr>
    </w:p>
    <w:p w14:paraId="6C0CCC14" w14:textId="77777777" w:rsidR="00C20FCD" w:rsidRPr="009A7163" w:rsidRDefault="00C20FCD">
      <w:pPr>
        <w:spacing w:line="360" w:lineRule="auto"/>
        <w:rPr>
          <w:lang w:eastAsia="en-GB"/>
        </w:rPr>
      </w:pPr>
    </w:p>
    <w:p w14:paraId="41FE0C42" w14:textId="77777777" w:rsidR="00C20FCD" w:rsidRPr="009A7163" w:rsidRDefault="00C20FCD">
      <w:pPr>
        <w:spacing w:line="360" w:lineRule="auto"/>
        <w:rPr>
          <w:b/>
          <w:lang w:eastAsia="en-GB"/>
        </w:rPr>
      </w:pPr>
    </w:p>
    <w:p w14:paraId="4BFDEBC8" w14:textId="293A9AF1" w:rsidR="00C20FCD" w:rsidRPr="009A7163" w:rsidRDefault="00C20FCD" w:rsidP="00293176">
      <w:pPr>
        <w:pStyle w:val="FigureTOCCaption"/>
        <w:rPr>
          <w:lang w:val="en-GB" w:eastAsia="en-GB"/>
        </w:rPr>
      </w:pPr>
      <w:bookmarkStart w:id="136" w:name="_Toc526710034"/>
      <w:r w:rsidRPr="009A7163">
        <w:rPr>
          <w:lang w:val="en-GB" w:eastAsia="en-GB"/>
        </w:rPr>
        <w:t xml:space="preserve">Figure </w:t>
      </w:r>
      <w:r w:rsidR="00A133BF" w:rsidRPr="009A7163">
        <w:rPr>
          <w:lang w:val="en-GB" w:eastAsia="en-GB"/>
        </w:rPr>
        <w:t>6.9</w:t>
      </w:r>
      <w:r w:rsidRPr="009A7163">
        <w:rPr>
          <w:lang w:val="en-GB" w:eastAsia="en-GB"/>
        </w:rPr>
        <w:t>. Household Survey Question 7.21, La Pita</w:t>
      </w:r>
      <w:bookmarkEnd w:id="136"/>
    </w:p>
    <w:p w14:paraId="674B3BC2" w14:textId="77777777" w:rsidR="00C20FCD" w:rsidRPr="009A7163" w:rsidRDefault="00C20FCD" w:rsidP="008C041F">
      <w:pPr>
        <w:spacing w:line="360" w:lineRule="auto"/>
        <w:rPr>
          <w:lang w:eastAsia="en-GB"/>
        </w:rPr>
      </w:pPr>
      <w:r w:rsidRPr="009A7163">
        <w:rPr>
          <w:rFonts w:eastAsiaTheme="minorHAnsi"/>
          <w:noProof/>
          <w:lang w:eastAsia="en-GB"/>
        </w:rPr>
        <w:drawing>
          <wp:inline distT="0" distB="0" distL="0" distR="0" wp14:anchorId="586371A7" wp14:editId="7A0BEDF4">
            <wp:extent cx="5727700" cy="2962275"/>
            <wp:effectExtent l="0" t="0" r="635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407517" w14:textId="77777777" w:rsidR="00C20FCD" w:rsidRPr="009A7163" w:rsidRDefault="00C20FCD">
      <w:pPr>
        <w:spacing w:line="360" w:lineRule="auto"/>
        <w:rPr>
          <w:lang w:eastAsia="en-GB"/>
        </w:rPr>
      </w:pPr>
    </w:p>
    <w:p w14:paraId="5FD8D79C" w14:textId="733E3E2E" w:rsidR="00C20FCD" w:rsidRPr="009A7163" w:rsidRDefault="00C20FCD">
      <w:pPr>
        <w:tabs>
          <w:tab w:val="left" w:pos="1148"/>
        </w:tabs>
        <w:spacing w:line="360" w:lineRule="auto"/>
        <w:jc w:val="both"/>
        <w:rPr>
          <w:rFonts w:eastAsiaTheme="minorHAnsi"/>
          <w:noProof/>
          <w:lang w:eastAsia="en-GB"/>
        </w:rPr>
      </w:pPr>
      <w:r w:rsidRPr="009A7163">
        <w:rPr>
          <w:rFonts w:eastAsiaTheme="minorHAnsi"/>
          <w:lang w:eastAsia="en-GB"/>
        </w:rPr>
        <w:t xml:space="preserve">Furthermore, </w:t>
      </w:r>
      <w:r w:rsidR="00A06904" w:rsidRPr="009A7163">
        <w:rPr>
          <w:rFonts w:eastAsiaTheme="minorHAnsi"/>
          <w:lang w:eastAsia="en-GB"/>
        </w:rPr>
        <w:t>taking a more detailed look</w:t>
      </w:r>
      <w:r w:rsidRPr="009A7163">
        <w:rPr>
          <w:rFonts w:eastAsiaTheme="minorHAnsi"/>
          <w:lang w:eastAsia="en-GB"/>
        </w:rPr>
        <w:t xml:space="preserve"> at the family distribution of labour and also perspectives on who does what tasks, the following key messages come to light from the answers to </w:t>
      </w:r>
      <w:r w:rsidR="00832276" w:rsidRPr="009A7163">
        <w:rPr>
          <w:rFonts w:eastAsiaTheme="minorHAnsi"/>
          <w:lang w:eastAsia="en-GB"/>
        </w:rPr>
        <w:t>Q</w:t>
      </w:r>
      <w:r w:rsidRPr="009A7163">
        <w:rPr>
          <w:rFonts w:eastAsiaTheme="minorHAnsi"/>
          <w:lang w:eastAsia="en-GB"/>
        </w:rPr>
        <w:t>uestion 6.2 from the Household Survey. See the results below and the discussion that follows:</w:t>
      </w:r>
    </w:p>
    <w:p w14:paraId="191511F0" w14:textId="7119B785" w:rsidR="00C20FCD" w:rsidRPr="009A7163" w:rsidRDefault="00C20FCD">
      <w:pPr>
        <w:tabs>
          <w:tab w:val="left" w:pos="1148"/>
        </w:tabs>
        <w:rPr>
          <w:rFonts w:eastAsiaTheme="minorHAnsi"/>
          <w:b/>
          <w:lang w:eastAsia="en-GB"/>
        </w:rPr>
      </w:pPr>
      <w:bookmarkStart w:id="137" w:name="_Toc526710023"/>
      <w:r w:rsidRPr="009A7163">
        <w:rPr>
          <w:rStyle w:val="TableTOCChar"/>
        </w:rPr>
        <w:lastRenderedPageBreak/>
        <w:t xml:space="preserve">Table </w:t>
      </w:r>
      <w:r w:rsidR="00A133BF" w:rsidRPr="009A7163">
        <w:rPr>
          <w:rStyle w:val="TableTOCChar"/>
        </w:rPr>
        <w:t>6.4</w:t>
      </w:r>
      <w:r w:rsidRPr="009A7163">
        <w:rPr>
          <w:rStyle w:val="TableTOCChar"/>
        </w:rPr>
        <w:t>. Household Survey Question 6.2, La Pita (8 Interviews with Women Participants)</w:t>
      </w:r>
      <w:bookmarkEnd w:id="137"/>
    </w:p>
    <w:tbl>
      <w:tblPr>
        <w:tblW w:w="9037" w:type="dxa"/>
        <w:tblLayout w:type="fixed"/>
        <w:tblLook w:val="04A0" w:firstRow="1" w:lastRow="0" w:firstColumn="1" w:lastColumn="0" w:noHBand="0" w:noVBand="1"/>
      </w:tblPr>
      <w:tblGrid>
        <w:gridCol w:w="1170"/>
        <w:gridCol w:w="990"/>
        <w:gridCol w:w="1350"/>
        <w:gridCol w:w="900"/>
        <w:gridCol w:w="900"/>
        <w:gridCol w:w="990"/>
        <w:gridCol w:w="900"/>
        <w:gridCol w:w="540"/>
        <w:gridCol w:w="540"/>
        <w:gridCol w:w="757"/>
      </w:tblGrid>
      <w:tr w:rsidR="00C20FCD" w:rsidRPr="009A7163" w14:paraId="5A6BF402" w14:textId="77777777" w:rsidTr="00CB5642">
        <w:trPr>
          <w:trHeight w:val="1560"/>
        </w:trPr>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585DD9C3" w14:textId="77777777" w:rsidR="00C20FCD" w:rsidRPr="009A7163" w:rsidRDefault="00C20FCD">
            <w:pPr>
              <w:rPr>
                <w:sz w:val="18"/>
                <w:szCs w:val="18"/>
                <w:lang w:eastAsia="en-GB"/>
              </w:rPr>
            </w:pPr>
            <w:r w:rsidRPr="009A7163">
              <w:rPr>
                <w:sz w:val="18"/>
                <w:szCs w:val="18"/>
                <w:lang w:eastAsia="en-GB"/>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377E2D0" w14:textId="77777777" w:rsidR="00C20FCD" w:rsidRPr="009A7163" w:rsidRDefault="00C20FCD">
            <w:pPr>
              <w:rPr>
                <w:sz w:val="18"/>
                <w:szCs w:val="18"/>
                <w:lang w:eastAsia="en-GB"/>
              </w:rPr>
            </w:pPr>
            <w:r w:rsidRPr="009A7163">
              <w:rPr>
                <w:sz w:val="18"/>
                <w:szCs w:val="18"/>
                <w:lang w:eastAsia="en-GB"/>
              </w:rPr>
              <w:t>Water collection</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4944F84A" w14:textId="77777777" w:rsidR="00C20FCD" w:rsidRPr="009A7163" w:rsidRDefault="00C20FCD">
            <w:pPr>
              <w:rPr>
                <w:sz w:val="18"/>
                <w:szCs w:val="18"/>
                <w:lang w:eastAsia="en-GB"/>
              </w:rPr>
            </w:pPr>
            <w:r w:rsidRPr="009A7163">
              <w:rPr>
                <w:sz w:val="18"/>
                <w:szCs w:val="18"/>
                <w:lang w:eastAsia="en-GB"/>
              </w:rPr>
              <w:t>Collecting firewood</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5F60798" w14:textId="77777777" w:rsidR="00C20FCD" w:rsidRPr="009A7163" w:rsidRDefault="00C20FCD">
            <w:pPr>
              <w:rPr>
                <w:sz w:val="18"/>
                <w:szCs w:val="18"/>
                <w:lang w:eastAsia="en-GB"/>
              </w:rPr>
            </w:pPr>
            <w:r w:rsidRPr="009A7163">
              <w:rPr>
                <w:sz w:val="18"/>
                <w:szCs w:val="18"/>
                <w:lang w:eastAsia="en-GB"/>
              </w:rPr>
              <w:t>Meal preparation/washing dishes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A8E54D1" w14:textId="77777777" w:rsidR="00C20FCD" w:rsidRPr="009A7163" w:rsidRDefault="00C20FCD">
            <w:pPr>
              <w:rPr>
                <w:sz w:val="18"/>
                <w:szCs w:val="18"/>
                <w:lang w:eastAsia="en-GB"/>
              </w:rPr>
            </w:pPr>
            <w:r w:rsidRPr="009A7163">
              <w:rPr>
                <w:sz w:val="18"/>
                <w:szCs w:val="18"/>
                <w:lang w:eastAsia="en-GB"/>
              </w:rPr>
              <w:t>Cleaning and organizing the house</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158C6D8" w14:textId="77777777" w:rsidR="00C20FCD" w:rsidRPr="009A7163" w:rsidRDefault="00C20FCD">
            <w:pPr>
              <w:rPr>
                <w:sz w:val="18"/>
                <w:szCs w:val="18"/>
                <w:lang w:eastAsia="en-GB"/>
              </w:rPr>
            </w:pPr>
            <w:r w:rsidRPr="009A7163">
              <w:rPr>
                <w:sz w:val="18"/>
                <w:szCs w:val="18"/>
                <w:lang w:eastAsia="en-GB"/>
              </w:rPr>
              <w:t>Washing/drying/mending clothes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05D11C1F" w14:textId="77777777" w:rsidR="00C20FCD" w:rsidRPr="009A7163" w:rsidRDefault="00C20FCD">
            <w:pPr>
              <w:rPr>
                <w:sz w:val="18"/>
                <w:szCs w:val="18"/>
                <w:lang w:eastAsia="en-GB"/>
              </w:rPr>
            </w:pPr>
            <w:r w:rsidRPr="009A7163">
              <w:rPr>
                <w:sz w:val="18"/>
                <w:szCs w:val="18"/>
                <w:lang w:eastAsia="en-GB"/>
              </w:rPr>
              <w:t>Childcare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423087F6" w14:textId="77777777" w:rsidR="00C20FCD" w:rsidRPr="009A7163" w:rsidRDefault="00C20FCD">
            <w:pPr>
              <w:rPr>
                <w:sz w:val="18"/>
                <w:szCs w:val="18"/>
                <w:lang w:eastAsia="en-GB"/>
              </w:rPr>
            </w:pPr>
            <w:r w:rsidRPr="009A7163">
              <w:rPr>
                <w:sz w:val="18"/>
                <w:szCs w:val="18"/>
                <w:lang w:eastAsia="en-GB"/>
              </w:rPr>
              <w:t>Elderly care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5ADCB2C5" w14:textId="77777777" w:rsidR="00C20FCD" w:rsidRPr="009A7163" w:rsidRDefault="00C20FCD">
            <w:pPr>
              <w:rPr>
                <w:sz w:val="18"/>
                <w:szCs w:val="18"/>
                <w:lang w:eastAsia="en-GB"/>
              </w:rPr>
            </w:pPr>
            <w:r w:rsidRPr="009A7163">
              <w:rPr>
                <w:sz w:val="18"/>
                <w:szCs w:val="18"/>
                <w:lang w:eastAsia="en-GB"/>
              </w:rPr>
              <w:t>Care of ill/disabled</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14:paraId="5FC31791" w14:textId="77777777" w:rsidR="00C20FCD" w:rsidRPr="009A7163" w:rsidRDefault="00C20FCD">
            <w:pPr>
              <w:rPr>
                <w:sz w:val="18"/>
                <w:szCs w:val="18"/>
                <w:lang w:eastAsia="en-GB"/>
              </w:rPr>
            </w:pPr>
            <w:r w:rsidRPr="009A7163">
              <w:rPr>
                <w:sz w:val="18"/>
                <w:szCs w:val="18"/>
                <w:lang w:eastAsia="en-GB"/>
              </w:rPr>
              <w:t>Care of community members</w:t>
            </w:r>
          </w:p>
        </w:tc>
      </w:tr>
      <w:tr w:rsidR="00C20FCD" w:rsidRPr="009A7163" w14:paraId="2A243137" w14:textId="77777777" w:rsidTr="00CB5642">
        <w:trPr>
          <w:trHeight w:val="780"/>
        </w:trPr>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14:paraId="7A7CE4DD" w14:textId="77777777" w:rsidR="00C20FCD" w:rsidRPr="009A7163" w:rsidRDefault="00C20FCD" w:rsidP="008C041F">
            <w:pPr>
              <w:rPr>
                <w:b/>
                <w:bCs/>
                <w:sz w:val="18"/>
                <w:szCs w:val="18"/>
                <w:lang w:eastAsia="en-GB"/>
              </w:rPr>
            </w:pPr>
            <w:r w:rsidRPr="009A7163">
              <w:rPr>
                <w:b/>
                <w:bCs/>
                <w:sz w:val="18"/>
                <w:szCs w:val="18"/>
                <w:lang w:eastAsia="en-GB"/>
              </w:rPr>
              <w:t>Women</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464E0F5" w14:textId="77777777" w:rsidR="00C20FCD" w:rsidRPr="009A7163" w:rsidRDefault="00C20FCD">
            <w:pPr>
              <w:rPr>
                <w:sz w:val="18"/>
                <w:szCs w:val="18"/>
                <w:lang w:eastAsia="en-GB"/>
              </w:rPr>
            </w:pPr>
            <w:r w:rsidRPr="009A7163">
              <w:rPr>
                <w:sz w:val="18"/>
                <w:szCs w:val="18"/>
                <w:lang w:eastAsia="en-GB"/>
              </w:rPr>
              <w:t>At least once a week</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4D16D56B"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single" w:sz="4" w:space="0" w:color="auto"/>
              <w:left w:val="single" w:sz="4" w:space="0" w:color="auto"/>
              <w:bottom w:val="single" w:sz="4" w:space="0" w:color="auto"/>
              <w:right w:val="single" w:sz="4" w:space="0" w:color="auto"/>
            </w:tcBorders>
            <w:shd w:val="clear" w:color="FF8080" w:fill="FF9999"/>
            <w:hideMark/>
          </w:tcPr>
          <w:p w14:paraId="00064F7A"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single" w:sz="4" w:space="0" w:color="auto"/>
              <w:left w:val="single" w:sz="4" w:space="0" w:color="auto"/>
              <w:bottom w:val="single" w:sz="4" w:space="0" w:color="auto"/>
              <w:right w:val="single" w:sz="4" w:space="0" w:color="auto"/>
            </w:tcBorders>
            <w:shd w:val="clear" w:color="FF8080" w:fill="FF9999"/>
            <w:hideMark/>
          </w:tcPr>
          <w:p w14:paraId="0D23BA7D" w14:textId="77777777" w:rsidR="00C20FCD" w:rsidRPr="009A7163" w:rsidRDefault="00C20FCD">
            <w:pPr>
              <w:rPr>
                <w:sz w:val="18"/>
                <w:szCs w:val="18"/>
                <w:lang w:eastAsia="en-GB"/>
              </w:rPr>
            </w:pPr>
            <w:r w:rsidRPr="009A7163">
              <w:rPr>
                <w:sz w:val="18"/>
                <w:szCs w:val="18"/>
                <w:lang w:eastAsia="en-GB"/>
              </w:rPr>
              <w:t>Once a day</w:t>
            </w:r>
          </w:p>
        </w:tc>
        <w:tc>
          <w:tcPr>
            <w:tcW w:w="990" w:type="dxa"/>
            <w:tcBorders>
              <w:top w:val="single" w:sz="4" w:space="0" w:color="auto"/>
              <w:left w:val="single" w:sz="4" w:space="0" w:color="auto"/>
              <w:bottom w:val="single" w:sz="4" w:space="0" w:color="auto"/>
              <w:right w:val="single" w:sz="4" w:space="0" w:color="auto"/>
            </w:tcBorders>
            <w:shd w:val="clear" w:color="FF8080" w:fill="FF9999"/>
            <w:hideMark/>
          </w:tcPr>
          <w:p w14:paraId="2EB6059C"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1801FBA6"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1F1FC5A1"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20ED7F6A"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14:paraId="523DDBC0"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0F99DF48" w14:textId="77777777" w:rsidTr="00CB5642">
        <w:trPr>
          <w:trHeight w:val="780"/>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4980C400" w14:textId="77777777" w:rsidR="00C20FCD" w:rsidRPr="009A7163" w:rsidRDefault="00C20FCD" w:rsidP="008C041F">
            <w:pPr>
              <w:rPr>
                <w:b/>
                <w:bCs/>
                <w:sz w:val="18"/>
                <w:szCs w:val="18"/>
                <w:lang w:eastAsia="en-GB"/>
              </w:rPr>
            </w:pPr>
            <w:r w:rsidRPr="009A7163">
              <w:rPr>
                <w:b/>
                <w:bCs/>
                <w:sz w:val="18"/>
                <w:szCs w:val="18"/>
                <w:lang w:eastAsia="en-GB"/>
              </w:rPr>
              <w:t>Spouse/Partners</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BEC169A" w14:textId="77777777" w:rsidR="00C20FCD" w:rsidRPr="009A7163" w:rsidRDefault="00C20FCD">
            <w:pPr>
              <w:rPr>
                <w:sz w:val="18"/>
                <w:szCs w:val="18"/>
                <w:lang w:eastAsia="en-GB"/>
              </w:rPr>
            </w:pPr>
            <w:r w:rsidRPr="009A7163">
              <w:rPr>
                <w:sz w:val="18"/>
                <w:szCs w:val="18"/>
                <w:lang w:eastAsia="en-GB"/>
              </w:rPr>
              <w:t>At least once a month</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5B2C13A5" w14:textId="77777777" w:rsidR="00C20FCD" w:rsidRPr="009A7163" w:rsidRDefault="00C20FCD">
            <w:pPr>
              <w:rPr>
                <w:sz w:val="18"/>
                <w:szCs w:val="18"/>
                <w:lang w:eastAsia="en-GB"/>
              </w:rPr>
            </w:pPr>
            <w:r w:rsidRPr="009A7163">
              <w:rPr>
                <w:sz w:val="18"/>
                <w:szCs w:val="18"/>
                <w:lang w:eastAsia="en-GB"/>
              </w:rPr>
              <w:t>At least once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44FA8AF7"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AB20064" w14:textId="77777777" w:rsidR="00C20FCD" w:rsidRPr="009A7163" w:rsidRDefault="00C20FCD">
            <w:pPr>
              <w:rPr>
                <w:sz w:val="18"/>
                <w:szCs w:val="18"/>
                <w:lang w:eastAsia="en-GB"/>
              </w:rPr>
            </w:pPr>
            <w:r w:rsidRPr="009A7163">
              <w:rPr>
                <w:sz w:val="18"/>
                <w:szCs w:val="18"/>
                <w:lang w:eastAsia="en-GB"/>
              </w:rPr>
              <w:t>At least once a month</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9C5F449"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3A398D4E"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4CEEBBAF"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7DA2F3F3"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14:paraId="6F75A723"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7A2A2144" w14:textId="77777777" w:rsidTr="00CB5642">
        <w:trPr>
          <w:trHeight w:val="1215"/>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1D17807C" w14:textId="77777777" w:rsidR="00C20FCD" w:rsidRPr="009A7163" w:rsidRDefault="00C20FCD" w:rsidP="008C041F">
            <w:pPr>
              <w:rPr>
                <w:b/>
                <w:bCs/>
                <w:sz w:val="18"/>
                <w:szCs w:val="18"/>
                <w:lang w:eastAsia="en-GB"/>
              </w:rPr>
            </w:pPr>
            <w:r w:rsidRPr="009A7163">
              <w:rPr>
                <w:b/>
                <w:bCs/>
                <w:sz w:val="18"/>
                <w:szCs w:val="18"/>
                <w:lang w:eastAsia="en-GB"/>
              </w:rPr>
              <w:t>Daughter, Niece, daughter in law, grandmother</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9A8D8C9" w14:textId="77777777" w:rsidR="00C20FCD" w:rsidRPr="009A7163" w:rsidRDefault="00C20FCD">
            <w:pPr>
              <w:rPr>
                <w:sz w:val="18"/>
                <w:szCs w:val="18"/>
                <w:lang w:eastAsia="en-GB"/>
              </w:rPr>
            </w:pPr>
            <w:r w:rsidRPr="009A7163">
              <w:rPr>
                <w:sz w:val="18"/>
                <w:szCs w:val="18"/>
                <w:lang w:eastAsia="en-GB"/>
              </w:rPr>
              <w:t>At least once a month</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4D91524A"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B0EAE5B"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5D43D237" w14:textId="77777777" w:rsidR="00C20FCD" w:rsidRPr="009A7163" w:rsidRDefault="00C20FCD">
            <w:pPr>
              <w:rPr>
                <w:sz w:val="18"/>
                <w:szCs w:val="18"/>
                <w:lang w:eastAsia="en-GB"/>
              </w:rPr>
            </w:pPr>
            <w:r w:rsidRPr="009A7163">
              <w:rPr>
                <w:sz w:val="18"/>
                <w:szCs w:val="18"/>
                <w:lang w:eastAsia="en-GB"/>
              </w:rPr>
              <w:t>At least once a week</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DE47D2C" w14:textId="77777777" w:rsidR="00C20FCD" w:rsidRPr="009A7163" w:rsidRDefault="00C20FCD">
            <w:pPr>
              <w:rPr>
                <w:sz w:val="18"/>
                <w:szCs w:val="18"/>
                <w:lang w:eastAsia="en-GB"/>
              </w:rPr>
            </w:pPr>
            <w:r w:rsidRPr="009A7163">
              <w:rPr>
                <w:sz w:val="18"/>
                <w:szCs w:val="18"/>
                <w:lang w:eastAsia="en-GB"/>
              </w:rPr>
              <w:t>At least once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11A2B7C3" w14:textId="77777777" w:rsidR="00C20FCD" w:rsidRPr="009A7163" w:rsidRDefault="00C20FCD">
            <w:pPr>
              <w:rPr>
                <w:sz w:val="18"/>
                <w:szCs w:val="18"/>
                <w:lang w:eastAsia="en-GB"/>
              </w:rPr>
            </w:pPr>
            <w:r w:rsidRPr="009A7163">
              <w:rPr>
                <w:sz w:val="18"/>
                <w:szCs w:val="18"/>
                <w:lang w:eastAsia="en-GB"/>
              </w:rPr>
              <w:t>At least once a week</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2A705EDA"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3F38EB6"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14:paraId="21B6BAD4"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174BA61D" w14:textId="77777777" w:rsidTr="00CB5642">
        <w:trPr>
          <w:trHeight w:val="1260"/>
        </w:trPr>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3D4B2E21" w14:textId="77777777" w:rsidR="00C20FCD" w:rsidRPr="009A7163" w:rsidRDefault="00C20FCD" w:rsidP="008C041F">
            <w:pPr>
              <w:rPr>
                <w:b/>
                <w:bCs/>
                <w:sz w:val="18"/>
                <w:szCs w:val="18"/>
                <w:lang w:eastAsia="en-GB"/>
              </w:rPr>
            </w:pPr>
            <w:r w:rsidRPr="009A7163">
              <w:rPr>
                <w:b/>
                <w:bCs/>
                <w:sz w:val="18"/>
                <w:szCs w:val="18"/>
                <w:lang w:eastAsia="en-GB"/>
              </w:rPr>
              <w:t>Son, son in law, nephew, husband in law</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8358EB8" w14:textId="77777777" w:rsidR="00C20FCD" w:rsidRPr="009A7163" w:rsidRDefault="00C20FCD">
            <w:pPr>
              <w:rPr>
                <w:sz w:val="18"/>
                <w:szCs w:val="18"/>
                <w:lang w:eastAsia="en-GB"/>
              </w:rPr>
            </w:pPr>
            <w:r w:rsidRPr="009A7163">
              <w:rPr>
                <w:sz w:val="18"/>
                <w:szCs w:val="18"/>
                <w:lang w:eastAsia="en-GB"/>
              </w:rPr>
              <w:t>At least once a month</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09B0DD72" w14:textId="77777777" w:rsidR="00C20FCD" w:rsidRPr="009A7163" w:rsidRDefault="00C20FCD">
            <w:pPr>
              <w:rPr>
                <w:sz w:val="18"/>
                <w:szCs w:val="18"/>
                <w:lang w:eastAsia="en-GB"/>
              </w:rPr>
            </w:pPr>
            <w:r w:rsidRPr="009A7163">
              <w:rPr>
                <w:sz w:val="18"/>
                <w:szCs w:val="18"/>
                <w:lang w:eastAsia="en-GB"/>
              </w:rPr>
              <w:t>At least once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612C2585"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5A8479D" w14:textId="77777777" w:rsidR="00C20FCD" w:rsidRPr="009A7163" w:rsidRDefault="00C20FCD">
            <w:pPr>
              <w:rPr>
                <w:sz w:val="18"/>
                <w:szCs w:val="18"/>
                <w:lang w:eastAsia="en-GB"/>
              </w:rPr>
            </w:pPr>
            <w:r w:rsidRPr="009A7163">
              <w:rPr>
                <w:sz w:val="18"/>
                <w:szCs w:val="18"/>
                <w:lang w:eastAsia="en-GB"/>
              </w:rPr>
              <w:t>At least once a week</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3D04C3E" w14:textId="77777777" w:rsidR="00C20FCD" w:rsidRPr="009A7163" w:rsidRDefault="00C20FCD">
            <w:pPr>
              <w:rPr>
                <w:sz w:val="18"/>
                <w:szCs w:val="18"/>
                <w:lang w:eastAsia="en-GB"/>
              </w:rPr>
            </w:pPr>
            <w:r w:rsidRPr="009A7163">
              <w:rPr>
                <w:sz w:val="18"/>
                <w:szCs w:val="18"/>
                <w:lang w:eastAsia="en-GB"/>
              </w:rPr>
              <w:t>At least once a week</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909CA40"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07A0F064"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4432D89C"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single" w:sz="4" w:space="0" w:color="auto"/>
              <w:left w:val="single" w:sz="4" w:space="0" w:color="auto"/>
              <w:bottom w:val="single" w:sz="4" w:space="0" w:color="auto"/>
              <w:right w:val="single" w:sz="4" w:space="0" w:color="auto"/>
            </w:tcBorders>
            <w:shd w:val="clear" w:color="auto" w:fill="auto"/>
            <w:hideMark/>
          </w:tcPr>
          <w:p w14:paraId="6DACBFEC" w14:textId="77777777" w:rsidR="00C20FCD" w:rsidRPr="009A7163" w:rsidRDefault="00C20FCD">
            <w:pPr>
              <w:rPr>
                <w:sz w:val="18"/>
                <w:szCs w:val="18"/>
                <w:lang w:eastAsia="en-GB"/>
              </w:rPr>
            </w:pPr>
            <w:r w:rsidRPr="009A7163">
              <w:rPr>
                <w:sz w:val="18"/>
                <w:szCs w:val="18"/>
                <w:lang w:eastAsia="en-GB"/>
              </w:rPr>
              <w:t>Never</w:t>
            </w:r>
          </w:p>
        </w:tc>
      </w:tr>
    </w:tbl>
    <w:p w14:paraId="4C30773C" w14:textId="2915D232" w:rsidR="00C20FCD" w:rsidRPr="009A7163" w:rsidRDefault="00832276" w:rsidP="007A3A29">
      <w:pPr>
        <w:tabs>
          <w:tab w:val="left" w:pos="1148"/>
        </w:tabs>
        <w:rPr>
          <w:rFonts w:eastAsiaTheme="minorHAnsi"/>
          <w:i/>
          <w:noProof/>
          <w:sz w:val="20"/>
          <w:szCs w:val="20"/>
          <w:lang w:eastAsia="en-GB"/>
        </w:rPr>
      </w:pPr>
      <w:r w:rsidRPr="009A7163">
        <w:rPr>
          <w:rFonts w:eastAsiaTheme="minorHAnsi"/>
          <w:i/>
          <w:noProof/>
          <w:sz w:val="20"/>
          <w:szCs w:val="20"/>
          <w:lang w:eastAsia="en-GB"/>
        </w:rPr>
        <w:t xml:space="preserve">Note: </w:t>
      </w:r>
      <w:r w:rsidRPr="009A7163">
        <w:rPr>
          <w:bCs/>
          <w:i/>
          <w:sz w:val="20"/>
          <w:szCs w:val="20"/>
        </w:rPr>
        <w:t>The information is based on 23 household surveys by women participants of the initiative. Two surveys were not used. Two of the 23 women do not have partners/spouses.</w:t>
      </w:r>
    </w:p>
    <w:p w14:paraId="7A5B0452" w14:textId="39447C3C" w:rsidR="00C20FCD" w:rsidRPr="009A7163" w:rsidRDefault="00C20FCD" w:rsidP="00293176">
      <w:pPr>
        <w:pStyle w:val="TableTOC"/>
        <w:rPr>
          <w:lang w:val="en-GB" w:eastAsia="en-GB"/>
        </w:rPr>
      </w:pPr>
      <w:bookmarkStart w:id="138" w:name="_Toc526710024"/>
      <w:r w:rsidRPr="009A7163">
        <w:rPr>
          <w:lang w:val="en-GB" w:eastAsia="en-GB"/>
        </w:rPr>
        <w:t xml:space="preserve">Table </w:t>
      </w:r>
      <w:r w:rsidR="00A133BF" w:rsidRPr="009A7163">
        <w:rPr>
          <w:lang w:val="en-GB" w:eastAsia="en-GB"/>
        </w:rPr>
        <w:t>6.5</w:t>
      </w:r>
      <w:r w:rsidRPr="009A7163">
        <w:rPr>
          <w:lang w:val="en-GB" w:eastAsia="en-GB"/>
        </w:rPr>
        <w:t>. Household Survey, Question 6.21, La Reina (9 interviewees with Women Participants)</w:t>
      </w:r>
      <w:bookmarkEnd w:id="138"/>
    </w:p>
    <w:tbl>
      <w:tblPr>
        <w:tblW w:w="9037" w:type="dxa"/>
        <w:tblInd w:w="-5" w:type="dxa"/>
        <w:tblLayout w:type="fixed"/>
        <w:tblLook w:val="04A0" w:firstRow="1" w:lastRow="0" w:firstColumn="1" w:lastColumn="0" w:noHBand="0" w:noVBand="1"/>
      </w:tblPr>
      <w:tblGrid>
        <w:gridCol w:w="1170"/>
        <w:gridCol w:w="990"/>
        <w:gridCol w:w="1350"/>
        <w:gridCol w:w="900"/>
        <w:gridCol w:w="990"/>
        <w:gridCol w:w="900"/>
        <w:gridCol w:w="900"/>
        <w:gridCol w:w="540"/>
        <w:gridCol w:w="540"/>
        <w:gridCol w:w="757"/>
      </w:tblGrid>
      <w:tr w:rsidR="00C20FCD" w:rsidRPr="009A7163" w14:paraId="12F2E8CA" w14:textId="77777777" w:rsidTr="00CB5642">
        <w:trPr>
          <w:trHeight w:val="1152"/>
        </w:trPr>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14:paraId="10C1C197" w14:textId="77777777" w:rsidR="00C20FCD" w:rsidRPr="009A7163" w:rsidRDefault="00C20FCD">
            <w:pPr>
              <w:rPr>
                <w:sz w:val="18"/>
                <w:szCs w:val="18"/>
                <w:lang w:eastAsia="en-GB"/>
              </w:rPr>
            </w:pPr>
            <w:r w:rsidRPr="009A7163">
              <w:rPr>
                <w:sz w:val="18"/>
                <w:szCs w:val="18"/>
                <w:lang w:eastAsia="en-GB"/>
              </w:rPr>
              <w:t> </w:t>
            </w:r>
          </w:p>
        </w:tc>
        <w:tc>
          <w:tcPr>
            <w:tcW w:w="990" w:type="dxa"/>
            <w:tcBorders>
              <w:top w:val="single" w:sz="4" w:space="0" w:color="000000"/>
              <w:left w:val="nil"/>
              <w:bottom w:val="single" w:sz="4" w:space="0" w:color="000000"/>
              <w:right w:val="single" w:sz="4" w:space="0" w:color="000000"/>
            </w:tcBorders>
            <w:shd w:val="clear" w:color="auto" w:fill="auto"/>
            <w:hideMark/>
          </w:tcPr>
          <w:p w14:paraId="742C84CF" w14:textId="77777777" w:rsidR="00C20FCD" w:rsidRPr="009A7163" w:rsidRDefault="00C20FCD">
            <w:pPr>
              <w:rPr>
                <w:sz w:val="18"/>
                <w:szCs w:val="18"/>
                <w:lang w:eastAsia="en-GB"/>
              </w:rPr>
            </w:pPr>
            <w:r w:rsidRPr="009A7163">
              <w:rPr>
                <w:sz w:val="18"/>
                <w:szCs w:val="18"/>
                <w:lang w:eastAsia="en-GB"/>
              </w:rPr>
              <w:t>Water collection</w:t>
            </w:r>
          </w:p>
        </w:tc>
        <w:tc>
          <w:tcPr>
            <w:tcW w:w="1350" w:type="dxa"/>
            <w:tcBorders>
              <w:top w:val="single" w:sz="4" w:space="0" w:color="000000"/>
              <w:left w:val="nil"/>
              <w:bottom w:val="single" w:sz="4" w:space="0" w:color="000000"/>
              <w:right w:val="single" w:sz="4" w:space="0" w:color="000000"/>
            </w:tcBorders>
            <w:shd w:val="clear" w:color="auto" w:fill="auto"/>
            <w:hideMark/>
          </w:tcPr>
          <w:p w14:paraId="6AEFF9EC" w14:textId="77777777" w:rsidR="00C20FCD" w:rsidRPr="009A7163" w:rsidRDefault="00C20FCD">
            <w:pPr>
              <w:rPr>
                <w:sz w:val="18"/>
                <w:szCs w:val="18"/>
                <w:lang w:eastAsia="en-GB"/>
              </w:rPr>
            </w:pPr>
            <w:r w:rsidRPr="009A7163">
              <w:rPr>
                <w:sz w:val="18"/>
                <w:szCs w:val="18"/>
                <w:lang w:eastAsia="en-GB"/>
              </w:rPr>
              <w:t>Collecting firewood</w:t>
            </w:r>
          </w:p>
        </w:tc>
        <w:tc>
          <w:tcPr>
            <w:tcW w:w="900" w:type="dxa"/>
            <w:tcBorders>
              <w:top w:val="single" w:sz="4" w:space="0" w:color="000000"/>
              <w:left w:val="nil"/>
              <w:bottom w:val="single" w:sz="4" w:space="0" w:color="000000"/>
              <w:right w:val="single" w:sz="4" w:space="0" w:color="000000"/>
            </w:tcBorders>
            <w:shd w:val="clear" w:color="auto" w:fill="auto"/>
            <w:hideMark/>
          </w:tcPr>
          <w:p w14:paraId="1353D556" w14:textId="77777777" w:rsidR="00C20FCD" w:rsidRPr="009A7163" w:rsidRDefault="00C20FCD">
            <w:pPr>
              <w:rPr>
                <w:sz w:val="18"/>
                <w:szCs w:val="18"/>
                <w:lang w:eastAsia="en-GB"/>
              </w:rPr>
            </w:pPr>
            <w:r w:rsidRPr="009A7163">
              <w:rPr>
                <w:sz w:val="18"/>
                <w:szCs w:val="18"/>
                <w:lang w:eastAsia="en-GB"/>
              </w:rPr>
              <w:t>Meal preparation/Washing dishes</w:t>
            </w:r>
          </w:p>
        </w:tc>
        <w:tc>
          <w:tcPr>
            <w:tcW w:w="990" w:type="dxa"/>
            <w:tcBorders>
              <w:top w:val="single" w:sz="4" w:space="0" w:color="000000"/>
              <w:left w:val="nil"/>
              <w:bottom w:val="single" w:sz="4" w:space="0" w:color="000000"/>
              <w:right w:val="single" w:sz="4" w:space="0" w:color="000000"/>
            </w:tcBorders>
            <w:shd w:val="clear" w:color="auto" w:fill="auto"/>
            <w:hideMark/>
          </w:tcPr>
          <w:p w14:paraId="122C0ECD" w14:textId="77777777" w:rsidR="00C20FCD" w:rsidRPr="009A7163" w:rsidRDefault="00C20FCD">
            <w:pPr>
              <w:rPr>
                <w:sz w:val="18"/>
                <w:szCs w:val="18"/>
                <w:lang w:eastAsia="en-GB"/>
              </w:rPr>
            </w:pPr>
            <w:r w:rsidRPr="009A7163">
              <w:rPr>
                <w:sz w:val="18"/>
                <w:szCs w:val="18"/>
                <w:lang w:eastAsia="en-GB"/>
              </w:rPr>
              <w:t>Cleaning and organizing the house</w:t>
            </w:r>
          </w:p>
        </w:tc>
        <w:tc>
          <w:tcPr>
            <w:tcW w:w="900" w:type="dxa"/>
            <w:tcBorders>
              <w:top w:val="single" w:sz="4" w:space="0" w:color="000000"/>
              <w:left w:val="nil"/>
              <w:bottom w:val="single" w:sz="4" w:space="0" w:color="000000"/>
              <w:right w:val="single" w:sz="4" w:space="0" w:color="000000"/>
            </w:tcBorders>
            <w:shd w:val="clear" w:color="auto" w:fill="auto"/>
            <w:hideMark/>
          </w:tcPr>
          <w:p w14:paraId="3F4077AF" w14:textId="77777777" w:rsidR="00C20FCD" w:rsidRPr="009A7163" w:rsidRDefault="00C20FCD">
            <w:pPr>
              <w:rPr>
                <w:sz w:val="18"/>
                <w:szCs w:val="18"/>
                <w:lang w:eastAsia="en-GB"/>
              </w:rPr>
            </w:pPr>
            <w:r w:rsidRPr="009A7163">
              <w:rPr>
                <w:sz w:val="18"/>
                <w:szCs w:val="18"/>
                <w:lang w:eastAsia="en-GB"/>
              </w:rPr>
              <w:t>Washing/drying/ironing/mending clothes</w:t>
            </w:r>
          </w:p>
        </w:tc>
        <w:tc>
          <w:tcPr>
            <w:tcW w:w="900" w:type="dxa"/>
            <w:tcBorders>
              <w:top w:val="single" w:sz="4" w:space="0" w:color="000000"/>
              <w:left w:val="nil"/>
              <w:bottom w:val="single" w:sz="4" w:space="0" w:color="000000"/>
              <w:right w:val="single" w:sz="4" w:space="0" w:color="000000"/>
            </w:tcBorders>
            <w:shd w:val="clear" w:color="auto" w:fill="auto"/>
            <w:hideMark/>
          </w:tcPr>
          <w:p w14:paraId="273C4AAB" w14:textId="77777777" w:rsidR="00C20FCD" w:rsidRPr="009A7163" w:rsidRDefault="00C20FCD">
            <w:pPr>
              <w:rPr>
                <w:sz w:val="18"/>
                <w:szCs w:val="18"/>
                <w:lang w:eastAsia="en-GB"/>
              </w:rPr>
            </w:pPr>
            <w:r w:rsidRPr="009A7163">
              <w:rPr>
                <w:sz w:val="18"/>
                <w:szCs w:val="18"/>
                <w:lang w:eastAsia="en-GB"/>
              </w:rPr>
              <w:t>Childcare</w:t>
            </w:r>
          </w:p>
        </w:tc>
        <w:tc>
          <w:tcPr>
            <w:tcW w:w="540" w:type="dxa"/>
            <w:tcBorders>
              <w:top w:val="single" w:sz="4" w:space="0" w:color="000000"/>
              <w:left w:val="nil"/>
              <w:bottom w:val="single" w:sz="4" w:space="0" w:color="000000"/>
              <w:right w:val="single" w:sz="4" w:space="0" w:color="000000"/>
            </w:tcBorders>
            <w:shd w:val="clear" w:color="auto" w:fill="auto"/>
            <w:hideMark/>
          </w:tcPr>
          <w:p w14:paraId="4F0950A5" w14:textId="77777777" w:rsidR="00C20FCD" w:rsidRPr="009A7163" w:rsidRDefault="00C20FCD">
            <w:pPr>
              <w:rPr>
                <w:sz w:val="18"/>
                <w:szCs w:val="18"/>
                <w:lang w:eastAsia="en-GB"/>
              </w:rPr>
            </w:pPr>
            <w:r w:rsidRPr="009A7163">
              <w:rPr>
                <w:sz w:val="18"/>
                <w:szCs w:val="18"/>
                <w:lang w:eastAsia="en-GB"/>
              </w:rPr>
              <w:t>Elderly care</w:t>
            </w:r>
          </w:p>
        </w:tc>
        <w:tc>
          <w:tcPr>
            <w:tcW w:w="540" w:type="dxa"/>
            <w:tcBorders>
              <w:top w:val="single" w:sz="4" w:space="0" w:color="000000"/>
              <w:left w:val="nil"/>
              <w:bottom w:val="single" w:sz="4" w:space="0" w:color="000000"/>
              <w:right w:val="single" w:sz="4" w:space="0" w:color="000000"/>
            </w:tcBorders>
            <w:shd w:val="clear" w:color="auto" w:fill="auto"/>
            <w:hideMark/>
          </w:tcPr>
          <w:p w14:paraId="3367B191" w14:textId="77777777" w:rsidR="00C20FCD" w:rsidRPr="009A7163" w:rsidRDefault="00C20FCD">
            <w:pPr>
              <w:rPr>
                <w:sz w:val="18"/>
                <w:szCs w:val="18"/>
                <w:lang w:eastAsia="en-GB"/>
              </w:rPr>
            </w:pPr>
            <w:r w:rsidRPr="009A7163">
              <w:rPr>
                <w:sz w:val="18"/>
                <w:szCs w:val="18"/>
                <w:lang w:eastAsia="en-GB"/>
              </w:rPr>
              <w:t>Care of ill/disabled</w:t>
            </w:r>
          </w:p>
        </w:tc>
        <w:tc>
          <w:tcPr>
            <w:tcW w:w="757" w:type="dxa"/>
            <w:tcBorders>
              <w:top w:val="single" w:sz="4" w:space="0" w:color="000000"/>
              <w:left w:val="nil"/>
              <w:bottom w:val="single" w:sz="4" w:space="0" w:color="000000"/>
              <w:right w:val="single" w:sz="4" w:space="0" w:color="000000"/>
            </w:tcBorders>
            <w:shd w:val="clear" w:color="auto" w:fill="auto"/>
            <w:hideMark/>
          </w:tcPr>
          <w:p w14:paraId="2C13E989" w14:textId="77777777" w:rsidR="00C20FCD" w:rsidRPr="009A7163" w:rsidRDefault="00C20FCD">
            <w:pPr>
              <w:rPr>
                <w:sz w:val="18"/>
                <w:szCs w:val="18"/>
                <w:lang w:eastAsia="en-GB"/>
              </w:rPr>
            </w:pPr>
            <w:r w:rsidRPr="009A7163">
              <w:rPr>
                <w:sz w:val="18"/>
                <w:szCs w:val="18"/>
                <w:lang w:eastAsia="en-GB"/>
              </w:rPr>
              <w:t>Care of community members</w:t>
            </w:r>
          </w:p>
        </w:tc>
      </w:tr>
      <w:tr w:rsidR="00C20FCD" w:rsidRPr="009A7163" w14:paraId="58DC5AC6"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0BD953D2" w14:textId="77777777" w:rsidR="00C20FCD" w:rsidRPr="009A7163" w:rsidRDefault="00C20FCD" w:rsidP="008C041F">
            <w:pPr>
              <w:rPr>
                <w:b/>
                <w:bCs/>
                <w:sz w:val="18"/>
                <w:szCs w:val="18"/>
                <w:lang w:eastAsia="en-GB"/>
              </w:rPr>
            </w:pPr>
            <w:r w:rsidRPr="009A7163">
              <w:rPr>
                <w:b/>
                <w:bCs/>
                <w:sz w:val="18"/>
                <w:szCs w:val="18"/>
                <w:lang w:eastAsia="en-GB"/>
              </w:rPr>
              <w:t>Women</w:t>
            </w:r>
          </w:p>
        </w:tc>
        <w:tc>
          <w:tcPr>
            <w:tcW w:w="990" w:type="dxa"/>
            <w:tcBorders>
              <w:top w:val="nil"/>
              <w:left w:val="nil"/>
              <w:bottom w:val="single" w:sz="4" w:space="0" w:color="000000"/>
              <w:right w:val="single" w:sz="4" w:space="0" w:color="000000"/>
            </w:tcBorders>
            <w:shd w:val="clear" w:color="auto" w:fill="auto"/>
            <w:hideMark/>
          </w:tcPr>
          <w:p w14:paraId="2B7148E0" w14:textId="77777777" w:rsidR="00C20FCD" w:rsidRPr="009A7163" w:rsidRDefault="00C20FCD">
            <w:pPr>
              <w:rPr>
                <w:sz w:val="18"/>
                <w:szCs w:val="18"/>
                <w:lang w:eastAsia="en-GB"/>
              </w:rPr>
            </w:pPr>
            <w:r w:rsidRPr="009A7163">
              <w:rPr>
                <w:sz w:val="18"/>
                <w:szCs w:val="18"/>
                <w:lang w:eastAsia="en-GB"/>
              </w:rPr>
              <w:t>At least once a month</w:t>
            </w:r>
          </w:p>
        </w:tc>
        <w:tc>
          <w:tcPr>
            <w:tcW w:w="1350" w:type="dxa"/>
            <w:tcBorders>
              <w:top w:val="nil"/>
              <w:left w:val="nil"/>
              <w:bottom w:val="single" w:sz="4" w:space="0" w:color="000000"/>
              <w:right w:val="single" w:sz="4" w:space="0" w:color="000000"/>
            </w:tcBorders>
            <w:shd w:val="clear" w:color="auto" w:fill="auto"/>
            <w:hideMark/>
          </w:tcPr>
          <w:p w14:paraId="34058BF2"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FF8080" w:fill="FF9999"/>
            <w:hideMark/>
          </w:tcPr>
          <w:p w14:paraId="53D6A332" w14:textId="77777777" w:rsidR="00C20FCD" w:rsidRPr="009A7163" w:rsidRDefault="00C20FCD">
            <w:pPr>
              <w:rPr>
                <w:sz w:val="18"/>
                <w:szCs w:val="18"/>
                <w:lang w:eastAsia="en-GB"/>
              </w:rPr>
            </w:pPr>
            <w:r w:rsidRPr="009A7163">
              <w:rPr>
                <w:sz w:val="18"/>
                <w:szCs w:val="18"/>
                <w:lang w:eastAsia="en-GB"/>
              </w:rPr>
              <w:t>Several times a day</w:t>
            </w:r>
          </w:p>
        </w:tc>
        <w:tc>
          <w:tcPr>
            <w:tcW w:w="990" w:type="dxa"/>
            <w:tcBorders>
              <w:top w:val="nil"/>
              <w:left w:val="nil"/>
              <w:bottom w:val="single" w:sz="4" w:space="0" w:color="000000"/>
              <w:right w:val="single" w:sz="4" w:space="0" w:color="000000"/>
            </w:tcBorders>
            <w:shd w:val="clear" w:color="FF8080" w:fill="FF9999"/>
            <w:hideMark/>
          </w:tcPr>
          <w:p w14:paraId="6C3F9EA9"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nil"/>
              <w:left w:val="nil"/>
              <w:bottom w:val="single" w:sz="4" w:space="0" w:color="000000"/>
              <w:right w:val="single" w:sz="4" w:space="0" w:color="000000"/>
            </w:tcBorders>
            <w:shd w:val="clear" w:color="FF8080" w:fill="FF9999"/>
            <w:hideMark/>
          </w:tcPr>
          <w:p w14:paraId="5FB6B001" w14:textId="77777777" w:rsidR="00C20FCD" w:rsidRPr="009A7163" w:rsidRDefault="00C20FCD">
            <w:pPr>
              <w:rPr>
                <w:sz w:val="18"/>
                <w:szCs w:val="18"/>
                <w:lang w:eastAsia="en-GB"/>
              </w:rPr>
            </w:pPr>
            <w:r w:rsidRPr="009A7163">
              <w:rPr>
                <w:sz w:val="18"/>
                <w:szCs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7E8B04E1" w14:textId="77777777" w:rsidR="00C20FCD" w:rsidRPr="009A7163" w:rsidRDefault="00C20FCD">
            <w:pPr>
              <w:rPr>
                <w:sz w:val="18"/>
                <w:szCs w:val="18"/>
                <w:lang w:eastAsia="en-GB"/>
              </w:rPr>
            </w:pPr>
            <w:r w:rsidRPr="009A7163">
              <w:rPr>
                <w:sz w:val="18"/>
                <w:szCs w:val="18"/>
                <w:lang w:eastAsia="en-GB"/>
              </w:rPr>
              <w:t>At least once a week</w:t>
            </w:r>
          </w:p>
        </w:tc>
        <w:tc>
          <w:tcPr>
            <w:tcW w:w="540" w:type="dxa"/>
            <w:tcBorders>
              <w:top w:val="nil"/>
              <w:left w:val="nil"/>
              <w:bottom w:val="single" w:sz="4" w:space="0" w:color="000000"/>
              <w:right w:val="single" w:sz="4" w:space="0" w:color="000000"/>
            </w:tcBorders>
            <w:shd w:val="clear" w:color="auto" w:fill="auto"/>
            <w:hideMark/>
          </w:tcPr>
          <w:p w14:paraId="364728DF"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nil"/>
              <w:left w:val="nil"/>
              <w:bottom w:val="single" w:sz="4" w:space="0" w:color="000000"/>
              <w:right w:val="single" w:sz="4" w:space="0" w:color="000000"/>
            </w:tcBorders>
            <w:shd w:val="clear" w:color="auto" w:fill="auto"/>
            <w:hideMark/>
          </w:tcPr>
          <w:p w14:paraId="62F7B3AC"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53B4C452"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3CA637F2" w14:textId="77777777" w:rsidTr="00CB5642">
        <w:trPr>
          <w:trHeight w:val="520"/>
        </w:trPr>
        <w:tc>
          <w:tcPr>
            <w:tcW w:w="1170" w:type="dxa"/>
            <w:tcBorders>
              <w:top w:val="nil"/>
              <w:left w:val="single" w:sz="4" w:space="0" w:color="000000"/>
              <w:bottom w:val="single" w:sz="4" w:space="0" w:color="000000"/>
              <w:right w:val="single" w:sz="4" w:space="0" w:color="000000"/>
            </w:tcBorders>
            <w:shd w:val="clear" w:color="auto" w:fill="auto"/>
            <w:hideMark/>
          </w:tcPr>
          <w:p w14:paraId="189347BB" w14:textId="77777777" w:rsidR="00C20FCD" w:rsidRPr="009A7163" w:rsidRDefault="00C20FCD" w:rsidP="008C041F">
            <w:pPr>
              <w:rPr>
                <w:b/>
                <w:bCs/>
                <w:sz w:val="18"/>
                <w:szCs w:val="18"/>
                <w:lang w:eastAsia="en-GB"/>
              </w:rPr>
            </w:pPr>
            <w:r w:rsidRPr="009A7163">
              <w:rPr>
                <w:b/>
                <w:bCs/>
                <w:sz w:val="18"/>
                <w:szCs w:val="18"/>
                <w:lang w:eastAsia="en-GB"/>
              </w:rPr>
              <w:t>Spouses/partners</w:t>
            </w:r>
          </w:p>
        </w:tc>
        <w:tc>
          <w:tcPr>
            <w:tcW w:w="990" w:type="dxa"/>
            <w:tcBorders>
              <w:top w:val="nil"/>
              <w:left w:val="nil"/>
              <w:bottom w:val="single" w:sz="4" w:space="0" w:color="000000"/>
              <w:right w:val="single" w:sz="4" w:space="0" w:color="000000"/>
            </w:tcBorders>
            <w:shd w:val="clear" w:color="auto" w:fill="auto"/>
            <w:hideMark/>
          </w:tcPr>
          <w:p w14:paraId="653396B1" w14:textId="77777777" w:rsidR="00C20FCD" w:rsidRPr="009A7163" w:rsidRDefault="00C20FCD">
            <w:pPr>
              <w:rPr>
                <w:sz w:val="18"/>
                <w:szCs w:val="18"/>
                <w:lang w:eastAsia="en-GB"/>
              </w:rPr>
            </w:pPr>
            <w:r w:rsidRPr="009A7163">
              <w:rPr>
                <w:sz w:val="18"/>
                <w:szCs w:val="18"/>
                <w:lang w:eastAsia="en-GB"/>
              </w:rPr>
              <w:t>At least once a month</w:t>
            </w:r>
          </w:p>
        </w:tc>
        <w:tc>
          <w:tcPr>
            <w:tcW w:w="1350" w:type="dxa"/>
            <w:tcBorders>
              <w:top w:val="nil"/>
              <w:left w:val="nil"/>
              <w:bottom w:val="single" w:sz="4" w:space="0" w:color="000000"/>
              <w:right w:val="single" w:sz="4" w:space="0" w:color="000000"/>
            </w:tcBorders>
            <w:shd w:val="clear" w:color="auto" w:fill="auto"/>
            <w:hideMark/>
          </w:tcPr>
          <w:p w14:paraId="0728E244"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467CF5A3" w14:textId="77777777" w:rsidR="00C20FCD" w:rsidRPr="009A7163" w:rsidRDefault="00C20FCD">
            <w:pPr>
              <w:rPr>
                <w:sz w:val="18"/>
                <w:szCs w:val="18"/>
                <w:lang w:eastAsia="en-GB"/>
              </w:rPr>
            </w:pPr>
            <w:r w:rsidRPr="009A7163">
              <w:rPr>
                <w:sz w:val="18"/>
                <w:szCs w:val="18"/>
                <w:lang w:eastAsia="en-GB"/>
              </w:rPr>
              <w:t>At least once a month</w:t>
            </w:r>
          </w:p>
        </w:tc>
        <w:tc>
          <w:tcPr>
            <w:tcW w:w="990" w:type="dxa"/>
            <w:tcBorders>
              <w:top w:val="nil"/>
              <w:left w:val="nil"/>
              <w:bottom w:val="single" w:sz="4" w:space="0" w:color="000000"/>
              <w:right w:val="single" w:sz="4" w:space="0" w:color="000000"/>
            </w:tcBorders>
            <w:shd w:val="clear" w:color="auto" w:fill="auto"/>
            <w:hideMark/>
          </w:tcPr>
          <w:p w14:paraId="42E84B20"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6496ED74"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0D206B63"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nil"/>
              <w:left w:val="nil"/>
              <w:bottom w:val="single" w:sz="4" w:space="0" w:color="000000"/>
              <w:right w:val="single" w:sz="4" w:space="0" w:color="000000"/>
            </w:tcBorders>
            <w:shd w:val="clear" w:color="auto" w:fill="auto"/>
            <w:hideMark/>
          </w:tcPr>
          <w:p w14:paraId="2FC46C30"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1D774242"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0335A922"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18498116"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4FBD1A67" w14:textId="77777777" w:rsidR="00C20FCD" w:rsidRPr="009A7163" w:rsidRDefault="00C20FCD" w:rsidP="008C041F">
            <w:pPr>
              <w:rPr>
                <w:b/>
                <w:bCs/>
                <w:sz w:val="18"/>
                <w:szCs w:val="18"/>
                <w:lang w:eastAsia="en-GB"/>
              </w:rPr>
            </w:pPr>
            <w:r w:rsidRPr="009A7163">
              <w:rPr>
                <w:b/>
                <w:bCs/>
                <w:sz w:val="18"/>
                <w:szCs w:val="18"/>
                <w:lang w:eastAsia="en-GB"/>
              </w:rPr>
              <w:t>Daughters, nieces, daughters in law</w:t>
            </w:r>
          </w:p>
        </w:tc>
        <w:tc>
          <w:tcPr>
            <w:tcW w:w="990" w:type="dxa"/>
            <w:tcBorders>
              <w:top w:val="nil"/>
              <w:left w:val="nil"/>
              <w:bottom w:val="single" w:sz="4" w:space="0" w:color="000000"/>
              <w:right w:val="single" w:sz="4" w:space="0" w:color="000000"/>
            </w:tcBorders>
            <w:shd w:val="clear" w:color="auto" w:fill="auto"/>
            <w:hideMark/>
          </w:tcPr>
          <w:p w14:paraId="24AAC9F2" w14:textId="77777777" w:rsidR="00C20FCD" w:rsidRPr="009A7163" w:rsidRDefault="00C20FCD">
            <w:pPr>
              <w:rPr>
                <w:sz w:val="18"/>
                <w:szCs w:val="18"/>
                <w:lang w:eastAsia="en-GB"/>
              </w:rPr>
            </w:pPr>
            <w:r w:rsidRPr="009A7163">
              <w:rPr>
                <w:sz w:val="18"/>
                <w:szCs w:val="18"/>
                <w:lang w:eastAsia="en-GB"/>
              </w:rPr>
              <w:t>Once a day</w:t>
            </w:r>
          </w:p>
        </w:tc>
        <w:tc>
          <w:tcPr>
            <w:tcW w:w="1350" w:type="dxa"/>
            <w:tcBorders>
              <w:top w:val="nil"/>
              <w:left w:val="nil"/>
              <w:bottom w:val="single" w:sz="4" w:space="0" w:color="000000"/>
              <w:right w:val="single" w:sz="4" w:space="0" w:color="000000"/>
            </w:tcBorders>
            <w:shd w:val="clear" w:color="auto" w:fill="auto"/>
            <w:hideMark/>
          </w:tcPr>
          <w:p w14:paraId="47120B4D"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1A486044" w14:textId="77777777" w:rsidR="00C20FCD" w:rsidRPr="009A7163" w:rsidRDefault="00C20FCD">
            <w:pPr>
              <w:rPr>
                <w:sz w:val="18"/>
                <w:szCs w:val="18"/>
                <w:lang w:eastAsia="en-GB"/>
              </w:rPr>
            </w:pPr>
            <w:r w:rsidRPr="009A7163">
              <w:rPr>
                <w:sz w:val="18"/>
                <w:szCs w:val="18"/>
                <w:lang w:eastAsia="en-GB"/>
              </w:rPr>
              <w:t>Once a day</w:t>
            </w:r>
          </w:p>
        </w:tc>
        <w:tc>
          <w:tcPr>
            <w:tcW w:w="990" w:type="dxa"/>
            <w:tcBorders>
              <w:top w:val="nil"/>
              <w:left w:val="nil"/>
              <w:bottom w:val="single" w:sz="4" w:space="0" w:color="000000"/>
              <w:right w:val="single" w:sz="4" w:space="0" w:color="000000"/>
            </w:tcBorders>
            <w:shd w:val="clear" w:color="auto" w:fill="auto"/>
            <w:hideMark/>
          </w:tcPr>
          <w:p w14:paraId="65A1DBA1"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nil"/>
              <w:left w:val="nil"/>
              <w:bottom w:val="single" w:sz="4" w:space="0" w:color="000000"/>
              <w:right w:val="single" w:sz="4" w:space="0" w:color="000000"/>
            </w:tcBorders>
            <w:shd w:val="clear" w:color="auto" w:fill="auto"/>
            <w:hideMark/>
          </w:tcPr>
          <w:p w14:paraId="0D73A1E8" w14:textId="77777777" w:rsidR="00C20FCD" w:rsidRPr="009A7163" w:rsidRDefault="00C20FCD">
            <w:pPr>
              <w:rPr>
                <w:sz w:val="18"/>
                <w:szCs w:val="18"/>
                <w:lang w:eastAsia="en-GB"/>
              </w:rPr>
            </w:pPr>
            <w:r w:rsidRPr="009A7163">
              <w:rPr>
                <w:sz w:val="18"/>
                <w:szCs w:val="18"/>
                <w:lang w:eastAsia="en-GB"/>
              </w:rPr>
              <w:t>Once a day</w:t>
            </w:r>
          </w:p>
        </w:tc>
        <w:tc>
          <w:tcPr>
            <w:tcW w:w="900" w:type="dxa"/>
            <w:tcBorders>
              <w:top w:val="nil"/>
              <w:left w:val="nil"/>
              <w:bottom w:val="single" w:sz="4" w:space="0" w:color="000000"/>
              <w:right w:val="single" w:sz="4" w:space="0" w:color="000000"/>
            </w:tcBorders>
            <w:shd w:val="clear" w:color="auto" w:fill="auto"/>
            <w:hideMark/>
          </w:tcPr>
          <w:p w14:paraId="281702C5" w14:textId="77777777" w:rsidR="00C20FCD" w:rsidRPr="009A7163" w:rsidRDefault="00C20FCD">
            <w:pPr>
              <w:rPr>
                <w:sz w:val="18"/>
                <w:szCs w:val="18"/>
                <w:lang w:eastAsia="en-GB"/>
              </w:rPr>
            </w:pPr>
            <w:r w:rsidRPr="009A7163">
              <w:rPr>
                <w:sz w:val="18"/>
                <w:szCs w:val="18"/>
                <w:lang w:eastAsia="en-GB"/>
              </w:rPr>
              <w:t>At least once a week</w:t>
            </w:r>
          </w:p>
        </w:tc>
        <w:tc>
          <w:tcPr>
            <w:tcW w:w="540" w:type="dxa"/>
            <w:tcBorders>
              <w:top w:val="nil"/>
              <w:left w:val="nil"/>
              <w:bottom w:val="single" w:sz="4" w:space="0" w:color="000000"/>
              <w:right w:val="single" w:sz="4" w:space="0" w:color="000000"/>
            </w:tcBorders>
            <w:shd w:val="clear" w:color="auto" w:fill="auto"/>
            <w:hideMark/>
          </w:tcPr>
          <w:p w14:paraId="15D20FF8"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nil"/>
              <w:left w:val="nil"/>
              <w:bottom w:val="single" w:sz="4" w:space="0" w:color="000000"/>
              <w:right w:val="single" w:sz="4" w:space="0" w:color="000000"/>
            </w:tcBorders>
            <w:shd w:val="clear" w:color="auto" w:fill="auto"/>
            <w:hideMark/>
          </w:tcPr>
          <w:p w14:paraId="36BB4CC0"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4A7C294E" w14:textId="77777777" w:rsidR="00C20FCD" w:rsidRPr="009A7163" w:rsidRDefault="00C20FCD">
            <w:pPr>
              <w:rPr>
                <w:sz w:val="18"/>
                <w:szCs w:val="18"/>
                <w:lang w:eastAsia="en-GB"/>
              </w:rPr>
            </w:pPr>
            <w:r w:rsidRPr="009A7163">
              <w:rPr>
                <w:sz w:val="18"/>
                <w:szCs w:val="18"/>
                <w:lang w:eastAsia="en-GB"/>
              </w:rPr>
              <w:t>Never</w:t>
            </w:r>
          </w:p>
        </w:tc>
      </w:tr>
      <w:tr w:rsidR="00C20FCD" w:rsidRPr="009A7163" w14:paraId="11A8135F"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56E9E41C" w14:textId="77777777" w:rsidR="00C20FCD" w:rsidRPr="009A7163" w:rsidRDefault="00C20FCD" w:rsidP="008C041F">
            <w:pPr>
              <w:rPr>
                <w:b/>
                <w:bCs/>
                <w:sz w:val="18"/>
                <w:szCs w:val="18"/>
                <w:lang w:eastAsia="en-GB"/>
              </w:rPr>
            </w:pPr>
            <w:r w:rsidRPr="009A7163">
              <w:rPr>
                <w:b/>
                <w:bCs/>
                <w:sz w:val="18"/>
                <w:szCs w:val="18"/>
                <w:lang w:eastAsia="en-GB"/>
              </w:rPr>
              <w:t>Sons/Nephews/sons in law</w:t>
            </w:r>
          </w:p>
        </w:tc>
        <w:tc>
          <w:tcPr>
            <w:tcW w:w="990" w:type="dxa"/>
            <w:tcBorders>
              <w:top w:val="nil"/>
              <w:left w:val="nil"/>
              <w:bottom w:val="single" w:sz="4" w:space="0" w:color="000000"/>
              <w:right w:val="single" w:sz="4" w:space="0" w:color="000000"/>
            </w:tcBorders>
            <w:shd w:val="clear" w:color="auto" w:fill="auto"/>
            <w:hideMark/>
          </w:tcPr>
          <w:p w14:paraId="65E0EC13" w14:textId="77777777" w:rsidR="00C20FCD" w:rsidRPr="009A7163" w:rsidRDefault="00C20FCD">
            <w:pPr>
              <w:rPr>
                <w:sz w:val="18"/>
                <w:szCs w:val="18"/>
                <w:lang w:eastAsia="en-GB"/>
              </w:rPr>
            </w:pPr>
            <w:r w:rsidRPr="009A7163">
              <w:rPr>
                <w:sz w:val="18"/>
                <w:szCs w:val="18"/>
                <w:lang w:eastAsia="en-GB"/>
              </w:rPr>
              <w:t>At least once a week</w:t>
            </w:r>
          </w:p>
        </w:tc>
        <w:tc>
          <w:tcPr>
            <w:tcW w:w="1350" w:type="dxa"/>
            <w:tcBorders>
              <w:top w:val="nil"/>
              <w:left w:val="nil"/>
              <w:bottom w:val="single" w:sz="4" w:space="0" w:color="000000"/>
              <w:right w:val="single" w:sz="4" w:space="0" w:color="000000"/>
            </w:tcBorders>
            <w:shd w:val="clear" w:color="auto" w:fill="auto"/>
            <w:hideMark/>
          </w:tcPr>
          <w:p w14:paraId="00CD6FF2"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644C3EA0" w14:textId="77777777" w:rsidR="00C20FCD" w:rsidRPr="009A7163" w:rsidRDefault="00C20FCD">
            <w:pPr>
              <w:rPr>
                <w:sz w:val="18"/>
                <w:szCs w:val="18"/>
                <w:lang w:eastAsia="en-GB"/>
              </w:rPr>
            </w:pPr>
            <w:r w:rsidRPr="009A7163">
              <w:rPr>
                <w:sz w:val="18"/>
                <w:szCs w:val="18"/>
                <w:lang w:eastAsia="en-GB"/>
              </w:rPr>
              <w:t>At least once a month</w:t>
            </w:r>
          </w:p>
        </w:tc>
        <w:tc>
          <w:tcPr>
            <w:tcW w:w="990" w:type="dxa"/>
            <w:tcBorders>
              <w:top w:val="nil"/>
              <w:left w:val="nil"/>
              <w:bottom w:val="single" w:sz="4" w:space="0" w:color="000000"/>
              <w:right w:val="single" w:sz="4" w:space="0" w:color="000000"/>
            </w:tcBorders>
            <w:shd w:val="clear" w:color="auto" w:fill="auto"/>
            <w:hideMark/>
          </w:tcPr>
          <w:p w14:paraId="5C0B644E"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3C13E405" w14:textId="77777777" w:rsidR="00C20FCD" w:rsidRPr="009A7163" w:rsidRDefault="00C20FCD">
            <w:pPr>
              <w:rPr>
                <w:sz w:val="18"/>
                <w:szCs w:val="18"/>
                <w:lang w:eastAsia="en-GB"/>
              </w:rPr>
            </w:pPr>
            <w:r w:rsidRPr="009A7163">
              <w:rPr>
                <w:sz w:val="18"/>
                <w:szCs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621F6BEE" w14:textId="77777777" w:rsidR="00C20FCD" w:rsidRPr="009A7163" w:rsidRDefault="00C20FCD">
            <w:pPr>
              <w:rPr>
                <w:sz w:val="18"/>
                <w:szCs w:val="18"/>
                <w:lang w:eastAsia="en-GB"/>
              </w:rPr>
            </w:pPr>
            <w:r w:rsidRPr="009A7163">
              <w:rPr>
                <w:sz w:val="18"/>
                <w:szCs w:val="18"/>
                <w:lang w:eastAsia="en-GB"/>
              </w:rPr>
              <w:t>At least once a month</w:t>
            </w:r>
          </w:p>
        </w:tc>
        <w:tc>
          <w:tcPr>
            <w:tcW w:w="540" w:type="dxa"/>
            <w:tcBorders>
              <w:top w:val="nil"/>
              <w:left w:val="nil"/>
              <w:bottom w:val="single" w:sz="4" w:space="0" w:color="000000"/>
              <w:right w:val="single" w:sz="4" w:space="0" w:color="000000"/>
            </w:tcBorders>
            <w:shd w:val="clear" w:color="auto" w:fill="auto"/>
            <w:hideMark/>
          </w:tcPr>
          <w:p w14:paraId="6A7C7AAD" w14:textId="77777777" w:rsidR="00C20FCD" w:rsidRPr="009A7163" w:rsidRDefault="00C20FCD">
            <w:pPr>
              <w:rPr>
                <w:sz w:val="18"/>
                <w:szCs w:val="18"/>
                <w:lang w:eastAsia="en-GB"/>
              </w:rPr>
            </w:pPr>
            <w:r w:rsidRPr="009A7163">
              <w:rPr>
                <w:sz w:val="18"/>
                <w:szCs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447B2A4B" w14:textId="77777777" w:rsidR="00C20FCD" w:rsidRPr="009A7163" w:rsidRDefault="00C20FCD">
            <w:pPr>
              <w:rPr>
                <w:sz w:val="18"/>
                <w:szCs w:val="18"/>
                <w:lang w:eastAsia="en-GB"/>
              </w:rPr>
            </w:pPr>
            <w:r w:rsidRPr="009A7163">
              <w:rPr>
                <w:sz w:val="18"/>
                <w:szCs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44126B38" w14:textId="77777777" w:rsidR="00C20FCD" w:rsidRPr="009A7163" w:rsidRDefault="00C20FCD">
            <w:pPr>
              <w:rPr>
                <w:sz w:val="18"/>
                <w:szCs w:val="18"/>
                <w:lang w:eastAsia="en-GB"/>
              </w:rPr>
            </w:pPr>
            <w:r w:rsidRPr="009A7163">
              <w:rPr>
                <w:sz w:val="18"/>
                <w:szCs w:val="18"/>
                <w:lang w:eastAsia="en-GB"/>
              </w:rPr>
              <w:t>Never</w:t>
            </w:r>
          </w:p>
        </w:tc>
      </w:tr>
    </w:tbl>
    <w:p w14:paraId="1367FA1A" w14:textId="5009B1BF" w:rsidR="00C20FCD" w:rsidRPr="009A7163" w:rsidRDefault="00C20FCD" w:rsidP="00293176">
      <w:pPr>
        <w:pStyle w:val="TableTOC"/>
        <w:rPr>
          <w:lang w:val="en-GB" w:eastAsia="en-GB"/>
        </w:rPr>
      </w:pPr>
      <w:bookmarkStart w:id="139" w:name="_Toc526710025"/>
      <w:r w:rsidRPr="009A7163">
        <w:rPr>
          <w:lang w:val="en-GB" w:eastAsia="en-GB"/>
        </w:rPr>
        <w:lastRenderedPageBreak/>
        <w:t xml:space="preserve">Table </w:t>
      </w:r>
      <w:r w:rsidR="00A133BF" w:rsidRPr="009A7163">
        <w:rPr>
          <w:lang w:val="en-GB" w:eastAsia="en-GB"/>
        </w:rPr>
        <w:t>6.6</w:t>
      </w:r>
      <w:r w:rsidRPr="009A7163">
        <w:rPr>
          <w:lang w:val="en-GB" w:eastAsia="en-GB"/>
        </w:rPr>
        <w:t>. Household Survey, Question 6.21, La Pita and La Reina combined (5 total interviewees with Partners)</w:t>
      </w:r>
      <w:bookmarkEnd w:id="139"/>
    </w:p>
    <w:tbl>
      <w:tblPr>
        <w:tblW w:w="9037" w:type="dxa"/>
        <w:tblInd w:w="-10" w:type="dxa"/>
        <w:tblLayout w:type="fixed"/>
        <w:tblLook w:val="04A0" w:firstRow="1" w:lastRow="0" w:firstColumn="1" w:lastColumn="0" w:noHBand="0" w:noVBand="1"/>
      </w:tblPr>
      <w:tblGrid>
        <w:gridCol w:w="1170"/>
        <w:gridCol w:w="1267"/>
        <w:gridCol w:w="1073"/>
        <w:gridCol w:w="900"/>
        <w:gridCol w:w="900"/>
        <w:gridCol w:w="990"/>
        <w:gridCol w:w="900"/>
        <w:gridCol w:w="540"/>
        <w:gridCol w:w="540"/>
        <w:gridCol w:w="757"/>
      </w:tblGrid>
      <w:tr w:rsidR="00C20FCD" w:rsidRPr="009A7163" w14:paraId="76B2C740" w14:textId="77777777" w:rsidTr="00CB5642">
        <w:trPr>
          <w:trHeight w:val="1560"/>
        </w:trPr>
        <w:tc>
          <w:tcPr>
            <w:tcW w:w="1170" w:type="dxa"/>
            <w:tcBorders>
              <w:top w:val="single" w:sz="4" w:space="0" w:color="000000"/>
              <w:left w:val="single" w:sz="4" w:space="0" w:color="000000"/>
              <w:bottom w:val="single" w:sz="4" w:space="0" w:color="000000"/>
              <w:right w:val="single" w:sz="4" w:space="0" w:color="000000"/>
            </w:tcBorders>
            <w:shd w:val="clear" w:color="auto" w:fill="auto"/>
            <w:hideMark/>
          </w:tcPr>
          <w:p w14:paraId="16F27B1C" w14:textId="77777777" w:rsidR="00C20FCD" w:rsidRPr="009A7163" w:rsidRDefault="00C20FCD">
            <w:pPr>
              <w:rPr>
                <w:sz w:val="18"/>
                <w:lang w:eastAsia="en-GB"/>
              </w:rPr>
            </w:pPr>
            <w:r w:rsidRPr="009A7163">
              <w:rPr>
                <w:sz w:val="18"/>
                <w:lang w:eastAsia="en-GB"/>
              </w:rPr>
              <w:t> </w:t>
            </w:r>
          </w:p>
        </w:tc>
        <w:tc>
          <w:tcPr>
            <w:tcW w:w="1267" w:type="dxa"/>
            <w:tcBorders>
              <w:top w:val="single" w:sz="4" w:space="0" w:color="000000"/>
              <w:left w:val="nil"/>
              <w:bottom w:val="single" w:sz="4" w:space="0" w:color="000000"/>
              <w:right w:val="single" w:sz="4" w:space="0" w:color="000000"/>
            </w:tcBorders>
            <w:shd w:val="clear" w:color="auto" w:fill="auto"/>
            <w:hideMark/>
          </w:tcPr>
          <w:p w14:paraId="6F699578" w14:textId="77777777" w:rsidR="00C20FCD" w:rsidRPr="009A7163" w:rsidRDefault="00C20FCD">
            <w:pPr>
              <w:rPr>
                <w:sz w:val="18"/>
                <w:lang w:eastAsia="en-GB"/>
              </w:rPr>
            </w:pPr>
            <w:r w:rsidRPr="009A7163">
              <w:rPr>
                <w:sz w:val="18"/>
                <w:lang w:eastAsia="en-GB"/>
              </w:rPr>
              <w:t>Water collection</w:t>
            </w:r>
          </w:p>
        </w:tc>
        <w:tc>
          <w:tcPr>
            <w:tcW w:w="1073" w:type="dxa"/>
            <w:tcBorders>
              <w:top w:val="single" w:sz="4" w:space="0" w:color="000000"/>
              <w:left w:val="nil"/>
              <w:bottom w:val="single" w:sz="4" w:space="0" w:color="000000"/>
              <w:right w:val="single" w:sz="4" w:space="0" w:color="000000"/>
            </w:tcBorders>
            <w:shd w:val="clear" w:color="auto" w:fill="auto"/>
            <w:hideMark/>
          </w:tcPr>
          <w:p w14:paraId="4098148E" w14:textId="77777777" w:rsidR="00C20FCD" w:rsidRPr="009A7163" w:rsidRDefault="00C20FCD">
            <w:pPr>
              <w:rPr>
                <w:sz w:val="18"/>
                <w:lang w:eastAsia="en-GB"/>
              </w:rPr>
            </w:pPr>
            <w:r w:rsidRPr="009A7163">
              <w:rPr>
                <w:sz w:val="18"/>
                <w:lang w:eastAsia="en-GB"/>
              </w:rPr>
              <w:t>Collecting firewood</w:t>
            </w:r>
          </w:p>
        </w:tc>
        <w:tc>
          <w:tcPr>
            <w:tcW w:w="900" w:type="dxa"/>
            <w:tcBorders>
              <w:top w:val="single" w:sz="4" w:space="0" w:color="000000"/>
              <w:left w:val="nil"/>
              <w:bottom w:val="single" w:sz="4" w:space="0" w:color="000000"/>
              <w:right w:val="single" w:sz="4" w:space="0" w:color="000000"/>
            </w:tcBorders>
            <w:shd w:val="clear" w:color="auto" w:fill="auto"/>
            <w:hideMark/>
          </w:tcPr>
          <w:p w14:paraId="25595E15" w14:textId="77777777" w:rsidR="00C20FCD" w:rsidRPr="009A7163" w:rsidRDefault="00C20FCD">
            <w:pPr>
              <w:rPr>
                <w:sz w:val="18"/>
                <w:lang w:eastAsia="en-GB"/>
              </w:rPr>
            </w:pPr>
            <w:r w:rsidRPr="009A7163">
              <w:rPr>
                <w:sz w:val="18"/>
                <w:lang w:eastAsia="en-GB"/>
              </w:rPr>
              <w:t>Meal preparation/washing dishes</w:t>
            </w:r>
          </w:p>
        </w:tc>
        <w:tc>
          <w:tcPr>
            <w:tcW w:w="900" w:type="dxa"/>
            <w:tcBorders>
              <w:top w:val="single" w:sz="4" w:space="0" w:color="000000"/>
              <w:left w:val="nil"/>
              <w:bottom w:val="single" w:sz="4" w:space="0" w:color="000000"/>
              <w:right w:val="single" w:sz="4" w:space="0" w:color="000000"/>
            </w:tcBorders>
            <w:shd w:val="clear" w:color="auto" w:fill="auto"/>
            <w:hideMark/>
          </w:tcPr>
          <w:p w14:paraId="707B24F1" w14:textId="77777777" w:rsidR="00C20FCD" w:rsidRPr="009A7163" w:rsidRDefault="00C20FCD">
            <w:pPr>
              <w:rPr>
                <w:sz w:val="18"/>
                <w:lang w:eastAsia="en-GB"/>
              </w:rPr>
            </w:pPr>
            <w:r w:rsidRPr="009A7163">
              <w:rPr>
                <w:sz w:val="18"/>
                <w:lang w:eastAsia="en-GB"/>
              </w:rPr>
              <w:t>Cleaning and organizing the house</w:t>
            </w:r>
          </w:p>
        </w:tc>
        <w:tc>
          <w:tcPr>
            <w:tcW w:w="990" w:type="dxa"/>
            <w:tcBorders>
              <w:top w:val="single" w:sz="4" w:space="0" w:color="000000"/>
              <w:left w:val="nil"/>
              <w:bottom w:val="single" w:sz="4" w:space="0" w:color="000000"/>
              <w:right w:val="single" w:sz="4" w:space="0" w:color="000000"/>
            </w:tcBorders>
            <w:shd w:val="clear" w:color="auto" w:fill="auto"/>
            <w:hideMark/>
          </w:tcPr>
          <w:p w14:paraId="3F451F2C" w14:textId="77777777" w:rsidR="00C20FCD" w:rsidRPr="009A7163" w:rsidRDefault="00C20FCD">
            <w:pPr>
              <w:rPr>
                <w:sz w:val="18"/>
                <w:lang w:eastAsia="en-GB"/>
              </w:rPr>
            </w:pPr>
            <w:r w:rsidRPr="009A7163">
              <w:rPr>
                <w:sz w:val="18"/>
                <w:lang w:eastAsia="en-GB"/>
              </w:rPr>
              <w:t>Washing/drying/ironing/mending clothes</w:t>
            </w:r>
          </w:p>
        </w:tc>
        <w:tc>
          <w:tcPr>
            <w:tcW w:w="900" w:type="dxa"/>
            <w:tcBorders>
              <w:top w:val="single" w:sz="4" w:space="0" w:color="000000"/>
              <w:left w:val="nil"/>
              <w:bottom w:val="single" w:sz="4" w:space="0" w:color="000000"/>
              <w:right w:val="single" w:sz="4" w:space="0" w:color="000000"/>
            </w:tcBorders>
            <w:shd w:val="clear" w:color="auto" w:fill="auto"/>
            <w:hideMark/>
          </w:tcPr>
          <w:p w14:paraId="59C9AAEE" w14:textId="77777777" w:rsidR="00C20FCD" w:rsidRPr="009A7163" w:rsidRDefault="00C20FCD">
            <w:pPr>
              <w:rPr>
                <w:sz w:val="18"/>
                <w:lang w:eastAsia="en-GB"/>
              </w:rPr>
            </w:pPr>
            <w:r w:rsidRPr="009A7163">
              <w:rPr>
                <w:sz w:val="18"/>
                <w:lang w:eastAsia="en-GB"/>
              </w:rPr>
              <w:t>Childcare</w:t>
            </w:r>
          </w:p>
        </w:tc>
        <w:tc>
          <w:tcPr>
            <w:tcW w:w="540" w:type="dxa"/>
            <w:tcBorders>
              <w:top w:val="single" w:sz="4" w:space="0" w:color="000000"/>
              <w:left w:val="nil"/>
              <w:bottom w:val="single" w:sz="4" w:space="0" w:color="000000"/>
              <w:right w:val="single" w:sz="4" w:space="0" w:color="000000"/>
            </w:tcBorders>
            <w:shd w:val="clear" w:color="auto" w:fill="auto"/>
            <w:hideMark/>
          </w:tcPr>
          <w:p w14:paraId="28AF6566" w14:textId="77777777" w:rsidR="00C20FCD" w:rsidRPr="009A7163" w:rsidRDefault="00C20FCD">
            <w:pPr>
              <w:rPr>
                <w:sz w:val="18"/>
                <w:lang w:eastAsia="en-GB"/>
              </w:rPr>
            </w:pPr>
            <w:r w:rsidRPr="009A7163">
              <w:rPr>
                <w:sz w:val="18"/>
                <w:lang w:eastAsia="en-GB"/>
              </w:rPr>
              <w:t>Elderly care</w:t>
            </w:r>
          </w:p>
        </w:tc>
        <w:tc>
          <w:tcPr>
            <w:tcW w:w="540" w:type="dxa"/>
            <w:tcBorders>
              <w:top w:val="single" w:sz="4" w:space="0" w:color="000000"/>
              <w:left w:val="nil"/>
              <w:bottom w:val="single" w:sz="4" w:space="0" w:color="000000"/>
              <w:right w:val="single" w:sz="4" w:space="0" w:color="000000"/>
            </w:tcBorders>
            <w:shd w:val="clear" w:color="auto" w:fill="auto"/>
            <w:hideMark/>
          </w:tcPr>
          <w:p w14:paraId="6BD1B3F9" w14:textId="77777777" w:rsidR="00C20FCD" w:rsidRPr="009A7163" w:rsidRDefault="00C20FCD">
            <w:pPr>
              <w:rPr>
                <w:sz w:val="18"/>
                <w:lang w:eastAsia="en-GB"/>
              </w:rPr>
            </w:pPr>
            <w:r w:rsidRPr="009A7163">
              <w:rPr>
                <w:sz w:val="18"/>
                <w:lang w:eastAsia="en-GB"/>
              </w:rPr>
              <w:t>Care of ill/disabled</w:t>
            </w:r>
          </w:p>
        </w:tc>
        <w:tc>
          <w:tcPr>
            <w:tcW w:w="757" w:type="dxa"/>
            <w:tcBorders>
              <w:top w:val="single" w:sz="4" w:space="0" w:color="000000"/>
              <w:left w:val="nil"/>
              <w:bottom w:val="single" w:sz="4" w:space="0" w:color="000000"/>
              <w:right w:val="single" w:sz="4" w:space="0" w:color="000000"/>
            </w:tcBorders>
            <w:shd w:val="clear" w:color="auto" w:fill="auto"/>
            <w:hideMark/>
          </w:tcPr>
          <w:p w14:paraId="66F240F4" w14:textId="77777777" w:rsidR="00C20FCD" w:rsidRPr="009A7163" w:rsidRDefault="00C20FCD">
            <w:pPr>
              <w:rPr>
                <w:sz w:val="18"/>
                <w:lang w:eastAsia="en-GB"/>
              </w:rPr>
            </w:pPr>
            <w:r w:rsidRPr="009A7163">
              <w:rPr>
                <w:sz w:val="18"/>
                <w:lang w:eastAsia="en-GB"/>
              </w:rPr>
              <w:t>Care of community members</w:t>
            </w:r>
          </w:p>
        </w:tc>
      </w:tr>
      <w:tr w:rsidR="00C20FCD" w:rsidRPr="009A7163" w14:paraId="701894E8"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4392D0B2" w14:textId="77777777" w:rsidR="00C20FCD" w:rsidRPr="009A7163" w:rsidRDefault="00C20FCD" w:rsidP="008C041F">
            <w:pPr>
              <w:rPr>
                <w:b/>
                <w:bCs/>
                <w:sz w:val="18"/>
                <w:lang w:eastAsia="en-GB"/>
              </w:rPr>
            </w:pPr>
            <w:r w:rsidRPr="009A7163">
              <w:rPr>
                <w:b/>
                <w:bCs/>
                <w:sz w:val="18"/>
                <w:lang w:eastAsia="en-GB"/>
              </w:rPr>
              <w:t>Women</w:t>
            </w:r>
          </w:p>
        </w:tc>
        <w:tc>
          <w:tcPr>
            <w:tcW w:w="1267" w:type="dxa"/>
            <w:tcBorders>
              <w:top w:val="nil"/>
              <w:left w:val="nil"/>
              <w:bottom w:val="single" w:sz="4" w:space="0" w:color="000000"/>
              <w:right w:val="single" w:sz="4" w:space="0" w:color="000000"/>
            </w:tcBorders>
            <w:shd w:val="clear" w:color="auto" w:fill="auto"/>
            <w:hideMark/>
          </w:tcPr>
          <w:p w14:paraId="725D0C9C" w14:textId="77777777" w:rsidR="00C20FCD" w:rsidRPr="009A7163" w:rsidRDefault="00C20FCD">
            <w:pPr>
              <w:rPr>
                <w:sz w:val="18"/>
                <w:lang w:eastAsia="en-GB"/>
              </w:rPr>
            </w:pPr>
            <w:r w:rsidRPr="009A7163">
              <w:rPr>
                <w:sz w:val="18"/>
                <w:lang w:eastAsia="en-GB"/>
              </w:rPr>
              <w:t>At least once a week</w:t>
            </w:r>
          </w:p>
        </w:tc>
        <w:tc>
          <w:tcPr>
            <w:tcW w:w="1073" w:type="dxa"/>
            <w:tcBorders>
              <w:top w:val="nil"/>
              <w:left w:val="nil"/>
              <w:bottom w:val="single" w:sz="4" w:space="0" w:color="000000"/>
              <w:right w:val="single" w:sz="4" w:space="0" w:color="000000"/>
            </w:tcBorders>
            <w:shd w:val="clear" w:color="auto" w:fill="auto"/>
            <w:hideMark/>
          </w:tcPr>
          <w:p w14:paraId="76B9B59A" w14:textId="77777777" w:rsidR="00C20FCD" w:rsidRPr="009A7163" w:rsidRDefault="00C20FCD">
            <w:pPr>
              <w:rPr>
                <w:sz w:val="18"/>
                <w:lang w:eastAsia="en-GB"/>
              </w:rPr>
            </w:pPr>
            <w:r w:rsidRPr="009A7163">
              <w:rPr>
                <w:sz w:val="18"/>
                <w:lang w:eastAsia="en-GB"/>
              </w:rPr>
              <w:t>Never</w:t>
            </w:r>
          </w:p>
        </w:tc>
        <w:tc>
          <w:tcPr>
            <w:tcW w:w="900" w:type="dxa"/>
            <w:tcBorders>
              <w:top w:val="nil"/>
              <w:left w:val="nil"/>
              <w:bottom w:val="single" w:sz="4" w:space="0" w:color="000000"/>
              <w:right w:val="single" w:sz="4" w:space="0" w:color="000000"/>
            </w:tcBorders>
            <w:shd w:val="clear" w:color="FF8080" w:fill="FF9999"/>
            <w:hideMark/>
          </w:tcPr>
          <w:p w14:paraId="4D78DBBE" w14:textId="77777777" w:rsidR="00C20FCD" w:rsidRPr="009A7163" w:rsidRDefault="00C20FCD">
            <w:pPr>
              <w:rPr>
                <w:sz w:val="18"/>
                <w:lang w:eastAsia="en-GB"/>
              </w:rPr>
            </w:pPr>
            <w:r w:rsidRPr="009A7163">
              <w:rPr>
                <w:sz w:val="18"/>
                <w:lang w:eastAsia="en-GB"/>
              </w:rPr>
              <w:t>Once a day</w:t>
            </w:r>
          </w:p>
        </w:tc>
        <w:tc>
          <w:tcPr>
            <w:tcW w:w="900" w:type="dxa"/>
            <w:tcBorders>
              <w:top w:val="nil"/>
              <w:left w:val="nil"/>
              <w:bottom w:val="single" w:sz="4" w:space="0" w:color="000000"/>
              <w:right w:val="single" w:sz="4" w:space="0" w:color="000000"/>
            </w:tcBorders>
            <w:shd w:val="clear" w:color="FF8080" w:fill="FF9999"/>
            <w:hideMark/>
          </w:tcPr>
          <w:p w14:paraId="3092D92C" w14:textId="77777777" w:rsidR="00C20FCD" w:rsidRPr="009A7163" w:rsidRDefault="00C20FCD">
            <w:pPr>
              <w:rPr>
                <w:sz w:val="18"/>
                <w:lang w:eastAsia="en-GB"/>
              </w:rPr>
            </w:pPr>
            <w:r w:rsidRPr="009A7163">
              <w:rPr>
                <w:sz w:val="18"/>
                <w:lang w:eastAsia="en-GB"/>
              </w:rPr>
              <w:t xml:space="preserve">Once a day </w:t>
            </w:r>
          </w:p>
        </w:tc>
        <w:tc>
          <w:tcPr>
            <w:tcW w:w="990" w:type="dxa"/>
            <w:tcBorders>
              <w:top w:val="nil"/>
              <w:left w:val="nil"/>
              <w:bottom w:val="single" w:sz="4" w:space="0" w:color="000000"/>
              <w:right w:val="single" w:sz="4" w:space="0" w:color="000000"/>
            </w:tcBorders>
            <w:shd w:val="clear" w:color="FF8080" w:fill="FF9999"/>
            <w:hideMark/>
          </w:tcPr>
          <w:p w14:paraId="0CA23BF6" w14:textId="77777777" w:rsidR="00C20FCD" w:rsidRPr="009A7163" w:rsidRDefault="00C20FCD">
            <w:pPr>
              <w:rPr>
                <w:sz w:val="18"/>
                <w:lang w:eastAsia="en-GB"/>
              </w:rPr>
            </w:pPr>
            <w:r w:rsidRPr="009A7163">
              <w:rPr>
                <w:sz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46E31114" w14:textId="77777777" w:rsidR="00C20FCD" w:rsidRPr="009A7163" w:rsidRDefault="00C20FCD">
            <w:pPr>
              <w:rPr>
                <w:sz w:val="18"/>
                <w:lang w:eastAsia="en-GB"/>
              </w:rPr>
            </w:pPr>
            <w:r w:rsidRPr="009A7163">
              <w:rPr>
                <w:sz w:val="18"/>
                <w:lang w:eastAsia="en-GB"/>
              </w:rPr>
              <w:t>At least once a week</w:t>
            </w:r>
          </w:p>
        </w:tc>
        <w:tc>
          <w:tcPr>
            <w:tcW w:w="540" w:type="dxa"/>
            <w:tcBorders>
              <w:top w:val="nil"/>
              <w:left w:val="nil"/>
              <w:bottom w:val="single" w:sz="4" w:space="0" w:color="000000"/>
              <w:right w:val="single" w:sz="4" w:space="0" w:color="000000"/>
            </w:tcBorders>
            <w:shd w:val="clear" w:color="auto" w:fill="auto"/>
            <w:hideMark/>
          </w:tcPr>
          <w:p w14:paraId="1012F566" w14:textId="77777777" w:rsidR="00C20FCD" w:rsidRPr="009A7163" w:rsidRDefault="00C20FCD">
            <w:pPr>
              <w:rPr>
                <w:sz w:val="18"/>
                <w:lang w:eastAsia="en-GB"/>
              </w:rPr>
            </w:pPr>
            <w:r w:rsidRPr="009A7163">
              <w:rPr>
                <w:sz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425D0852" w14:textId="77777777" w:rsidR="00C20FCD" w:rsidRPr="009A7163" w:rsidRDefault="00C20FCD">
            <w:pPr>
              <w:rPr>
                <w:sz w:val="18"/>
                <w:lang w:eastAsia="en-GB"/>
              </w:rPr>
            </w:pPr>
            <w:r w:rsidRPr="009A7163">
              <w:rPr>
                <w:sz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06150976" w14:textId="77777777" w:rsidR="00C20FCD" w:rsidRPr="009A7163" w:rsidRDefault="00C20FCD">
            <w:pPr>
              <w:rPr>
                <w:sz w:val="18"/>
                <w:lang w:eastAsia="en-GB"/>
              </w:rPr>
            </w:pPr>
            <w:r w:rsidRPr="009A7163">
              <w:rPr>
                <w:sz w:val="18"/>
                <w:lang w:eastAsia="en-GB"/>
              </w:rPr>
              <w:t>Never</w:t>
            </w:r>
          </w:p>
        </w:tc>
      </w:tr>
      <w:tr w:rsidR="00C20FCD" w:rsidRPr="009A7163" w14:paraId="46F65CC3"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7A158C74" w14:textId="77777777" w:rsidR="00C20FCD" w:rsidRPr="009A7163" w:rsidRDefault="00C20FCD" w:rsidP="008C041F">
            <w:pPr>
              <w:rPr>
                <w:b/>
                <w:bCs/>
                <w:sz w:val="18"/>
                <w:lang w:eastAsia="en-GB"/>
              </w:rPr>
            </w:pPr>
            <w:r w:rsidRPr="009A7163">
              <w:rPr>
                <w:b/>
                <w:bCs/>
                <w:sz w:val="18"/>
                <w:lang w:eastAsia="en-GB"/>
              </w:rPr>
              <w:t>Spouses/partners</w:t>
            </w:r>
          </w:p>
        </w:tc>
        <w:tc>
          <w:tcPr>
            <w:tcW w:w="1267" w:type="dxa"/>
            <w:tcBorders>
              <w:top w:val="nil"/>
              <w:left w:val="nil"/>
              <w:bottom w:val="single" w:sz="4" w:space="0" w:color="000000"/>
              <w:right w:val="single" w:sz="4" w:space="0" w:color="000000"/>
            </w:tcBorders>
            <w:shd w:val="clear" w:color="auto" w:fill="auto"/>
            <w:hideMark/>
          </w:tcPr>
          <w:p w14:paraId="27BA27DE" w14:textId="77777777" w:rsidR="00C20FCD" w:rsidRPr="009A7163" w:rsidRDefault="00C20FCD">
            <w:pPr>
              <w:rPr>
                <w:rFonts w:eastAsiaTheme="minorHAnsi"/>
                <w:sz w:val="18"/>
                <w:lang w:eastAsia="en-GB"/>
              </w:rPr>
            </w:pPr>
            <w:r w:rsidRPr="009A7163">
              <w:rPr>
                <w:rFonts w:eastAsiaTheme="minorHAnsi"/>
                <w:sz w:val="18"/>
                <w:lang w:eastAsia="en-GB"/>
              </w:rPr>
              <w:t xml:space="preserve">At least once a week </w:t>
            </w:r>
          </w:p>
        </w:tc>
        <w:tc>
          <w:tcPr>
            <w:tcW w:w="1073" w:type="dxa"/>
            <w:tcBorders>
              <w:top w:val="nil"/>
              <w:left w:val="nil"/>
              <w:bottom w:val="single" w:sz="4" w:space="0" w:color="000000"/>
              <w:right w:val="single" w:sz="4" w:space="0" w:color="000000"/>
            </w:tcBorders>
            <w:shd w:val="clear" w:color="auto" w:fill="auto"/>
            <w:hideMark/>
          </w:tcPr>
          <w:p w14:paraId="2B982E84" w14:textId="77777777" w:rsidR="00C20FCD" w:rsidRPr="009A7163" w:rsidRDefault="00C20FCD">
            <w:pPr>
              <w:rPr>
                <w:rFonts w:eastAsiaTheme="minorHAnsi"/>
                <w:sz w:val="18"/>
                <w:lang w:eastAsia="en-GB"/>
              </w:rPr>
            </w:pPr>
            <w:r w:rsidRPr="009A7163">
              <w:rPr>
                <w:rFonts w:eastAsiaTheme="minorHAnsi"/>
                <w:sz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083D40A5" w14:textId="77777777" w:rsidR="00C20FCD" w:rsidRPr="009A7163" w:rsidRDefault="00C20FCD">
            <w:pPr>
              <w:rPr>
                <w:rFonts w:eastAsiaTheme="minorHAnsi"/>
                <w:sz w:val="18"/>
                <w:lang w:eastAsia="en-GB"/>
              </w:rPr>
            </w:pPr>
            <w:r w:rsidRPr="009A7163">
              <w:rPr>
                <w:rFonts w:eastAsiaTheme="minorHAnsi"/>
                <w:sz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30E5A062" w14:textId="77777777" w:rsidR="00C20FCD" w:rsidRPr="009A7163" w:rsidRDefault="00C20FCD">
            <w:pPr>
              <w:rPr>
                <w:rFonts w:eastAsiaTheme="minorHAnsi"/>
                <w:sz w:val="18"/>
                <w:lang w:eastAsia="en-GB"/>
              </w:rPr>
            </w:pPr>
            <w:r w:rsidRPr="009A7163">
              <w:rPr>
                <w:rFonts w:eastAsiaTheme="minorHAnsi"/>
                <w:sz w:val="18"/>
                <w:lang w:eastAsia="en-GB"/>
              </w:rPr>
              <w:t>At least once a week</w:t>
            </w:r>
          </w:p>
        </w:tc>
        <w:tc>
          <w:tcPr>
            <w:tcW w:w="990" w:type="dxa"/>
            <w:tcBorders>
              <w:top w:val="nil"/>
              <w:left w:val="nil"/>
              <w:bottom w:val="single" w:sz="4" w:space="0" w:color="000000"/>
              <w:right w:val="single" w:sz="4" w:space="0" w:color="000000"/>
            </w:tcBorders>
            <w:shd w:val="clear" w:color="auto" w:fill="auto"/>
            <w:hideMark/>
          </w:tcPr>
          <w:p w14:paraId="74468A0B" w14:textId="77777777" w:rsidR="00C20FCD" w:rsidRPr="009A7163" w:rsidRDefault="00C20FCD">
            <w:pPr>
              <w:rPr>
                <w:sz w:val="18"/>
                <w:lang w:eastAsia="en-GB"/>
              </w:rPr>
            </w:pPr>
            <w:r w:rsidRPr="009A7163">
              <w:rPr>
                <w:sz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512ABBE9" w14:textId="77777777" w:rsidR="00C20FCD" w:rsidRPr="009A7163" w:rsidRDefault="00C20FCD">
            <w:pPr>
              <w:rPr>
                <w:sz w:val="18"/>
                <w:lang w:eastAsia="en-GB"/>
              </w:rPr>
            </w:pPr>
            <w:r w:rsidRPr="009A7163">
              <w:rPr>
                <w:sz w:val="18"/>
                <w:lang w:eastAsia="en-GB"/>
              </w:rPr>
              <w:t xml:space="preserve">At least once a month </w:t>
            </w:r>
          </w:p>
        </w:tc>
        <w:tc>
          <w:tcPr>
            <w:tcW w:w="540" w:type="dxa"/>
            <w:tcBorders>
              <w:top w:val="nil"/>
              <w:left w:val="nil"/>
              <w:bottom w:val="single" w:sz="4" w:space="0" w:color="000000"/>
              <w:right w:val="single" w:sz="4" w:space="0" w:color="000000"/>
            </w:tcBorders>
            <w:shd w:val="clear" w:color="auto" w:fill="auto"/>
            <w:hideMark/>
          </w:tcPr>
          <w:p w14:paraId="6F77B37B" w14:textId="77777777" w:rsidR="00C20FCD" w:rsidRPr="009A7163" w:rsidRDefault="00C20FCD">
            <w:pPr>
              <w:rPr>
                <w:sz w:val="18"/>
                <w:lang w:eastAsia="en-GB"/>
              </w:rPr>
            </w:pPr>
            <w:r w:rsidRPr="009A7163">
              <w:rPr>
                <w:sz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5E2D6DB8" w14:textId="77777777" w:rsidR="00C20FCD" w:rsidRPr="009A7163" w:rsidRDefault="00C20FCD">
            <w:pPr>
              <w:rPr>
                <w:sz w:val="18"/>
                <w:lang w:eastAsia="en-GB"/>
              </w:rPr>
            </w:pPr>
            <w:r w:rsidRPr="009A7163">
              <w:rPr>
                <w:sz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0FD70563" w14:textId="77777777" w:rsidR="00C20FCD" w:rsidRPr="009A7163" w:rsidRDefault="00C20FCD">
            <w:pPr>
              <w:rPr>
                <w:sz w:val="18"/>
                <w:lang w:eastAsia="en-GB"/>
              </w:rPr>
            </w:pPr>
            <w:r w:rsidRPr="009A7163">
              <w:rPr>
                <w:sz w:val="18"/>
                <w:lang w:eastAsia="en-GB"/>
              </w:rPr>
              <w:t>Never</w:t>
            </w:r>
          </w:p>
        </w:tc>
      </w:tr>
      <w:tr w:rsidR="00C20FCD" w:rsidRPr="009A7163" w14:paraId="11B03E99"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74518EB6" w14:textId="77777777" w:rsidR="00C20FCD" w:rsidRPr="009A7163" w:rsidRDefault="00C20FCD" w:rsidP="008C041F">
            <w:pPr>
              <w:rPr>
                <w:b/>
                <w:bCs/>
                <w:sz w:val="18"/>
                <w:lang w:eastAsia="en-GB"/>
              </w:rPr>
            </w:pPr>
            <w:r w:rsidRPr="009A7163">
              <w:rPr>
                <w:b/>
                <w:bCs/>
                <w:sz w:val="18"/>
                <w:lang w:eastAsia="en-GB"/>
              </w:rPr>
              <w:t>Daughters, nieces, daughters in law</w:t>
            </w:r>
          </w:p>
        </w:tc>
        <w:tc>
          <w:tcPr>
            <w:tcW w:w="1267" w:type="dxa"/>
            <w:tcBorders>
              <w:top w:val="nil"/>
              <w:left w:val="nil"/>
              <w:bottom w:val="single" w:sz="4" w:space="0" w:color="000000"/>
              <w:right w:val="single" w:sz="4" w:space="0" w:color="000000"/>
            </w:tcBorders>
            <w:shd w:val="clear" w:color="auto" w:fill="auto"/>
            <w:hideMark/>
          </w:tcPr>
          <w:p w14:paraId="77DCCF34" w14:textId="77777777" w:rsidR="00C20FCD" w:rsidRPr="009A7163" w:rsidRDefault="00C20FCD">
            <w:pPr>
              <w:rPr>
                <w:sz w:val="18"/>
                <w:lang w:eastAsia="en-GB"/>
              </w:rPr>
            </w:pPr>
            <w:r w:rsidRPr="009A7163">
              <w:rPr>
                <w:sz w:val="18"/>
                <w:lang w:eastAsia="en-GB"/>
              </w:rPr>
              <w:t>Once a day</w:t>
            </w:r>
          </w:p>
        </w:tc>
        <w:tc>
          <w:tcPr>
            <w:tcW w:w="1073" w:type="dxa"/>
            <w:tcBorders>
              <w:top w:val="nil"/>
              <w:left w:val="nil"/>
              <w:bottom w:val="single" w:sz="4" w:space="0" w:color="000000"/>
              <w:right w:val="single" w:sz="4" w:space="0" w:color="000000"/>
            </w:tcBorders>
            <w:shd w:val="clear" w:color="auto" w:fill="auto"/>
            <w:hideMark/>
          </w:tcPr>
          <w:p w14:paraId="6D05FE17" w14:textId="77777777" w:rsidR="00C20FCD" w:rsidRPr="009A7163" w:rsidRDefault="00C20FCD">
            <w:pPr>
              <w:rPr>
                <w:sz w:val="18"/>
                <w:lang w:eastAsia="en-GB"/>
              </w:rPr>
            </w:pPr>
            <w:r w:rsidRPr="009A7163">
              <w:rPr>
                <w:sz w:val="18"/>
                <w:lang w:eastAsia="en-GB"/>
              </w:rPr>
              <w:t>Never</w:t>
            </w:r>
          </w:p>
        </w:tc>
        <w:tc>
          <w:tcPr>
            <w:tcW w:w="900" w:type="dxa"/>
            <w:tcBorders>
              <w:top w:val="nil"/>
              <w:left w:val="nil"/>
              <w:bottom w:val="single" w:sz="4" w:space="0" w:color="000000"/>
              <w:right w:val="single" w:sz="4" w:space="0" w:color="000000"/>
            </w:tcBorders>
            <w:shd w:val="clear" w:color="auto" w:fill="auto"/>
            <w:hideMark/>
          </w:tcPr>
          <w:p w14:paraId="19F1B078" w14:textId="77777777" w:rsidR="00C20FCD" w:rsidRPr="009A7163" w:rsidRDefault="00C20FCD">
            <w:pPr>
              <w:rPr>
                <w:sz w:val="18"/>
                <w:lang w:eastAsia="en-GB"/>
              </w:rPr>
            </w:pPr>
            <w:r w:rsidRPr="009A7163">
              <w:rPr>
                <w:sz w:val="18"/>
                <w:lang w:eastAsia="en-GB"/>
              </w:rPr>
              <w:t>Several times a day</w:t>
            </w:r>
          </w:p>
        </w:tc>
        <w:tc>
          <w:tcPr>
            <w:tcW w:w="900" w:type="dxa"/>
            <w:tcBorders>
              <w:top w:val="nil"/>
              <w:left w:val="nil"/>
              <w:bottom w:val="single" w:sz="4" w:space="0" w:color="000000"/>
              <w:right w:val="single" w:sz="4" w:space="0" w:color="000000"/>
            </w:tcBorders>
            <w:shd w:val="clear" w:color="auto" w:fill="auto"/>
            <w:hideMark/>
          </w:tcPr>
          <w:p w14:paraId="680BA5A9" w14:textId="77777777" w:rsidR="00C20FCD" w:rsidRPr="009A7163" w:rsidRDefault="00C20FCD">
            <w:pPr>
              <w:rPr>
                <w:sz w:val="18"/>
                <w:lang w:eastAsia="en-GB"/>
              </w:rPr>
            </w:pPr>
            <w:r w:rsidRPr="009A7163">
              <w:rPr>
                <w:sz w:val="18"/>
                <w:lang w:eastAsia="en-GB"/>
              </w:rPr>
              <w:t>Once a day</w:t>
            </w:r>
          </w:p>
        </w:tc>
        <w:tc>
          <w:tcPr>
            <w:tcW w:w="990" w:type="dxa"/>
            <w:tcBorders>
              <w:top w:val="nil"/>
              <w:left w:val="nil"/>
              <w:bottom w:val="single" w:sz="4" w:space="0" w:color="000000"/>
              <w:right w:val="single" w:sz="4" w:space="0" w:color="000000"/>
            </w:tcBorders>
            <w:shd w:val="clear" w:color="auto" w:fill="auto"/>
            <w:hideMark/>
          </w:tcPr>
          <w:p w14:paraId="21DF3BD5" w14:textId="77777777" w:rsidR="00C20FCD" w:rsidRPr="009A7163" w:rsidRDefault="00C20FCD">
            <w:pPr>
              <w:rPr>
                <w:sz w:val="18"/>
                <w:lang w:eastAsia="en-GB"/>
              </w:rPr>
            </w:pPr>
            <w:r w:rsidRPr="009A7163">
              <w:rPr>
                <w:sz w:val="18"/>
                <w:lang w:eastAsia="en-GB"/>
              </w:rPr>
              <w:t>Once a day</w:t>
            </w:r>
          </w:p>
        </w:tc>
        <w:tc>
          <w:tcPr>
            <w:tcW w:w="900" w:type="dxa"/>
            <w:tcBorders>
              <w:top w:val="nil"/>
              <w:left w:val="nil"/>
              <w:bottom w:val="single" w:sz="4" w:space="0" w:color="000000"/>
              <w:right w:val="single" w:sz="4" w:space="0" w:color="000000"/>
            </w:tcBorders>
            <w:shd w:val="clear" w:color="auto" w:fill="auto"/>
            <w:hideMark/>
          </w:tcPr>
          <w:p w14:paraId="0C072263" w14:textId="77777777" w:rsidR="00C20FCD" w:rsidRPr="009A7163" w:rsidRDefault="00C20FCD">
            <w:pPr>
              <w:rPr>
                <w:sz w:val="18"/>
                <w:lang w:eastAsia="en-GB"/>
              </w:rPr>
            </w:pPr>
            <w:r w:rsidRPr="009A7163">
              <w:rPr>
                <w:sz w:val="18"/>
                <w:lang w:eastAsia="en-GB"/>
              </w:rPr>
              <w:t xml:space="preserve">Once a day </w:t>
            </w:r>
          </w:p>
        </w:tc>
        <w:tc>
          <w:tcPr>
            <w:tcW w:w="540" w:type="dxa"/>
            <w:tcBorders>
              <w:top w:val="nil"/>
              <w:left w:val="nil"/>
              <w:bottom w:val="single" w:sz="4" w:space="0" w:color="000000"/>
              <w:right w:val="single" w:sz="4" w:space="0" w:color="000000"/>
            </w:tcBorders>
            <w:shd w:val="clear" w:color="auto" w:fill="auto"/>
            <w:hideMark/>
          </w:tcPr>
          <w:p w14:paraId="08BEF8CD" w14:textId="77777777" w:rsidR="00C20FCD" w:rsidRPr="009A7163" w:rsidRDefault="00C20FCD">
            <w:pPr>
              <w:rPr>
                <w:sz w:val="18"/>
                <w:lang w:eastAsia="en-GB"/>
              </w:rPr>
            </w:pPr>
            <w:r w:rsidRPr="009A7163">
              <w:rPr>
                <w:sz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215B72DE" w14:textId="77777777" w:rsidR="00C20FCD" w:rsidRPr="009A7163" w:rsidRDefault="00C20FCD">
            <w:pPr>
              <w:rPr>
                <w:sz w:val="18"/>
                <w:lang w:eastAsia="en-GB"/>
              </w:rPr>
            </w:pPr>
            <w:r w:rsidRPr="009A7163">
              <w:rPr>
                <w:sz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4C52706F" w14:textId="77777777" w:rsidR="00C20FCD" w:rsidRPr="009A7163" w:rsidRDefault="00C20FCD">
            <w:pPr>
              <w:rPr>
                <w:sz w:val="18"/>
                <w:lang w:eastAsia="en-GB"/>
              </w:rPr>
            </w:pPr>
            <w:r w:rsidRPr="009A7163">
              <w:rPr>
                <w:sz w:val="18"/>
                <w:lang w:eastAsia="en-GB"/>
              </w:rPr>
              <w:t>Never</w:t>
            </w:r>
          </w:p>
        </w:tc>
      </w:tr>
      <w:tr w:rsidR="00C20FCD" w:rsidRPr="009A7163" w14:paraId="4C935778" w14:textId="77777777" w:rsidTr="00CB5642">
        <w:trPr>
          <w:trHeight w:val="780"/>
        </w:trPr>
        <w:tc>
          <w:tcPr>
            <w:tcW w:w="1170" w:type="dxa"/>
            <w:tcBorders>
              <w:top w:val="nil"/>
              <w:left w:val="single" w:sz="4" w:space="0" w:color="000000"/>
              <w:bottom w:val="single" w:sz="4" w:space="0" w:color="000000"/>
              <w:right w:val="single" w:sz="4" w:space="0" w:color="000000"/>
            </w:tcBorders>
            <w:shd w:val="clear" w:color="auto" w:fill="auto"/>
            <w:hideMark/>
          </w:tcPr>
          <w:p w14:paraId="315E391E" w14:textId="77777777" w:rsidR="00C20FCD" w:rsidRPr="009A7163" w:rsidRDefault="00C20FCD" w:rsidP="008C041F">
            <w:pPr>
              <w:rPr>
                <w:b/>
                <w:bCs/>
                <w:sz w:val="18"/>
                <w:lang w:eastAsia="en-GB"/>
              </w:rPr>
            </w:pPr>
            <w:r w:rsidRPr="009A7163">
              <w:rPr>
                <w:b/>
                <w:bCs/>
                <w:sz w:val="18"/>
                <w:lang w:eastAsia="en-GB"/>
              </w:rPr>
              <w:t>Sons, Nephews, son in law</w:t>
            </w:r>
          </w:p>
        </w:tc>
        <w:tc>
          <w:tcPr>
            <w:tcW w:w="1267" w:type="dxa"/>
            <w:tcBorders>
              <w:top w:val="nil"/>
              <w:left w:val="nil"/>
              <w:bottom w:val="single" w:sz="4" w:space="0" w:color="000000"/>
              <w:right w:val="single" w:sz="4" w:space="0" w:color="000000"/>
            </w:tcBorders>
            <w:shd w:val="clear" w:color="auto" w:fill="auto"/>
            <w:hideMark/>
          </w:tcPr>
          <w:p w14:paraId="06C1FCF5" w14:textId="77777777" w:rsidR="00C20FCD" w:rsidRPr="009A7163" w:rsidRDefault="00C20FCD">
            <w:pPr>
              <w:rPr>
                <w:sz w:val="18"/>
                <w:lang w:eastAsia="en-GB"/>
              </w:rPr>
            </w:pPr>
            <w:r w:rsidRPr="009A7163">
              <w:rPr>
                <w:sz w:val="18"/>
                <w:lang w:eastAsia="en-GB"/>
              </w:rPr>
              <w:t xml:space="preserve">At least once a week </w:t>
            </w:r>
          </w:p>
        </w:tc>
        <w:tc>
          <w:tcPr>
            <w:tcW w:w="1073" w:type="dxa"/>
            <w:tcBorders>
              <w:top w:val="nil"/>
              <w:left w:val="nil"/>
              <w:bottom w:val="single" w:sz="4" w:space="0" w:color="000000"/>
              <w:right w:val="single" w:sz="4" w:space="0" w:color="000000"/>
            </w:tcBorders>
            <w:shd w:val="clear" w:color="auto" w:fill="auto"/>
            <w:hideMark/>
          </w:tcPr>
          <w:p w14:paraId="5B11FA4D" w14:textId="77777777" w:rsidR="00C20FCD" w:rsidRPr="009A7163" w:rsidRDefault="00C20FCD">
            <w:pPr>
              <w:rPr>
                <w:sz w:val="18"/>
                <w:lang w:eastAsia="en-GB"/>
              </w:rPr>
            </w:pPr>
            <w:r w:rsidRPr="009A7163">
              <w:rPr>
                <w:sz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5BBC37C2" w14:textId="77777777" w:rsidR="00C20FCD" w:rsidRPr="009A7163" w:rsidRDefault="00C20FCD">
            <w:pPr>
              <w:rPr>
                <w:sz w:val="18"/>
                <w:lang w:eastAsia="en-GB"/>
              </w:rPr>
            </w:pPr>
            <w:r w:rsidRPr="009A7163">
              <w:rPr>
                <w:sz w:val="18"/>
                <w:lang w:eastAsia="en-GB"/>
              </w:rPr>
              <w:t>At least once a week</w:t>
            </w:r>
          </w:p>
        </w:tc>
        <w:tc>
          <w:tcPr>
            <w:tcW w:w="900" w:type="dxa"/>
            <w:tcBorders>
              <w:top w:val="nil"/>
              <w:left w:val="nil"/>
              <w:bottom w:val="single" w:sz="4" w:space="0" w:color="000000"/>
              <w:right w:val="single" w:sz="4" w:space="0" w:color="000000"/>
            </w:tcBorders>
            <w:shd w:val="clear" w:color="auto" w:fill="auto"/>
            <w:hideMark/>
          </w:tcPr>
          <w:p w14:paraId="5EB3FADF" w14:textId="77777777" w:rsidR="00C20FCD" w:rsidRPr="009A7163" w:rsidRDefault="00C20FCD">
            <w:pPr>
              <w:rPr>
                <w:sz w:val="18"/>
                <w:lang w:eastAsia="en-GB"/>
              </w:rPr>
            </w:pPr>
            <w:r w:rsidRPr="009A7163">
              <w:rPr>
                <w:sz w:val="18"/>
                <w:lang w:eastAsia="en-GB"/>
              </w:rPr>
              <w:t>At least once a week</w:t>
            </w:r>
          </w:p>
        </w:tc>
        <w:tc>
          <w:tcPr>
            <w:tcW w:w="990" w:type="dxa"/>
            <w:tcBorders>
              <w:top w:val="nil"/>
              <w:left w:val="nil"/>
              <w:bottom w:val="single" w:sz="4" w:space="0" w:color="000000"/>
              <w:right w:val="single" w:sz="4" w:space="0" w:color="000000"/>
            </w:tcBorders>
            <w:shd w:val="clear" w:color="auto" w:fill="auto"/>
            <w:hideMark/>
          </w:tcPr>
          <w:p w14:paraId="39AC1E58" w14:textId="77777777" w:rsidR="00C20FCD" w:rsidRPr="009A7163" w:rsidRDefault="00C20FCD">
            <w:pPr>
              <w:rPr>
                <w:sz w:val="18"/>
                <w:lang w:eastAsia="en-GB"/>
              </w:rPr>
            </w:pPr>
            <w:r w:rsidRPr="009A7163">
              <w:rPr>
                <w:sz w:val="18"/>
                <w:lang w:eastAsia="en-GB"/>
              </w:rPr>
              <w:t>At least once a month</w:t>
            </w:r>
          </w:p>
        </w:tc>
        <w:tc>
          <w:tcPr>
            <w:tcW w:w="900" w:type="dxa"/>
            <w:tcBorders>
              <w:top w:val="nil"/>
              <w:left w:val="nil"/>
              <w:bottom w:val="single" w:sz="4" w:space="0" w:color="000000"/>
              <w:right w:val="single" w:sz="4" w:space="0" w:color="000000"/>
            </w:tcBorders>
            <w:shd w:val="clear" w:color="auto" w:fill="auto"/>
            <w:hideMark/>
          </w:tcPr>
          <w:p w14:paraId="1B14EDF0" w14:textId="77777777" w:rsidR="00C20FCD" w:rsidRPr="009A7163" w:rsidRDefault="00C20FCD">
            <w:pPr>
              <w:rPr>
                <w:sz w:val="18"/>
                <w:lang w:eastAsia="en-GB"/>
              </w:rPr>
            </w:pPr>
            <w:r w:rsidRPr="009A7163">
              <w:rPr>
                <w:sz w:val="18"/>
                <w:lang w:eastAsia="en-GB"/>
              </w:rPr>
              <w:t>At least once a month</w:t>
            </w:r>
          </w:p>
        </w:tc>
        <w:tc>
          <w:tcPr>
            <w:tcW w:w="540" w:type="dxa"/>
            <w:tcBorders>
              <w:top w:val="nil"/>
              <w:left w:val="nil"/>
              <w:bottom w:val="single" w:sz="4" w:space="0" w:color="000000"/>
              <w:right w:val="single" w:sz="4" w:space="0" w:color="000000"/>
            </w:tcBorders>
            <w:shd w:val="clear" w:color="auto" w:fill="auto"/>
            <w:hideMark/>
          </w:tcPr>
          <w:p w14:paraId="0CF8CD1C" w14:textId="77777777" w:rsidR="00C20FCD" w:rsidRPr="009A7163" w:rsidRDefault="00C20FCD">
            <w:pPr>
              <w:rPr>
                <w:sz w:val="18"/>
                <w:lang w:eastAsia="en-GB"/>
              </w:rPr>
            </w:pPr>
            <w:r w:rsidRPr="009A7163">
              <w:rPr>
                <w:sz w:val="18"/>
                <w:lang w:eastAsia="en-GB"/>
              </w:rPr>
              <w:t>Never</w:t>
            </w:r>
          </w:p>
        </w:tc>
        <w:tc>
          <w:tcPr>
            <w:tcW w:w="540" w:type="dxa"/>
            <w:tcBorders>
              <w:top w:val="nil"/>
              <w:left w:val="nil"/>
              <w:bottom w:val="single" w:sz="4" w:space="0" w:color="000000"/>
              <w:right w:val="single" w:sz="4" w:space="0" w:color="000000"/>
            </w:tcBorders>
            <w:shd w:val="clear" w:color="auto" w:fill="auto"/>
            <w:hideMark/>
          </w:tcPr>
          <w:p w14:paraId="3FE15223" w14:textId="77777777" w:rsidR="00C20FCD" w:rsidRPr="009A7163" w:rsidRDefault="00C20FCD">
            <w:pPr>
              <w:rPr>
                <w:sz w:val="18"/>
                <w:lang w:eastAsia="en-GB"/>
              </w:rPr>
            </w:pPr>
            <w:r w:rsidRPr="009A7163">
              <w:rPr>
                <w:sz w:val="18"/>
                <w:lang w:eastAsia="en-GB"/>
              </w:rPr>
              <w:t>Never</w:t>
            </w:r>
          </w:p>
        </w:tc>
        <w:tc>
          <w:tcPr>
            <w:tcW w:w="757" w:type="dxa"/>
            <w:tcBorders>
              <w:top w:val="nil"/>
              <w:left w:val="nil"/>
              <w:bottom w:val="single" w:sz="4" w:space="0" w:color="000000"/>
              <w:right w:val="single" w:sz="4" w:space="0" w:color="000000"/>
            </w:tcBorders>
            <w:shd w:val="clear" w:color="auto" w:fill="auto"/>
            <w:hideMark/>
          </w:tcPr>
          <w:p w14:paraId="4218CD93" w14:textId="77777777" w:rsidR="00C20FCD" w:rsidRPr="009A7163" w:rsidRDefault="00C20FCD">
            <w:pPr>
              <w:rPr>
                <w:sz w:val="18"/>
                <w:lang w:eastAsia="en-GB"/>
              </w:rPr>
            </w:pPr>
            <w:r w:rsidRPr="009A7163">
              <w:rPr>
                <w:sz w:val="18"/>
                <w:lang w:eastAsia="en-GB"/>
              </w:rPr>
              <w:t>Never</w:t>
            </w:r>
          </w:p>
        </w:tc>
      </w:tr>
    </w:tbl>
    <w:p w14:paraId="59325901" w14:textId="5A46F173" w:rsidR="000C7D9F" w:rsidRPr="009A7163" w:rsidRDefault="00C20FCD" w:rsidP="00293176">
      <w:pPr>
        <w:tabs>
          <w:tab w:val="left" w:pos="720"/>
        </w:tabs>
        <w:spacing w:before="360" w:line="360" w:lineRule="auto"/>
        <w:jc w:val="both"/>
        <w:rPr>
          <w:rFonts w:eastAsiaTheme="minorHAnsi"/>
          <w:noProof/>
          <w:lang w:eastAsia="en-GB"/>
        </w:rPr>
      </w:pPr>
      <w:r w:rsidRPr="009A7163">
        <w:rPr>
          <w:rFonts w:eastAsiaTheme="minorHAnsi"/>
          <w:noProof/>
          <w:lang w:eastAsia="en-GB"/>
        </w:rPr>
        <w:tab/>
        <w:t xml:space="preserve">On the whole, the women from both communities reported that the men either helped once a month or never with </w:t>
      </w:r>
      <w:r w:rsidR="003A2C87" w:rsidRPr="009A7163">
        <w:rPr>
          <w:rFonts w:eastAsiaTheme="minorHAnsi"/>
          <w:noProof/>
          <w:lang w:eastAsia="en-GB"/>
        </w:rPr>
        <w:t>UCW</w:t>
      </w:r>
      <w:r w:rsidRPr="009A7163">
        <w:rPr>
          <w:rFonts w:eastAsiaTheme="minorHAnsi"/>
          <w:noProof/>
          <w:lang w:eastAsia="en-GB"/>
        </w:rPr>
        <w:t xml:space="preserve">, with the exception of collecting firewood once a week. </w:t>
      </w:r>
      <w:r w:rsidR="00A06904" w:rsidRPr="009A7163">
        <w:rPr>
          <w:rFonts w:eastAsiaTheme="minorHAnsi"/>
          <w:noProof/>
          <w:lang w:eastAsia="en-GB"/>
        </w:rPr>
        <w:t>T</w:t>
      </w:r>
      <w:r w:rsidRPr="009A7163">
        <w:rPr>
          <w:rFonts w:eastAsiaTheme="minorHAnsi"/>
          <w:noProof/>
          <w:lang w:eastAsia="en-GB"/>
        </w:rPr>
        <w:t>he men</w:t>
      </w:r>
      <w:r w:rsidR="00A06904" w:rsidRPr="009A7163">
        <w:rPr>
          <w:rFonts w:eastAsiaTheme="minorHAnsi"/>
          <w:noProof/>
          <w:lang w:eastAsia="en-GB"/>
        </w:rPr>
        <w:t>,</w:t>
      </w:r>
      <w:r w:rsidRPr="009A7163">
        <w:rPr>
          <w:rFonts w:eastAsiaTheme="minorHAnsi"/>
          <w:noProof/>
          <w:lang w:eastAsia="en-GB"/>
        </w:rPr>
        <w:t xml:space="preserve"> in contrast</w:t>
      </w:r>
      <w:r w:rsidR="00A06904" w:rsidRPr="009A7163">
        <w:rPr>
          <w:rFonts w:eastAsiaTheme="minorHAnsi"/>
          <w:noProof/>
          <w:lang w:eastAsia="en-GB"/>
        </w:rPr>
        <w:t>,</w:t>
      </w:r>
      <w:r w:rsidRPr="009A7163">
        <w:rPr>
          <w:rFonts w:eastAsiaTheme="minorHAnsi"/>
          <w:noProof/>
          <w:lang w:eastAsia="en-GB"/>
        </w:rPr>
        <w:t xml:space="preserve"> reported that they helped once a week with collecting water and firewood, meal preparation/washing dishes and cleaning and organizing the house. The men report that they do more to help than what the women report. For example, the men report collecting firewood once a week, whereas the women stated they do it once a month. </w:t>
      </w:r>
      <w:r w:rsidR="000C7D9F" w:rsidRPr="009A7163">
        <w:rPr>
          <w:rFonts w:eastAsiaTheme="minorHAnsi"/>
          <w:noProof/>
          <w:lang w:eastAsia="en-GB"/>
        </w:rPr>
        <w:t xml:space="preserve">Another example of this is that the men say that they women never collect firewood, whereas the women reported that they did at least once once a month. </w:t>
      </w:r>
      <w:r w:rsidRPr="009A7163">
        <w:rPr>
          <w:rFonts w:eastAsiaTheme="minorHAnsi"/>
          <w:noProof/>
          <w:lang w:eastAsia="en-GB"/>
        </w:rPr>
        <w:t>Again this demonstrates the difference in reporting between men and women and the importance of capturing different perspectives.</w:t>
      </w:r>
      <w:r w:rsidR="00EC2458" w:rsidRPr="009A7163">
        <w:rPr>
          <w:rFonts w:eastAsiaTheme="minorHAnsi"/>
          <w:noProof/>
          <w:lang w:eastAsia="en-GB"/>
        </w:rPr>
        <w:t xml:space="preserve"> This difference in reporting is important </w:t>
      </w:r>
      <w:r w:rsidR="00A06904" w:rsidRPr="009A7163">
        <w:rPr>
          <w:rFonts w:eastAsiaTheme="minorHAnsi"/>
          <w:noProof/>
          <w:lang w:eastAsia="en-GB"/>
        </w:rPr>
        <w:t>for understanding</w:t>
      </w:r>
      <w:r w:rsidR="00EC2458" w:rsidRPr="009A7163">
        <w:rPr>
          <w:rFonts w:eastAsiaTheme="minorHAnsi"/>
          <w:noProof/>
          <w:lang w:eastAsia="en-GB"/>
        </w:rPr>
        <w:t xml:space="preserve"> how women and men understand contributions and ultimately recognise what is work.</w:t>
      </w:r>
      <w:r w:rsidRPr="009A7163">
        <w:rPr>
          <w:rFonts w:eastAsiaTheme="minorHAnsi"/>
          <w:noProof/>
          <w:lang w:eastAsia="en-GB"/>
        </w:rPr>
        <w:t xml:space="preserve"> </w:t>
      </w:r>
      <w:r w:rsidR="000C7D9F" w:rsidRPr="009A7163">
        <w:rPr>
          <w:rFonts w:eastAsiaTheme="minorHAnsi"/>
          <w:noProof/>
          <w:lang w:eastAsia="en-GB"/>
        </w:rPr>
        <w:t xml:space="preserve">Bradshaw </w:t>
      </w:r>
      <w:r w:rsidR="00A06904" w:rsidRPr="009A7163">
        <w:rPr>
          <w:rFonts w:eastAsiaTheme="minorHAnsi"/>
          <w:noProof/>
          <w:lang w:eastAsia="en-GB"/>
        </w:rPr>
        <w:t xml:space="preserve">(2013) </w:t>
      </w:r>
      <w:r w:rsidR="000C7D9F" w:rsidRPr="009A7163">
        <w:rPr>
          <w:rFonts w:eastAsiaTheme="minorHAnsi"/>
          <w:noProof/>
          <w:lang w:eastAsia="en-GB"/>
        </w:rPr>
        <w:t xml:space="preserve">in her article on </w:t>
      </w:r>
      <w:r w:rsidR="00D97F17" w:rsidRPr="009A7163">
        <w:rPr>
          <w:rFonts w:eastAsiaTheme="minorHAnsi"/>
          <w:noProof/>
          <w:lang w:eastAsia="en-GB"/>
        </w:rPr>
        <w:t>w</w:t>
      </w:r>
      <w:r w:rsidR="000C7D9F" w:rsidRPr="009A7163">
        <w:rPr>
          <w:rFonts w:eastAsiaTheme="minorHAnsi"/>
          <w:noProof/>
          <w:lang w:eastAsia="en-GB"/>
        </w:rPr>
        <w:t>omen’s intra houshold decision making in Nicaragua</w:t>
      </w:r>
      <w:r w:rsidR="00EC2458" w:rsidRPr="009A7163">
        <w:rPr>
          <w:rFonts w:eastAsiaTheme="minorHAnsi"/>
          <w:noProof/>
          <w:lang w:eastAsia="en-GB"/>
        </w:rPr>
        <w:t xml:space="preserve"> </w:t>
      </w:r>
      <w:r w:rsidR="000C7D9F" w:rsidRPr="009A7163">
        <w:rPr>
          <w:rFonts w:eastAsiaTheme="minorHAnsi"/>
          <w:noProof/>
          <w:lang w:eastAsia="en-GB"/>
        </w:rPr>
        <w:t xml:space="preserve">concludes: </w:t>
      </w:r>
    </w:p>
    <w:p w14:paraId="1B34B063" w14:textId="00F2407C" w:rsidR="00B02B33" w:rsidRPr="009A7163" w:rsidRDefault="000C7D9F" w:rsidP="007A3A29">
      <w:pPr>
        <w:tabs>
          <w:tab w:val="left" w:pos="720"/>
        </w:tabs>
        <w:ind w:left="720"/>
        <w:jc w:val="both"/>
        <w:rPr>
          <w:rFonts w:eastAsiaTheme="minorHAnsi"/>
          <w:noProof/>
          <w:lang w:eastAsia="en-GB"/>
        </w:rPr>
      </w:pPr>
      <w:r w:rsidRPr="009A7163">
        <w:rPr>
          <w:rFonts w:eastAsiaTheme="minorHAnsi"/>
          <w:noProof/>
          <w:lang w:eastAsia="en-GB"/>
        </w:rPr>
        <w:t>It is not only women’s self-perception that is important but also the perception of others – in this case men. At times there is a mismatch of views and values, and while women recognize their own contribution to the household as including non-monetary activities, men often see women as contributing only when they do so in monetary terms. This difference may be most important for rural women since they are both less likely to make a monetary contribution and more likely to value their non-monetary contribution</w:t>
      </w:r>
      <w:r w:rsidR="00A06904" w:rsidRPr="009A7163">
        <w:rPr>
          <w:rFonts w:eastAsiaTheme="minorHAnsi"/>
          <w:noProof/>
          <w:lang w:eastAsia="en-GB"/>
        </w:rPr>
        <w:t>. (</w:t>
      </w:r>
      <w:r w:rsidRPr="009A7163">
        <w:rPr>
          <w:rFonts w:eastAsiaTheme="minorHAnsi"/>
          <w:noProof/>
          <w:lang w:eastAsia="en-GB"/>
        </w:rPr>
        <w:t>p.</w:t>
      </w:r>
      <w:r w:rsidR="00A06904" w:rsidRPr="009A7163">
        <w:rPr>
          <w:rFonts w:eastAsiaTheme="minorHAnsi"/>
          <w:noProof/>
          <w:lang w:eastAsia="en-GB"/>
        </w:rPr>
        <w:t xml:space="preserve"> </w:t>
      </w:r>
      <w:r w:rsidRPr="009A7163">
        <w:rPr>
          <w:rFonts w:eastAsiaTheme="minorHAnsi"/>
          <w:noProof/>
          <w:lang w:eastAsia="en-GB"/>
        </w:rPr>
        <w:t xml:space="preserve">92) </w:t>
      </w:r>
    </w:p>
    <w:p w14:paraId="42A0D74F" w14:textId="06057592" w:rsidR="00C20FCD" w:rsidRPr="009A7163" w:rsidRDefault="00C20FCD" w:rsidP="004C2293">
      <w:pPr>
        <w:tabs>
          <w:tab w:val="left" w:pos="720"/>
        </w:tabs>
        <w:spacing w:before="360" w:line="360" w:lineRule="auto"/>
        <w:jc w:val="both"/>
        <w:rPr>
          <w:rFonts w:eastAsiaTheme="minorHAnsi"/>
          <w:lang w:eastAsia="en-GB"/>
        </w:rPr>
      </w:pPr>
      <w:r w:rsidRPr="009A7163">
        <w:rPr>
          <w:rFonts w:eastAsiaTheme="minorHAnsi"/>
          <w:lang w:eastAsia="en-GB"/>
        </w:rPr>
        <w:lastRenderedPageBreak/>
        <w:t xml:space="preserve">The </w:t>
      </w:r>
      <w:r w:rsidR="00EA045C" w:rsidRPr="009A7163">
        <w:rPr>
          <w:rFonts w:eastAsiaTheme="minorHAnsi"/>
          <w:lang w:eastAsia="en-GB"/>
        </w:rPr>
        <w:t xml:space="preserve">question of perception is important and relates to decision making and thus empowerment. The </w:t>
      </w:r>
      <w:r w:rsidRPr="009A7163">
        <w:rPr>
          <w:rFonts w:eastAsiaTheme="minorHAnsi"/>
          <w:lang w:eastAsia="en-GB"/>
        </w:rPr>
        <w:t>women from La Pita reported that they undertake cooking, cleaning and washing clothes at least once a day and collect water once a week. They say that their daughters help once a day with food preparation and washing dishes and then once a week with cleaning and organizing the house, childcare</w:t>
      </w:r>
      <w:r w:rsidR="00D03222" w:rsidRPr="009A7163">
        <w:rPr>
          <w:rFonts w:eastAsiaTheme="minorHAnsi"/>
          <w:lang w:eastAsia="en-GB"/>
        </w:rPr>
        <w:t xml:space="preserve"> </w:t>
      </w:r>
      <w:r w:rsidRPr="009A7163">
        <w:rPr>
          <w:rFonts w:eastAsiaTheme="minorHAnsi"/>
          <w:lang w:eastAsia="en-GB"/>
        </w:rPr>
        <w:t>and washing, drying, ironing and mending clothes. In La Reina, the women say that the daughters help once a day</w:t>
      </w:r>
      <w:r w:rsidR="00D03222" w:rsidRPr="009A7163">
        <w:rPr>
          <w:rFonts w:eastAsiaTheme="minorHAnsi"/>
          <w:lang w:eastAsia="en-GB"/>
        </w:rPr>
        <w:t xml:space="preserve"> with</w:t>
      </w:r>
      <w:r w:rsidRPr="009A7163">
        <w:rPr>
          <w:rFonts w:eastAsiaTheme="minorHAnsi"/>
          <w:lang w:eastAsia="en-GB"/>
        </w:rPr>
        <w:t xml:space="preserve"> collecting water, food preparation and washing dishes, cleaning and tidying the house, washing clothes and childcare. This is the only case where childcare is mentioned once a day by the women and it us undertaken by the younger generation. The men, however, concur with this response and also reported that the young women in the household undertake childcare once a day. There is an underreporting of childcare by the women</w:t>
      </w:r>
      <w:r w:rsidR="00D03222" w:rsidRPr="009A7163">
        <w:rPr>
          <w:rFonts w:eastAsiaTheme="minorHAnsi"/>
          <w:lang w:eastAsia="en-GB"/>
        </w:rPr>
        <w:t>. I</w:t>
      </w:r>
      <w:r w:rsidRPr="009A7163">
        <w:rPr>
          <w:rFonts w:eastAsiaTheme="minorHAnsi"/>
          <w:lang w:eastAsia="en-GB"/>
        </w:rPr>
        <w:t>n each community the women report that they themselves only do it once a week when it would seem obvious that they would have to do it every day. The issue of underreporting childcare was the same in the sesame case study and is an issue that comes up repeatedly in the literature on time use.</w:t>
      </w:r>
      <w:r w:rsidR="00D03222" w:rsidRPr="009A7163">
        <w:rPr>
          <w:rFonts w:eastAsiaTheme="minorHAnsi"/>
          <w:lang w:eastAsia="en-GB"/>
        </w:rPr>
        <w:t xml:space="preserve"> O</w:t>
      </w:r>
      <w:r w:rsidRPr="009A7163">
        <w:rPr>
          <w:rFonts w:eastAsiaTheme="minorHAnsi"/>
          <w:lang w:eastAsia="en-GB"/>
        </w:rPr>
        <w:t>n the issues of recording simultaneous activities (including childcare)</w:t>
      </w:r>
      <w:r w:rsidR="00D03222" w:rsidRPr="009A7163">
        <w:rPr>
          <w:rFonts w:eastAsiaTheme="minorHAnsi"/>
          <w:lang w:eastAsia="en-GB"/>
        </w:rPr>
        <w:t>, Budlender (2007) says</w:t>
      </w:r>
      <w:r w:rsidRPr="009A7163">
        <w:rPr>
          <w:rFonts w:eastAsiaTheme="minorHAnsi"/>
          <w:lang w:eastAsia="en-GB"/>
        </w:rPr>
        <w:t xml:space="preserve">: ‘Current methods, even where provision is made for simultaneous activities, almost certainly produce less than comprehensive results. This area needs more research and experimentation’ (p. 44). However, Espinosa (2012) </w:t>
      </w:r>
      <w:r w:rsidR="00D03222" w:rsidRPr="009A7163">
        <w:rPr>
          <w:rFonts w:eastAsiaTheme="minorHAnsi"/>
          <w:lang w:eastAsia="en-GB"/>
        </w:rPr>
        <w:t>in</w:t>
      </w:r>
      <w:r w:rsidRPr="009A7163">
        <w:rPr>
          <w:rFonts w:eastAsiaTheme="minorHAnsi"/>
          <w:lang w:eastAsia="en-GB"/>
        </w:rPr>
        <w:t xml:space="preserve"> her analysis of a previous TUS survey undertaken in Nicaragua</w:t>
      </w:r>
      <w:r w:rsidR="00D03222" w:rsidRPr="009A7163">
        <w:rPr>
          <w:rFonts w:eastAsiaTheme="minorHAnsi"/>
          <w:lang w:eastAsia="en-GB"/>
        </w:rPr>
        <w:t>,</w:t>
      </w:r>
      <w:r w:rsidRPr="009A7163">
        <w:rPr>
          <w:rFonts w:eastAsiaTheme="minorHAnsi"/>
          <w:lang w:eastAsia="en-GB"/>
        </w:rPr>
        <w:t xml:space="preserve"> presented this result:</w:t>
      </w:r>
    </w:p>
    <w:p w14:paraId="2F70CCAA" w14:textId="1A7C0BA1" w:rsidR="00C20FCD" w:rsidRPr="009A7163" w:rsidRDefault="00C20FCD" w:rsidP="00293176">
      <w:pPr>
        <w:spacing w:after="180"/>
        <w:ind w:left="720"/>
        <w:jc w:val="both"/>
        <w:rPr>
          <w:rFonts w:eastAsiaTheme="minorHAnsi"/>
          <w:lang w:eastAsia="en-GB"/>
        </w:rPr>
      </w:pPr>
      <w:r w:rsidRPr="009A7163">
        <w:rPr>
          <w:rFonts w:eastAsiaTheme="minorHAnsi"/>
          <w:lang w:eastAsia="en-GB"/>
        </w:rPr>
        <w:t>One surprising finding was the small</w:t>
      </w:r>
      <w:r w:rsidR="00F30CC1" w:rsidRPr="009A7163">
        <w:rPr>
          <w:rFonts w:eastAsiaTheme="minorHAnsi"/>
          <w:lang w:eastAsia="en-GB"/>
        </w:rPr>
        <w:t xml:space="preserve"> t</w:t>
      </w:r>
      <w:r w:rsidRPr="009A7163">
        <w:rPr>
          <w:rFonts w:eastAsiaTheme="minorHAnsi"/>
          <w:lang w:eastAsia="en-GB"/>
        </w:rPr>
        <w:t>ime spent by men and women on care of person</w:t>
      </w:r>
      <w:r w:rsidR="00422F86" w:rsidRPr="009A7163">
        <w:rPr>
          <w:rFonts w:eastAsiaTheme="minorHAnsi"/>
          <w:lang w:eastAsia="en-GB"/>
        </w:rPr>
        <w:t xml:space="preserve"> [</w:t>
      </w:r>
      <w:r w:rsidR="00422F86" w:rsidRPr="009A7163">
        <w:rPr>
          <w:rFonts w:eastAsiaTheme="minorHAnsi"/>
          <w:i/>
          <w:lang w:eastAsia="en-GB"/>
        </w:rPr>
        <w:t>sic</w:t>
      </w:r>
      <w:r w:rsidR="00422F86" w:rsidRPr="009A7163">
        <w:rPr>
          <w:rFonts w:eastAsiaTheme="minorHAnsi"/>
          <w:lang w:eastAsia="en-GB"/>
        </w:rPr>
        <w:t>]</w:t>
      </w:r>
      <w:r w:rsidRPr="009A7163">
        <w:rPr>
          <w:rFonts w:eastAsiaTheme="minorHAnsi"/>
          <w:lang w:eastAsia="en-GB"/>
        </w:rPr>
        <w:t>. Given the age structure of the Nicaraguan population and the almost non-existent supply of care services, whether public or market, this suggests that a large proportion of younger people care for themselves. To the ethical problems, of respect for and promotion of the rights of the child that this situation raises, are added the new capacities demanded of the labour force. This does not simply concern training in the use of new technologies, but also new personal and emotional skills to enable rapid adaptation to the changes caused by globalisation. In other words, generational reproduction requires more care work than before to avoid exclusion.</w:t>
      </w:r>
      <w:r w:rsidR="00D03222" w:rsidRPr="009A7163">
        <w:rPr>
          <w:rFonts w:eastAsiaTheme="minorHAnsi"/>
          <w:lang w:eastAsia="en-GB"/>
        </w:rPr>
        <w:t xml:space="preserve"> (p. 249)</w:t>
      </w:r>
    </w:p>
    <w:p w14:paraId="15685CDE" w14:textId="77777777" w:rsidR="00C20FCD" w:rsidRPr="009A7163" w:rsidRDefault="00C20FCD" w:rsidP="008C041F">
      <w:pPr>
        <w:spacing w:line="360" w:lineRule="auto"/>
        <w:jc w:val="both"/>
        <w:rPr>
          <w:rFonts w:eastAsiaTheme="minorHAnsi"/>
          <w:lang w:eastAsia="en-GB"/>
        </w:rPr>
      </w:pPr>
      <w:r w:rsidRPr="009A7163">
        <w:rPr>
          <w:rFonts w:eastAsiaTheme="minorHAnsi"/>
          <w:lang w:eastAsia="en-GB"/>
        </w:rPr>
        <w:t>This raises the issue if there is a lack of time invested in care for others. This research did not address this during the fieldwork data collection.</w:t>
      </w:r>
    </w:p>
    <w:p w14:paraId="5FBF7295" w14:textId="23D6E2B1" w:rsidR="00C20FCD" w:rsidRPr="009A7163" w:rsidRDefault="00C20FCD">
      <w:pPr>
        <w:spacing w:line="360" w:lineRule="auto"/>
        <w:ind w:firstLine="720"/>
        <w:jc w:val="both"/>
        <w:rPr>
          <w:rFonts w:eastAsiaTheme="minorHAnsi"/>
          <w:noProof/>
          <w:lang w:eastAsia="en-GB"/>
        </w:rPr>
      </w:pPr>
      <w:r w:rsidRPr="009A7163">
        <w:rPr>
          <w:rFonts w:eastAsiaTheme="minorHAnsi"/>
          <w:noProof/>
          <w:lang w:eastAsia="en-GB"/>
        </w:rPr>
        <w:t xml:space="preserve">In summary, in both cases of the communities in the coffee case study the distribution of care work remains very much gendered and focused on the women. It  is passed onto younger generations, which is in a large part dictated by social norms </w:t>
      </w:r>
      <w:r w:rsidR="00D03222" w:rsidRPr="009A7163">
        <w:rPr>
          <w:rFonts w:eastAsiaTheme="minorHAnsi"/>
          <w:noProof/>
          <w:lang w:eastAsia="en-GB"/>
        </w:rPr>
        <w:t xml:space="preserve">that </w:t>
      </w:r>
      <w:r w:rsidRPr="009A7163">
        <w:rPr>
          <w:rFonts w:eastAsiaTheme="minorHAnsi"/>
          <w:noProof/>
          <w:lang w:eastAsia="en-GB"/>
        </w:rPr>
        <w:lastRenderedPageBreak/>
        <w:t xml:space="preserve">will be explored in the next chapter. However as one women said when reflecting on her household work and the initiative: </w:t>
      </w:r>
    </w:p>
    <w:p w14:paraId="4E9BB856" w14:textId="05C36846" w:rsidR="00C20FCD" w:rsidRPr="009A7163" w:rsidRDefault="00C20FCD" w:rsidP="00293176">
      <w:pPr>
        <w:spacing w:after="180"/>
        <w:ind w:left="720"/>
        <w:jc w:val="both"/>
        <w:rPr>
          <w:rFonts w:eastAsiaTheme="minorHAnsi"/>
          <w:noProof/>
          <w:lang w:eastAsia="en-GB"/>
        </w:rPr>
      </w:pPr>
      <w:r w:rsidRPr="009A7163">
        <w:rPr>
          <w:rFonts w:eastAsiaTheme="minorHAnsi"/>
          <w:noProof/>
          <w:lang w:eastAsia="en-GB"/>
        </w:rPr>
        <w:t>I feel the same. Things feel the same. Nothing really has changed. However, the initiative is something</w:t>
      </w:r>
      <w:r w:rsidR="00FE5EB3" w:rsidRPr="009A7163">
        <w:rPr>
          <w:rFonts w:eastAsiaTheme="minorHAnsi"/>
          <w:noProof/>
          <w:lang w:eastAsia="en-GB"/>
        </w:rPr>
        <w:t>…</w:t>
      </w:r>
      <w:r w:rsidRPr="009A7163">
        <w:rPr>
          <w:rFonts w:eastAsiaTheme="minorHAnsi"/>
          <w:noProof/>
          <w:lang w:eastAsia="en-GB"/>
        </w:rPr>
        <w:t>its more like advice and guidance that will stay with me in my thoughts and will help me motivate my family so that we can work together and be more united especially at home. (Focus Group Women, La Pita-San Ramón, March 4, 2017)</w:t>
      </w:r>
    </w:p>
    <w:p w14:paraId="46FB9EE6" w14:textId="77777777" w:rsidR="00C20FCD" w:rsidRPr="009A7163" w:rsidRDefault="00C20FCD" w:rsidP="00293176">
      <w:pPr>
        <w:spacing w:after="240" w:line="360" w:lineRule="auto"/>
        <w:jc w:val="both"/>
        <w:rPr>
          <w:rFonts w:eastAsiaTheme="minorHAnsi"/>
          <w:lang w:eastAsia="en-GB"/>
        </w:rPr>
      </w:pPr>
      <w:r w:rsidRPr="009A7163">
        <w:rPr>
          <w:rFonts w:eastAsiaTheme="minorHAnsi"/>
          <w:lang w:eastAsia="en-GB"/>
        </w:rPr>
        <w:t xml:space="preserve">So, when looking at the family distribution of paid and unpaid labour in and among coffee and sesame producers and time use, it becomes central to examine the factors that influence the level and distribution of this work. </w:t>
      </w:r>
    </w:p>
    <w:p w14:paraId="3E0BA75C" w14:textId="151435E3" w:rsidR="00C20FCD" w:rsidRPr="009A7163" w:rsidRDefault="00A133BF" w:rsidP="00293176">
      <w:pPr>
        <w:pStyle w:val="Heading2"/>
        <w:rPr>
          <w:rFonts w:eastAsiaTheme="minorHAnsi"/>
          <w:noProof/>
          <w:lang w:val="en-GB" w:eastAsia="en-GB"/>
        </w:rPr>
      </w:pPr>
      <w:bookmarkStart w:id="140" w:name="_Toc526819339"/>
      <w:r w:rsidRPr="009A7163">
        <w:rPr>
          <w:rFonts w:eastAsiaTheme="minorHAnsi"/>
          <w:noProof/>
          <w:lang w:val="en-GB" w:eastAsia="en-GB"/>
        </w:rPr>
        <w:t xml:space="preserve">6.4  </w:t>
      </w:r>
      <w:r w:rsidR="00C20FCD" w:rsidRPr="009A7163">
        <w:rPr>
          <w:rFonts w:eastAsiaTheme="minorHAnsi"/>
          <w:noProof/>
          <w:lang w:val="en-GB" w:eastAsia="en-GB"/>
        </w:rPr>
        <w:t>Conclusion</w:t>
      </w:r>
      <w:bookmarkEnd w:id="140"/>
    </w:p>
    <w:p w14:paraId="60204B0A" w14:textId="3483F798" w:rsidR="00C20FCD" w:rsidRPr="009A7163" w:rsidRDefault="00C20FCD" w:rsidP="00E43EFA">
      <w:pPr>
        <w:spacing w:line="360" w:lineRule="auto"/>
        <w:ind w:firstLine="720"/>
        <w:jc w:val="both"/>
        <w:rPr>
          <w:rFonts w:eastAsiaTheme="minorHAnsi"/>
          <w:lang w:eastAsia="en-GB"/>
        </w:rPr>
      </w:pPr>
      <w:r w:rsidRPr="009A7163">
        <w:rPr>
          <w:rFonts w:eastAsiaTheme="minorHAnsi"/>
          <w:lang w:eastAsia="en-GB"/>
        </w:rPr>
        <w:t>The data analysed clearly point to a set of patterns</w:t>
      </w:r>
      <w:r w:rsidR="00A133BF" w:rsidRPr="009A7163">
        <w:rPr>
          <w:rFonts w:eastAsiaTheme="minorHAnsi"/>
          <w:lang w:eastAsia="en-GB"/>
        </w:rPr>
        <w:t xml:space="preserve"> – </w:t>
      </w:r>
      <w:r w:rsidRPr="009A7163">
        <w:rPr>
          <w:rFonts w:eastAsiaTheme="minorHAnsi"/>
          <w:lang w:eastAsia="en-GB"/>
        </w:rPr>
        <w:t>a number of which were to be expected</w:t>
      </w:r>
      <w:r w:rsidR="00A133BF" w:rsidRPr="009A7163">
        <w:rPr>
          <w:rFonts w:eastAsiaTheme="minorHAnsi"/>
          <w:lang w:eastAsia="en-GB"/>
        </w:rPr>
        <w:t xml:space="preserve"> – </w:t>
      </w:r>
      <w:r w:rsidRPr="009A7163">
        <w:rPr>
          <w:rFonts w:eastAsiaTheme="minorHAnsi"/>
          <w:lang w:eastAsia="en-GB"/>
        </w:rPr>
        <w:t xml:space="preserve">in the ways </w:t>
      </w:r>
      <w:r w:rsidR="005D4F8F" w:rsidRPr="009A7163">
        <w:rPr>
          <w:rFonts w:eastAsiaTheme="minorHAnsi"/>
          <w:lang w:eastAsia="en-GB"/>
        </w:rPr>
        <w:t xml:space="preserve">women and men </w:t>
      </w:r>
      <w:r w:rsidRPr="009A7163">
        <w:rPr>
          <w:rFonts w:eastAsiaTheme="minorHAnsi"/>
          <w:lang w:eastAsia="en-GB"/>
        </w:rPr>
        <w:t xml:space="preserve">distribute their time between paid work and </w:t>
      </w:r>
      <w:r w:rsidR="003A2C87" w:rsidRPr="009A7163">
        <w:rPr>
          <w:rFonts w:eastAsiaTheme="minorHAnsi"/>
          <w:lang w:eastAsia="en-GB"/>
        </w:rPr>
        <w:t>UCW</w:t>
      </w:r>
      <w:r w:rsidRPr="009A7163">
        <w:rPr>
          <w:rFonts w:eastAsiaTheme="minorHAnsi"/>
          <w:lang w:eastAsia="en-GB"/>
        </w:rPr>
        <w:t xml:space="preserve">. Among these we highlight the following: </w:t>
      </w:r>
    </w:p>
    <w:p w14:paraId="51EB9792" w14:textId="7637B335"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 xml:space="preserve">Women’s days are long, arduous and monotonous. They work over 10 hours per day including </w:t>
      </w:r>
      <w:r w:rsidR="003A2C87" w:rsidRPr="009A7163">
        <w:rPr>
          <w:rFonts w:eastAsiaTheme="minorHAnsi"/>
          <w:lang w:eastAsia="en-GB"/>
        </w:rPr>
        <w:t>UCW</w:t>
      </w:r>
      <w:r w:rsidRPr="009A7163">
        <w:rPr>
          <w:rFonts w:eastAsiaTheme="minorHAnsi"/>
          <w:lang w:eastAsia="en-GB"/>
        </w:rPr>
        <w:t>, paid work and community work.</w:t>
      </w:r>
    </w:p>
    <w:p w14:paraId="5622AD2E" w14:textId="51E2FBFA"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 xml:space="preserve">More women, on the other hand, engage in </w:t>
      </w:r>
      <w:r w:rsidR="003A2C87" w:rsidRPr="009A7163">
        <w:rPr>
          <w:rFonts w:eastAsiaTheme="minorHAnsi"/>
          <w:lang w:eastAsia="en-GB"/>
        </w:rPr>
        <w:t>UCW</w:t>
      </w:r>
      <w:r w:rsidRPr="009A7163">
        <w:rPr>
          <w:rFonts w:eastAsiaTheme="minorHAnsi"/>
          <w:lang w:eastAsia="en-GB"/>
        </w:rPr>
        <w:t xml:space="preserve">, and they devote more hours per day to it than do men. </w:t>
      </w:r>
    </w:p>
    <w:p w14:paraId="0B5AA231" w14:textId="77777777"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Time spent on unpaid care is related to gendered division of labour and marital status. Unpaid work is passed on to women in the family often younger. Care remains ‘women specific’.</w:t>
      </w:r>
    </w:p>
    <w:p w14:paraId="2F0CFB88" w14:textId="77777777"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Men rest more than women and only help when it’s an ‘emergency’ of if they decide to. Men ‘help’ women with household chores rather than recognizing it is their responsibility also.</w:t>
      </w:r>
    </w:p>
    <w:p w14:paraId="201A600F" w14:textId="0BE98C40"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 xml:space="preserve">Being employed does not free women from their responsibility for </w:t>
      </w:r>
      <w:r w:rsidR="003A2C87" w:rsidRPr="009A7163">
        <w:rPr>
          <w:rFonts w:eastAsiaTheme="minorHAnsi"/>
          <w:lang w:eastAsia="en-GB"/>
        </w:rPr>
        <w:t>UCW</w:t>
      </w:r>
      <w:r w:rsidRPr="009A7163">
        <w:rPr>
          <w:rFonts w:eastAsiaTheme="minorHAnsi"/>
          <w:lang w:eastAsia="en-GB"/>
        </w:rPr>
        <w:t xml:space="preserve">, indicating that employed women face a work overload. </w:t>
      </w:r>
    </w:p>
    <w:p w14:paraId="2EE3D626" w14:textId="19B63258" w:rsidR="00C20FCD" w:rsidRPr="009A7163" w:rsidRDefault="00C20FCD" w:rsidP="00293176">
      <w:pPr>
        <w:numPr>
          <w:ilvl w:val="0"/>
          <w:numId w:val="6"/>
        </w:numPr>
        <w:spacing w:line="360" w:lineRule="auto"/>
        <w:ind w:left="720"/>
        <w:jc w:val="both"/>
        <w:rPr>
          <w:rFonts w:eastAsiaTheme="minorHAnsi"/>
          <w:lang w:eastAsia="en-GB"/>
        </w:rPr>
      </w:pPr>
      <w:r w:rsidRPr="009A7163">
        <w:rPr>
          <w:rFonts w:eastAsiaTheme="minorHAnsi"/>
          <w:lang w:eastAsia="en-GB"/>
        </w:rPr>
        <w:t>Household income levels a</w:t>
      </w:r>
      <w:r w:rsidR="00F76636" w:rsidRPr="009A7163">
        <w:rPr>
          <w:rFonts w:eastAsiaTheme="minorHAnsi"/>
          <w:lang w:eastAsia="en-GB"/>
        </w:rPr>
        <w:t>ffect</w:t>
      </w:r>
      <w:r w:rsidRPr="009A7163">
        <w:rPr>
          <w:rFonts w:eastAsiaTheme="minorHAnsi"/>
          <w:lang w:eastAsia="en-GB"/>
        </w:rPr>
        <w:t xml:space="preserve"> decision making.</w:t>
      </w:r>
    </w:p>
    <w:p w14:paraId="759B3A35" w14:textId="7DB60B31" w:rsidR="00C20FCD" w:rsidRPr="009A7163" w:rsidRDefault="00C20FCD" w:rsidP="008C041F">
      <w:pPr>
        <w:spacing w:line="360" w:lineRule="auto"/>
        <w:jc w:val="both"/>
        <w:rPr>
          <w:rFonts w:eastAsiaTheme="minorHAnsi"/>
          <w:lang w:eastAsia="en-GB"/>
        </w:rPr>
      </w:pPr>
      <w:r w:rsidRPr="009A7163">
        <w:rPr>
          <w:rFonts w:eastAsiaTheme="minorHAnsi"/>
          <w:lang w:eastAsia="en-GB"/>
        </w:rPr>
        <w:t xml:space="preserve">The above suggests the persistence of traditional conceptions of gender that assign to men the role of household provider and to women that of carer, despite the fact that a </w:t>
      </w:r>
      <w:r w:rsidR="00D83673" w:rsidRPr="009A7163">
        <w:rPr>
          <w:rFonts w:eastAsiaTheme="minorHAnsi"/>
          <w:lang w:eastAsia="en-GB"/>
        </w:rPr>
        <w:t xml:space="preserve">high </w:t>
      </w:r>
      <w:r w:rsidRPr="009A7163">
        <w:rPr>
          <w:rFonts w:eastAsiaTheme="minorHAnsi"/>
          <w:lang w:eastAsia="en-GB"/>
        </w:rPr>
        <w:t>proportion of women – including those with partners and children – are involved in paid work and play the role of providers for the household. Because of their gender, women have limited access to resources and other assets, as explained in the following:</w:t>
      </w:r>
    </w:p>
    <w:p w14:paraId="5F14EB41" w14:textId="477FDCA9"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By assigning the domestic sphere to women, the sexual division of labour causes an </w:t>
      </w:r>
      <w:r w:rsidR="00D03222" w:rsidRPr="009A7163">
        <w:rPr>
          <w:rFonts w:eastAsiaTheme="minorHAnsi"/>
          <w:lang w:eastAsia="en-GB"/>
        </w:rPr>
        <w:t>“</w:t>
      </w:r>
      <w:r w:rsidRPr="009A7163">
        <w:rPr>
          <w:rFonts w:eastAsiaTheme="minorHAnsi"/>
          <w:lang w:eastAsia="en-GB"/>
        </w:rPr>
        <w:t xml:space="preserve">inequality of opportunities for women, as a gender, to gain access to material and social resources (ownership of productive capita, paid labour, </w:t>
      </w:r>
      <w:r w:rsidRPr="009A7163">
        <w:rPr>
          <w:rFonts w:eastAsiaTheme="minorHAnsi"/>
          <w:lang w:eastAsia="en-GB"/>
        </w:rPr>
        <w:lastRenderedPageBreak/>
        <w:t>education and training), and to participate in decision-making in the main political, economic and social policies</w:t>
      </w:r>
      <w:r w:rsidR="00D03222" w:rsidRPr="009A7163">
        <w:rPr>
          <w:rFonts w:eastAsiaTheme="minorHAnsi"/>
          <w:lang w:eastAsia="en-GB"/>
        </w:rPr>
        <w:t>”</w:t>
      </w:r>
      <w:r w:rsidRPr="009A7163">
        <w:rPr>
          <w:rFonts w:eastAsiaTheme="minorHAnsi"/>
          <w:lang w:eastAsia="en-GB"/>
        </w:rPr>
        <w:t>. In fact, women have not only relatively fewer material assets, but also fewer social assets (i.e., the income, goods, and services to which people have access through their social relationships) and fewer cultural assets (the formal education and cultural knowledge that enable people to perform in the human environment), all of which places them at greater risk of being poor</w:t>
      </w:r>
      <w:r w:rsidR="00A133BF" w:rsidRPr="009A7163">
        <w:rPr>
          <w:rFonts w:eastAsiaTheme="minorHAnsi"/>
          <w:lang w:eastAsia="en-GB"/>
        </w:rPr>
        <w:t>.</w:t>
      </w:r>
      <w:r w:rsidRPr="009A7163">
        <w:rPr>
          <w:rFonts w:eastAsiaTheme="minorHAnsi"/>
          <w:lang w:eastAsia="en-GB"/>
        </w:rPr>
        <w:t xml:space="preserve"> (ECLAC, 2004, p. 13)</w:t>
      </w:r>
    </w:p>
    <w:p w14:paraId="4CD72E9A" w14:textId="0F4128BF"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The research findings revealed social norms as a key factor in how roles, responsibilities and time use were distributed. Informal so</w:t>
      </w:r>
      <w:r w:rsidR="006F379F" w:rsidRPr="009A7163">
        <w:rPr>
          <w:rFonts w:eastAsiaTheme="minorHAnsi"/>
          <w:lang w:eastAsia="en-GB"/>
        </w:rPr>
        <w:t>cial norms influence roles and decision making,</w:t>
      </w:r>
      <w:r w:rsidRPr="009A7163">
        <w:rPr>
          <w:rFonts w:eastAsiaTheme="minorHAnsi"/>
          <w:lang w:eastAsia="en-GB"/>
        </w:rPr>
        <w:t xml:space="preserve"> Ingrained from a young age, they reflect collective spoken and unspoken rules about our behaviour. And in almost all societies, social norms differ along gender lines in both obvious and subtle </w:t>
      </w:r>
      <w:r w:rsidR="005D4F8F" w:rsidRPr="009A7163">
        <w:rPr>
          <w:rFonts w:eastAsiaTheme="minorHAnsi"/>
          <w:lang w:eastAsia="en-GB"/>
        </w:rPr>
        <w:t>ways and</w:t>
      </w:r>
      <w:r w:rsidRPr="009A7163">
        <w:rPr>
          <w:rFonts w:eastAsiaTheme="minorHAnsi"/>
          <w:lang w:eastAsia="en-GB"/>
        </w:rPr>
        <w:t xml:space="preserve"> are backed by some form of social sanction (Markel, 2015, p. 1). The next chapter will explore in more details these social norms as well as sanctions, self-sanctions and surveillance practices that keep these social norms in place. </w:t>
      </w:r>
    </w:p>
    <w:p w14:paraId="5262EFC4" w14:textId="77777777" w:rsidR="00C20FCD" w:rsidRPr="009A7163" w:rsidRDefault="00C20FCD" w:rsidP="008C041F">
      <w:pPr>
        <w:spacing w:line="360" w:lineRule="auto"/>
        <w:ind w:firstLine="720"/>
        <w:jc w:val="both"/>
        <w:rPr>
          <w:rFonts w:eastAsiaTheme="minorHAnsi"/>
          <w:lang w:eastAsia="en-GB"/>
        </w:rPr>
      </w:pPr>
    </w:p>
    <w:p w14:paraId="3895108A" w14:textId="77777777" w:rsidR="00C20FCD" w:rsidRPr="009A7163" w:rsidRDefault="00C20FCD">
      <w:pPr>
        <w:spacing w:line="360" w:lineRule="auto"/>
        <w:ind w:firstLine="720"/>
        <w:jc w:val="both"/>
        <w:rPr>
          <w:rFonts w:eastAsiaTheme="minorHAnsi"/>
          <w:lang w:eastAsia="en-GB"/>
        </w:rPr>
      </w:pPr>
    </w:p>
    <w:p w14:paraId="49A84BE8" w14:textId="77777777" w:rsidR="00C20FCD" w:rsidRPr="009A7163" w:rsidRDefault="00C20FCD">
      <w:pPr>
        <w:spacing w:line="360" w:lineRule="auto"/>
        <w:ind w:firstLine="720"/>
        <w:jc w:val="both"/>
        <w:rPr>
          <w:rFonts w:eastAsiaTheme="minorHAnsi"/>
          <w:lang w:eastAsia="en-GB"/>
        </w:rPr>
      </w:pPr>
    </w:p>
    <w:p w14:paraId="5874F1F3" w14:textId="77777777" w:rsidR="00C20FCD" w:rsidRPr="009A7163" w:rsidRDefault="00C20FCD">
      <w:pPr>
        <w:spacing w:line="360" w:lineRule="auto"/>
        <w:ind w:firstLine="720"/>
        <w:jc w:val="both"/>
        <w:rPr>
          <w:rFonts w:eastAsiaTheme="minorHAnsi"/>
          <w:lang w:eastAsia="en-GB"/>
        </w:rPr>
      </w:pPr>
    </w:p>
    <w:p w14:paraId="1972DBFC" w14:textId="77777777" w:rsidR="00C20FCD" w:rsidRPr="009A7163" w:rsidRDefault="00C20FCD">
      <w:pPr>
        <w:spacing w:line="360" w:lineRule="auto"/>
        <w:ind w:firstLine="720"/>
        <w:jc w:val="both"/>
        <w:rPr>
          <w:rFonts w:eastAsiaTheme="minorHAnsi"/>
          <w:lang w:eastAsia="en-GB"/>
        </w:rPr>
      </w:pPr>
    </w:p>
    <w:p w14:paraId="666E0AD1" w14:textId="77777777" w:rsidR="00C20FCD" w:rsidRPr="009A7163" w:rsidRDefault="00C20FCD">
      <w:pPr>
        <w:spacing w:line="360" w:lineRule="auto"/>
        <w:ind w:firstLine="720"/>
        <w:jc w:val="both"/>
        <w:rPr>
          <w:rFonts w:eastAsiaTheme="minorHAnsi"/>
          <w:lang w:eastAsia="en-GB"/>
        </w:rPr>
      </w:pPr>
    </w:p>
    <w:p w14:paraId="26A1DD94" w14:textId="77777777" w:rsidR="00C20FCD" w:rsidRPr="009A7163" w:rsidRDefault="00C20FCD">
      <w:pPr>
        <w:spacing w:line="360" w:lineRule="auto"/>
        <w:ind w:firstLine="720"/>
        <w:jc w:val="both"/>
        <w:rPr>
          <w:rFonts w:eastAsiaTheme="minorHAnsi"/>
          <w:lang w:eastAsia="en-GB"/>
        </w:rPr>
      </w:pPr>
    </w:p>
    <w:p w14:paraId="1BA9DBF2" w14:textId="77777777" w:rsidR="00A133BF" w:rsidRPr="009A7163" w:rsidRDefault="00A133BF" w:rsidP="00FE246F">
      <w:pPr>
        <w:spacing w:line="360" w:lineRule="auto"/>
        <w:ind w:firstLine="720"/>
        <w:jc w:val="both"/>
        <w:rPr>
          <w:rFonts w:eastAsiaTheme="minorHAnsi"/>
          <w:lang w:eastAsia="en-GB"/>
        </w:rPr>
        <w:sectPr w:rsidR="00A133BF" w:rsidRPr="009A7163" w:rsidSect="00171CF0">
          <w:footnotePr>
            <w:numRestart w:val="eachSect"/>
          </w:footnotePr>
          <w:pgSz w:w="11907" w:h="16839" w:code="9"/>
          <w:pgMar w:top="1440" w:right="1440" w:bottom="1440" w:left="2160" w:header="706" w:footer="706" w:gutter="0"/>
          <w:cols w:space="708"/>
          <w:docGrid w:linePitch="360"/>
        </w:sectPr>
      </w:pPr>
    </w:p>
    <w:p w14:paraId="69D78B1E" w14:textId="121EECDC" w:rsidR="00C20FCD" w:rsidRPr="009A7163" w:rsidRDefault="00A133BF" w:rsidP="00293176">
      <w:pPr>
        <w:pStyle w:val="Heading1"/>
        <w:rPr>
          <w:b w:val="0"/>
          <w:sz w:val="28"/>
        </w:rPr>
      </w:pPr>
      <w:bookmarkStart w:id="141" w:name="_Toc526819340"/>
      <w:r w:rsidRPr="009A7163">
        <w:rPr>
          <w:sz w:val="28"/>
        </w:rPr>
        <w:lastRenderedPageBreak/>
        <w:t xml:space="preserve">Chapter Seven: Social Norms and </w:t>
      </w:r>
      <w:r w:rsidR="008C041F" w:rsidRPr="009A7163">
        <w:rPr>
          <w:sz w:val="28"/>
        </w:rPr>
        <w:t>t</w:t>
      </w:r>
      <w:r w:rsidRPr="009A7163">
        <w:rPr>
          <w:sz w:val="28"/>
        </w:rPr>
        <w:t>he Family Distribution of Labour and Time Use</w:t>
      </w:r>
      <w:bookmarkEnd w:id="141"/>
    </w:p>
    <w:p w14:paraId="0D00DD23" w14:textId="77777777" w:rsidR="00C20FCD" w:rsidRPr="009A7163" w:rsidRDefault="00C20FCD" w:rsidP="007A3A29">
      <w:pPr>
        <w:ind w:firstLine="720"/>
        <w:jc w:val="both"/>
        <w:rPr>
          <w:rFonts w:eastAsiaTheme="minorHAnsi"/>
          <w:b/>
          <w:lang w:eastAsia="en-GB"/>
        </w:rPr>
      </w:pPr>
    </w:p>
    <w:p w14:paraId="75303605" w14:textId="77777777" w:rsidR="00C20FCD" w:rsidRPr="009A7163" w:rsidRDefault="00C20FCD" w:rsidP="007A3A29">
      <w:pPr>
        <w:ind w:firstLine="720"/>
        <w:jc w:val="both"/>
        <w:rPr>
          <w:rFonts w:eastAsiaTheme="minorHAnsi"/>
          <w:b/>
          <w:lang w:eastAsia="en-GB"/>
        </w:rPr>
      </w:pPr>
    </w:p>
    <w:p w14:paraId="55954165" w14:textId="45A9D22E" w:rsidR="00C20FCD" w:rsidRPr="009A7163" w:rsidRDefault="00C20FCD" w:rsidP="00293176">
      <w:pPr>
        <w:pStyle w:val="Heading2"/>
        <w:rPr>
          <w:rFonts w:eastAsiaTheme="minorHAnsi"/>
          <w:lang w:val="en-GB" w:eastAsia="en-GB"/>
        </w:rPr>
      </w:pPr>
      <w:bookmarkStart w:id="142" w:name="_Toc526819341"/>
      <w:r w:rsidRPr="009A7163">
        <w:rPr>
          <w:rFonts w:eastAsiaTheme="minorHAnsi"/>
          <w:lang w:val="en-GB" w:eastAsia="en-GB"/>
        </w:rPr>
        <w:t>7.1  Introduction</w:t>
      </w:r>
      <w:bookmarkEnd w:id="142"/>
    </w:p>
    <w:p w14:paraId="59FAA8F7" w14:textId="2278ACC2"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In the previous chapter (</w:t>
      </w:r>
      <w:r w:rsidR="00B44AC2" w:rsidRPr="009A7163">
        <w:rPr>
          <w:rFonts w:eastAsiaTheme="minorHAnsi"/>
          <w:lang w:eastAsia="en-GB"/>
        </w:rPr>
        <w:t>Chapter Six</w:t>
      </w:r>
      <w:r w:rsidRPr="009A7163">
        <w:rPr>
          <w:rFonts w:eastAsiaTheme="minorHAnsi"/>
          <w:lang w:eastAsia="en-GB"/>
        </w:rPr>
        <w:t xml:space="preserve">), I showed how the findings revealed that the family distribution of paid and unpaid work in both case studies were largely shaped by gender. </w:t>
      </w:r>
      <w:r w:rsidR="00B44AC2" w:rsidRPr="009A7163">
        <w:rPr>
          <w:rFonts w:eastAsiaTheme="minorHAnsi"/>
          <w:lang w:eastAsia="en-GB"/>
        </w:rPr>
        <w:t>Chapter Five</w:t>
      </w:r>
      <w:r w:rsidRPr="009A7163">
        <w:rPr>
          <w:rFonts w:eastAsiaTheme="minorHAnsi"/>
          <w:lang w:eastAsia="en-GB"/>
        </w:rPr>
        <w:t xml:space="preserve"> discussed definitions of work and how definitions are not ‘value free’, but rather based on a particular view of the economy. The system of national accounts (SNA) is one example of this. Yet whilst the concept of what constitutes work is contested, the men and women in both case studies argued that there is an interconnectedness between </w:t>
      </w:r>
      <w:r w:rsidR="00832276" w:rsidRPr="009A7163">
        <w:rPr>
          <w:rFonts w:eastAsiaTheme="minorHAnsi"/>
          <w:lang w:eastAsia="en-GB"/>
        </w:rPr>
        <w:t>unpaid care work (UCW)</w:t>
      </w:r>
      <w:r w:rsidRPr="009A7163">
        <w:rPr>
          <w:rFonts w:eastAsiaTheme="minorHAnsi"/>
          <w:lang w:eastAsia="en-GB"/>
        </w:rPr>
        <w:t xml:space="preserve"> and paid work (i.e., the labour in sesame and coffee). Paid work is not possible without </w:t>
      </w:r>
      <w:r w:rsidR="003A2C87" w:rsidRPr="009A7163">
        <w:rPr>
          <w:rFonts w:eastAsiaTheme="minorHAnsi"/>
          <w:lang w:eastAsia="en-GB"/>
        </w:rPr>
        <w:t>UCW</w:t>
      </w:r>
      <w:r w:rsidRPr="009A7163">
        <w:rPr>
          <w:rFonts w:eastAsiaTheme="minorHAnsi"/>
          <w:lang w:eastAsia="en-GB"/>
        </w:rPr>
        <w:t xml:space="preserve">. This chapter builds on the argument made in the previous two analysis chapters that work remains unequally distributed and divided by the sexual division of roles and responsibilities, and that care work </w:t>
      </w:r>
      <w:r w:rsidR="00AB03CD" w:rsidRPr="009A7163">
        <w:rPr>
          <w:rFonts w:eastAsiaTheme="minorHAnsi"/>
          <w:lang w:eastAsia="en-GB"/>
        </w:rPr>
        <w:t xml:space="preserve">in particular </w:t>
      </w:r>
      <w:r w:rsidRPr="009A7163">
        <w:rPr>
          <w:rFonts w:eastAsiaTheme="minorHAnsi"/>
          <w:lang w:eastAsia="en-GB"/>
        </w:rPr>
        <w:t xml:space="preserve">remains ‘women specific’, which is largely due to social norms. </w:t>
      </w:r>
      <w:r w:rsidR="00AB03CD" w:rsidRPr="009A7163">
        <w:rPr>
          <w:rFonts w:eastAsiaTheme="minorHAnsi"/>
          <w:lang w:eastAsia="en-GB"/>
        </w:rPr>
        <w:t>The</w:t>
      </w:r>
      <w:r w:rsidRPr="009A7163">
        <w:rPr>
          <w:rFonts w:eastAsiaTheme="minorHAnsi"/>
          <w:lang w:eastAsia="en-GB"/>
        </w:rPr>
        <w:t xml:space="preserve"> purpose </w:t>
      </w:r>
      <w:r w:rsidR="00AB03CD" w:rsidRPr="009A7163">
        <w:rPr>
          <w:rFonts w:eastAsiaTheme="minorHAnsi"/>
          <w:lang w:eastAsia="en-GB"/>
        </w:rPr>
        <w:t xml:space="preserve">of this chapter </w:t>
      </w:r>
      <w:r w:rsidRPr="009A7163">
        <w:rPr>
          <w:rFonts w:eastAsiaTheme="minorHAnsi"/>
          <w:lang w:eastAsia="en-GB"/>
        </w:rPr>
        <w:t xml:space="preserve">is to provide insight into the different layers of power at play, which is particularly important to understand how successful the initiative can be in achieving its goals of empowerment. </w:t>
      </w:r>
    </w:p>
    <w:p w14:paraId="0030ED71" w14:textId="0A884F98" w:rsidR="00C20FCD" w:rsidRPr="009A7163" w:rsidRDefault="00C20FCD">
      <w:pPr>
        <w:spacing w:line="360" w:lineRule="auto"/>
        <w:ind w:firstLine="720"/>
        <w:jc w:val="both"/>
        <w:rPr>
          <w:rFonts w:eastAsiaTheme="minorHAnsi"/>
          <w:lang w:eastAsia="en-GB"/>
        </w:rPr>
      </w:pPr>
      <w:r w:rsidRPr="009A7163">
        <w:rPr>
          <w:rFonts w:eastAsiaTheme="minorHAnsi"/>
          <w:lang w:eastAsia="en-GB"/>
        </w:rPr>
        <w:t>The present chapter primarily discusses how social norms affect and shape the family distribution of labour and time use in the case studies. Furthermore, the chapter highlights how these norms can be taken for granted and unquestioned, reflecting inequality buried at a deeper level of the ‘doxa’ (Bourdieu, 1977), as well as how they can be maintained through sanctioning and surveillance practices. Drawing on data collected through semi-structured interviews and focus groups, this chapter analyses the social norms that define time use, gender roles and the distribution of work. Much of the data that speaks to surveillance practices at a macro level (e.g., at the state or national level) comes from expert interviews and the examples of specific surveillance and sanctioning (including self-sanctioning) practices is evidenced from participants in the initiative at the micro level. I start with the micro level and then proceed to the macro level to provide a bigger picture and show how discourses and surveillance at a marcro level play out at an individual and community level.</w:t>
      </w:r>
    </w:p>
    <w:p w14:paraId="7011B621" w14:textId="2A6227C7"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I begin this chapter with a definition of social norms touched upon in </w:t>
      </w:r>
      <w:r w:rsidR="00B44AC2" w:rsidRPr="009A7163">
        <w:rPr>
          <w:rFonts w:eastAsiaTheme="minorHAnsi"/>
          <w:lang w:eastAsia="en-GB"/>
        </w:rPr>
        <w:t>Chapter Two</w:t>
      </w:r>
      <w:r w:rsidRPr="009A7163">
        <w:rPr>
          <w:rFonts w:eastAsiaTheme="minorHAnsi"/>
          <w:lang w:eastAsia="en-GB"/>
        </w:rPr>
        <w:t xml:space="preserve"> and then I briefly present the concept of sanctioning and surveillance practices. After showing how they are interrelated, I use examples of sanctioning and surveillance </w:t>
      </w:r>
      <w:r w:rsidRPr="009A7163">
        <w:rPr>
          <w:rFonts w:eastAsiaTheme="minorHAnsi"/>
          <w:lang w:eastAsia="en-GB"/>
        </w:rPr>
        <w:lastRenderedPageBreak/>
        <w:t xml:space="preserve">practices to present my findings. In particular I link this to a Foucauldian reading of power and surveillance whereby I highlight how surveillance and sanctioning practices occur in both case studies. Overall, the findings demonstrate how social norms affect time use, gender roles and </w:t>
      </w:r>
      <w:r w:rsidR="00AB03CD" w:rsidRPr="009A7163">
        <w:rPr>
          <w:rFonts w:eastAsiaTheme="minorHAnsi"/>
          <w:lang w:eastAsia="en-GB"/>
        </w:rPr>
        <w:t xml:space="preserve">the </w:t>
      </w:r>
      <w:r w:rsidRPr="009A7163">
        <w:rPr>
          <w:rFonts w:eastAsiaTheme="minorHAnsi"/>
          <w:lang w:eastAsia="en-GB"/>
        </w:rPr>
        <w:t xml:space="preserve">distribution of labour within the family, which is a site of both gender inequality and the reproduction of this inequality. The chapter ends with a conclusion about how these social norms and practices act as structures of constraint to processes of change including that of empowerment, the subject of the initiative. </w:t>
      </w:r>
    </w:p>
    <w:p w14:paraId="72850506" w14:textId="129CC18E" w:rsidR="00C20FCD" w:rsidRPr="009A7163" w:rsidRDefault="00C20FCD" w:rsidP="00293176">
      <w:pPr>
        <w:pStyle w:val="Heading2"/>
        <w:rPr>
          <w:rFonts w:eastAsiaTheme="minorHAnsi"/>
          <w:lang w:val="en-GB" w:eastAsia="en-GB"/>
        </w:rPr>
      </w:pPr>
      <w:bookmarkStart w:id="143" w:name="_Toc526819342"/>
      <w:r w:rsidRPr="009A7163">
        <w:rPr>
          <w:rFonts w:eastAsiaTheme="minorHAnsi"/>
          <w:lang w:val="en-GB" w:eastAsia="en-GB"/>
        </w:rPr>
        <w:t>7.2  Social Norms, Sanctioning and Surveillance Practices and the Family</w:t>
      </w:r>
      <w:bookmarkEnd w:id="143"/>
    </w:p>
    <w:p w14:paraId="741EBB20" w14:textId="108A336E"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As detailed in the literature review in </w:t>
      </w:r>
      <w:r w:rsidR="00B44AC2" w:rsidRPr="009A7163">
        <w:rPr>
          <w:rFonts w:eastAsiaTheme="minorHAnsi"/>
          <w:lang w:eastAsia="en-GB"/>
        </w:rPr>
        <w:t>Chapter Two</w:t>
      </w:r>
      <w:r w:rsidRPr="009A7163">
        <w:rPr>
          <w:rFonts w:eastAsiaTheme="minorHAnsi"/>
          <w:lang w:eastAsia="en-GB"/>
        </w:rPr>
        <w:t xml:space="preserve">, social norms are behavioural rules shared by people in a given society or group. They define ‘what is considered “normal” and appropriate behaviour for that group’ (Cislaghi and Heise, 2016, p. 4). This also extends to gender where there are ‘informal rules and shared social expectations that distinguish expected behaviour on the basis of gender’ (Marcus and Harper, 2014, p. 4). These beliefs are unsaid rules to which people conform. They shape mutual expectations about appropriate behaviours within the group which in turn shapes the actual behaviour of groups of individuals. These beliefs become so important that in some cases, ‘what an individual believes others expect of him or her (and the sanctions and rewards that may follow) can be a more powerful driver, or constraint, than individual attitudes, or the law’ (Alexander-Scott, 2016, p. 6). Social norms are enforced by different mechanisms for example either overtly (e.g., institutional methods of control, media, social media, etc.) or covertly. Munoz Boudet et al. (2012) argue that: </w:t>
      </w:r>
    </w:p>
    <w:p w14:paraId="59FDB5E1" w14:textId="351D7628" w:rsidR="00C20FCD" w:rsidRPr="009A7163" w:rsidRDefault="00C20FCD" w:rsidP="00293176">
      <w:pPr>
        <w:spacing w:after="180"/>
        <w:ind w:left="720"/>
        <w:jc w:val="both"/>
        <w:rPr>
          <w:rFonts w:eastAsiaTheme="minorHAnsi"/>
          <w:lang w:eastAsia="en-GB"/>
        </w:rPr>
      </w:pPr>
      <w:r w:rsidRPr="009A7163">
        <w:rPr>
          <w:rFonts w:eastAsiaTheme="minorHAnsi"/>
          <w:lang w:eastAsia="en-GB"/>
        </w:rPr>
        <w:t>…among the covert are two powerful concepts: the normal and the deviant. Deviant is any behaviour that threatens expectations and norms of individual behaviour or that may challenge power. Ideas about what is normal and what is deviant are constructed by those who have the power to impose their views and have them accepted.</w:t>
      </w:r>
      <w:r w:rsidR="00AB03CD" w:rsidRPr="009A7163">
        <w:rPr>
          <w:rFonts w:eastAsiaTheme="minorHAnsi"/>
          <w:lang w:eastAsia="en-GB"/>
        </w:rPr>
        <w:t xml:space="preserve"> (p. 25)</w:t>
      </w:r>
    </w:p>
    <w:p w14:paraId="7537714C" w14:textId="5C396895"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A recent study by Markel et al. (2016) suggest</w:t>
      </w:r>
      <w:r w:rsidR="00AB03CD" w:rsidRPr="009A7163">
        <w:rPr>
          <w:rFonts w:eastAsiaTheme="minorHAnsi"/>
          <w:lang w:eastAsia="en-GB"/>
        </w:rPr>
        <w:t>s</w:t>
      </w:r>
      <w:r w:rsidRPr="009A7163">
        <w:rPr>
          <w:rFonts w:eastAsiaTheme="minorHAnsi"/>
          <w:lang w:eastAsia="en-GB"/>
        </w:rPr>
        <w:t xml:space="preserve"> that women’s access to resources and agency is constrained by social norms which are maintained by sanctioning and surveillance practices at different levels. Markel et al. (2016) give examples of these whereby:</w:t>
      </w:r>
    </w:p>
    <w:p w14:paraId="6B025469" w14:textId="761081CD"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 Transgressions can be met with self-sanctioning, such as shame or guilt, as well as the threat of external sanctions (carried out or not), such as gossip, ostracism, or violence, which serve to ensure compliance. Negative sanctions maintain social norms by reinforcing individual preferences for certain behaviour</w:t>
      </w:r>
      <w:r w:rsidRPr="009A7163">
        <w:rPr>
          <w:rFonts w:eastAsiaTheme="minorHAnsi"/>
          <w:b/>
          <w:i/>
          <w:lang w:eastAsia="en-GB"/>
        </w:rPr>
        <w:t xml:space="preserve">. </w:t>
      </w:r>
      <w:r w:rsidRPr="009A7163">
        <w:rPr>
          <w:rFonts w:eastAsiaTheme="minorHAnsi"/>
          <w:lang w:eastAsia="en-GB"/>
        </w:rPr>
        <w:t xml:space="preserve">They are also accompanied by surveillance practices. </w:t>
      </w:r>
      <w:r w:rsidR="00AB03CD" w:rsidRPr="009A7163">
        <w:rPr>
          <w:rFonts w:eastAsiaTheme="minorHAnsi"/>
          <w:lang w:eastAsia="en-GB"/>
        </w:rPr>
        <w:t>(p. 5)</w:t>
      </w:r>
    </w:p>
    <w:p w14:paraId="536D3E3F" w14:textId="77777777"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lastRenderedPageBreak/>
        <w:t xml:space="preserve">In this chapter I elaborate on this concept and examine the findings in relation to surveillance practices and social norms by linking it to Foucault’s (1975) work on surveillance and analysing the results through a feminist Foucauldian notion of the family as a disciplinary institution whereby the family can become a site of surveillance and women can adopt self-surveillance through practices guilt which was touched upon in Chapter Two. </w:t>
      </w:r>
    </w:p>
    <w:p w14:paraId="20F9EBB4" w14:textId="11D58487" w:rsidR="00C20FCD" w:rsidRPr="009A7163" w:rsidRDefault="00C20FCD" w:rsidP="00293176">
      <w:pPr>
        <w:pStyle w:val="Heading3"/>
        <w:rPr>
          <w:rFonts w:eastAsiaTheme="minorHAnsi"/>
          <w:lang w:eastAsia="en-GB"/>
        </w:rPr>
      </w:pPr>
      <w:bookmarkStart w:id="144" w:name="_Toc526819343"/>
      <w:r w:rsidRPr="009A7163">
        <w:rPr>
          <w:rFonts w:eastAsiaTheme="minorHAnsi"/>
          <w:lang w:eastAsia="en-GB"/>
        </w:rPr>
        <w:t>7.2.1</w:t>
      </w:r>
      <w:r w:rsidR="00A133BF" w:rsidRPr="009A7163">
        <w:rPr>
          <w:rFonts w:eastAsiaTheme="minorHAnsi"/>
          <w:lang w:eastAsia="en-GB"/>
        </w:rPr>
        <w:t xml:space="preserve"> </w:t>
      </w:r>
      <w:r w:rsidRPr="009A7163">
        <w:rPr>
          <w:rFonts w:eastAsiaTheme="minorHAnsi"/>
          <w:lang w:eastAsia="en-GB"/>
        </w:rPr>
        <w:t xml:space="preserve"> Norm 1: Division Of Labour, Time Use and Perceived Appropriate Types </w:t>
      </w:r>
      <w:r w:rsidR="00AB03CD" w:rsidRPr="009A7163">
        <w:rPr>
          <w:rFonts w:eastAsiaTheme="minorHAnsi"/>
          <w:lang w:eastAsia="en-GB"/>
        </w:rPr>
        <w:t>o</w:t>
      </w:r>
      <w:r w:rsidRPr="009A7163">
        <w:rPr>
          <w:rFonts w:eastAsiaTheme="minorHAnsi"/>
          <w:lang w:eastAsia="en-GB"/>
        </w:rPr>
        <w:t>f Work</w:t>
      </w:r>
      <w:bookmarkEnd w:id="144"/>
    </w:p>
    <w:p w14:paraId="2ED412B0" w14:textId="77F205E2"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Sanctions (both external and self-sanctioning) on what is perceived as appropriate types of work are influenced and internalised from surveillance practices </w:t>
      </w:r>
      <w:r w:rsidR="00AB03CD" w:rsidRPr="009A7163">
        <w:rPr>
          <w:rFonts w:eastAsiaTheme="minorHAnsi"/>
          <w:lang w:eastAsia="en-GB"/>
        </w:rPr>
        <w:t>that</w:t>
      </w:r>
      <w:r w:rsidRPr="009A7163">
        <w:rPr>
          <w:rFonts w:eastAsiaTheme="minorHAnsi"/>
          <w:lang w:eastAsia="en-GB"/>
        </w:rPr>
        <w:t xml:space="preserve"> forge strong ideas of around the role of the family and motherhood</w:t>
      </w:r>
      <w:r w:rsidR="00AB03CD" w:rsidRPr="009A7163">
        <w:rPr>
          <w:rFonts w:eastAsiaTheme="minorHAnsi"/>
          <w:lang w:eastAsia="en-GB"/>
        </w:rPr>
        <w:t>,</w:t>
      </w:r>
      <w:r w:rsidRPr="009A7163">
        <w:rPr>
          <w:rFonts w:eastAsiaTheme="minorHAnsi"/>
          <w:lang w:eastAsia="en-GB"/>
        </w:rPr>
        <w:t xml:space="preserve"> which in the case of Nicaragua comes explicitly from the State and the Church (</w:t>
      </w:r>
      <w:r w:rsidR="00AB03CD" w:rsidRPr="009A7163">
        <w:rPr>
          <w:rFonts w:eastAsiaTheme="minorHAnsi"/>
          <w:lang w:eastAsia="en-GB"/>
        </w:rPr>
        <w:t>s</w:t>
      </w:r>
      <w:r w:rsidRPr="009A7163">
        <w:rPr>
          <w:rFonts w:eastAsiaTheme="minorHAnsi"/>
          <w:lang w:eastAsia="en-GB"/>
        </w:rPr>
        <w:t>ee</w:t>
      </w:r>
      <w:r w:rsidR="00AB03CD" w:rsidRPr="009A7163">
        <w:rPr>
          <w:rFonts w:eastAsiaTheme="minorHAnsi"/>
          <w:lang w:eastAsia="en-GB"/>
        </w:rPr>
        <w:t>,</w:t>
      </w:r>
      <w:r w:rsidRPr="009A7163">
        <w:rPr>
          <w:rFonts w:eastAsiaTheme="minorHAnsi"/>
          <w:lang w:eastAsia="en-GB"/>
        </w:rPr>
        <w:t xml:space="preserve"> for example</w:t>
      </w:r>
      <w:r w:rsidR="00AB03CD" w:rsidRPr="009A7163">
        <w:rPr>
          <w:rFonts w:eastAsiaTheme="minorHAnsi"/>
          <w:lang w:eastAsia="en-GB"/>
        </w:rPr>
        <w:t>,</w:t>
      </w:r>
      <w:r w:rsidRPr="009A7163">
        <w:rPr>
          <w:rFonts w:eastAsiaTheme="minorHAnsi"/>
          <w:lang w:eastAsia="en-GB"/>
        </w:rPr>
        <w:t xml:space="preserve"> Bradshaw, 2008). In this sub</w:t>
      </w:r>
      <w:r w:rsidR="00AB03CD" w:rsidRPr="009A7163">
        <w:rPr>
          <w:rFonts w:eastAsiaTheme="minorHAnsi"/>
          <w:lang w:eastAsia="en-GB"/>
        </w:rPr>
        <w:t>-</w:t>
      </w:r>
      <w:r w:rsidRPr="009A7163">
        <w:rPr>
          <w:rFonts w:eastAsiaTheme="minorHAnsi"/>
          <w:lang w:eastAsia="en-GB"/>
        </w:rPr>
        <w:t>section</w:t>
      </w:r>
      <w:r w:rsidR="00AB03CD" w:rsidRPr="009A7163">
        <w:rPr>
          <w:rFonts w:eastAsiaTheme="minorHAnsi"/>
          <w:lang w:eastAsia="en-GB"/>
        </w:rPr>
        <w:t>,</w:t>
      </w:r>
      <w:r w:rsidRPr="009A7163">
        <w:rPr>
          <w:rFonts w:eastAsiaTheme="minorHAnsi"/>
          <w:lang w:eastAsia="en-GB"/>
        </w:rPr>
        <w:t xml:space="preserve"> I present how these different practices revealed themselves in my fieldwork, I start with external sanctions and then self-sanctioning practices, after this I link it to the bigger picture</w:t>
      </w:r>
      <w:r w:rsidR="00AB03CD" w:rsidRPr="009A7163">
        <w:rPr>
          <w:rFonts w:eastAsiaTheme="minorHAnsi"/>
          <w:lang w:eastAsia="en-GB"/>
        </w:rPr>
        <w:t>,</w:t>
      </w:r>
      <w:r w:rsidRPr="009A7163">
        <w:rPr>
          <w:rFonts w:eastAsiaTheme="minorHAnsi"/>
          <w:lang w:eastAsia="en-GB"/>
        </w:rPr>
        <w:t xml:space="preserve"> w</w:t>
      </w:r>
      <w:r w:rsidR="00AB03CD" w:rsidRPr="009A7163">
        <w:rPr>
          <w:rFonts w:eastAsiaTheme="minorHAnsi"/>
          <w:lang w:eastAsia="en-GB"/>
        </w:rPr>
        <w:t>eaving</w:t>
      </w:r>
      <w:r w:rsidRPr="009A7163">
        <w:rPr>
          <w:rFonts w:eastAsiaTheme="minorHAnsi"/>
          <w:lang w:eastAsia="en-GB"/>
        </w:rPr>
        <w:t xml:space="preserve"> findings from key informants with scholarly literature on the subject.</w:t>
      </w:r>
    </w:p>
    <w:p w14:paraId="18DDA98E" w14:textId="77777777" w:rsidR="00C20FCD" w:rsidRPr="009A7163" w:rsidRDefault="00C20FCD" w:rsidP="00293176">
      <w:pPr>
        <w:pStyle w:val="Heading4"/>
        <w:rPr>
          <w:rFonts w:eastAsiaTheme="minorHAnsi"/>
        </w:rPr>
      </w:pPr>
      <w:bookmarkStart w:id="145" w:name="_Toc526819344"/>
      <w:r w:rsidRPr="009A7163">
        <w:rPr>
          <w:rFonts w:eastAsiaTheme="minorHAnsi"/>
        </w:rPr>
        <w:t>7.2.1.1 External Sanctions</w:t>
      </w:r>
      <w:bookmarkEnd w:id="145"/>
    </w:p>
    <w:p w14:paraId="0ABE683C" w14:textId="1AD8B1B4"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External sanctions maintain social norms by reinforcing individual preferences for certain behaviours</w:t>
      </w:r>
      <w:r w:rsidR="00AB03CD" w:rsidRPr="009A7163">
        <w:rPr>
          <w:rFonts w:eastAsiaTheme="minorHAnsi"/>
          <w:lang w:eastAsia="en-GB"/>
        </w:rPr>
        <w:t>,</w:t>
      </w:r>
      <w:r w:rsidRPr="009A7163">
        <w:rPr>
          <w:rFonts w:eastAsiaTheme="minorHAnsi"/>
          <w:lang w:eastAsia="en-GB"/>
        </w:rPr>
        <w:t xml:space="preserve"> and my data shows that social norms concerning gender roles dictate what is considered the appropriate type of work for men and women. Furthermore, negative sanctions, such as teasing and ostracism, reinforced gender roles and individual preferences for certain behaviours and gender roles. In particular the idea of doing certain tasks that go against dominant social norms related to gender roles was met by teasing and laughter. For example, the male participants in the focus group held in Achuapa (February 6, 2015) said that they would not do specific </w:t>
      </w:r>
      <w:r w:rsidR="003A2C87" w:rsidRPr="009A7163">
        <w:rPr>
          <w:rFonts w:eastAsiaTheme="minorHAnsi"/>
          <w:lang w:eastAsia="en-GB"/>
        </w:rPr>
        <w:t>UCW</w:t>
      </w:r>
      <w:r w:rsidRPr="009A7163">
        <w:rPr>
          <w:rFonts w:eastAsiaTheme="minorHAnsi"/>
          <w:lang w:eastAsia="en-GB"/>
        </w:rPr>
        <w:t xml:space="preserve"> tasks because they are considered too feminine and the men would be ashamed to be seen doing them. In this same focus group, one man said: </w:t>
      </w:r>
    </w:p>
    <w:p w14:paraId="45B16963" w14:textId="7D64E37C" w:rsidR="00C20FCD" w:rsidRPr="009A7163" w:rsidRDefault="00C20FCD" w:rsidP="00293176">
      <w:pPr>
        <w:spacing w:after="180"/>
        <w:ind w:left="720"/>
        <w:jc w:val="both"/>
        <w:rPr>
          <w:rFonts w:eastAsiaTheme="minorHAnsi"/>
          <w:lang w:eastAsia="en-GB"/>
        </w:rPr>
      </w:pPr>
      <w:r w:rsidRPr="009A7163">
        <w:rPr>
          <w:rFonts w:eastAsiaTheme="minorHAnsi"/>
          <w:lang w:eastAsia="en-GB"/>
        </w:rPr>
        <w:t>Honestly, us men won’t make tortillas, I for one, don’t like it. It’s not because it’s hard to do but because making tortillas is a really domestic job</w:t>
      </w:r>
      <w:r w:rsidR="00FE5EB3" w:rsidRPr="009A7163">
        <w:rPr>
          <w:rFonts w:eastAsiaTheme="minorHAnsi"/>
          <w:lang w:eastAsia="en-GB"/>
        </w:rPr>
        <w:t>…</w:t>
      </w:r>
      <w:r w:rsidRPr="009A7163">
        <w:rPr>
          <w:rFonts w:eastAsiaTheme="minorHAnsi"/>
          <w:lang w:eastAsia="en-GB"/>
        </w:rPr>
        <w:t>it’s more for women than for men. (Men’s Focus Group, Achuapa, February 6, 2015)</w:t>
      </w:r>
    </w:p>
    <w:p w14:paraId="4224DF85" w14:textId="77777777" w:rsidR="00C20FCD" w:rsidRPr="009A7163" w:rsidRDefault="00C20FCD" w:rsidP="00293176">
      <w:pPr>
        <w:spacing w:line="360" w:lineRule="auto"/>
        <w:jc w:val="both"/>
        <w:rPr>
          <w:rFonts w:eastAsiaTheme="minorHAnsi"/>
          <w:lang w:eastAsia="en-GB"/>
        </w:rPr>
      </w:pPr>
      <w:r w:rsidRPr="009A7163">
        <w:rPr>
          <w:rFonts w:eastAsiaTheme="minorHAnsi"/>
          <w:lang w:eastAsia="en-GB"/>
        </w:rPr>
        <w:t xml:space="preserve">This was met with laughter and comments teasing men that would spend time making tortillas. In the men’s focus group held in La Pita (March 20, 2015), the men also laughed and ridiculed the idea of making tortillas. One man said, </w:t>
      </w:r>
    </w:p>
    <w:p w14:paraId="1B9FC204" w14:textId="61239C76" w:rsidR="00C20FCD" w:rsidRPr="009A7163" w:rsidRDefault="00C20FCD" w:rsidP="00293176">
      <w:pPr>
        <w:spacing w:after="180"/>
        <w:ind w:left="720"/>
        <w:jc w:val="both"/>
        <w:rPr>
          <w:rFonts w:eastAsiaTheme="minorHAnsi"/>
          <w:lang w:eastAsia="en-GB"/>
        </w:rPr>
      </w:pPr>
      <w:r w:rsidRPr="009A7163">
        <w:rPr>
          <w:rFonts w:eastAsiaTheme="minorHAnsi"/>
          <w:lang w:eastAsia="en-GB"/>
        </w:rPr>
        <w:lastRenderedPageBreak/>
        <w:t>Men can’t make tortillas, they don’t know how to</w:t>
      </w:r>
      <w:r w:rsidR="006B37F9" w:rsidRPr="009A7163">
        <w:rPr>
          <w:rFonts w:eastAsiaTheme="minorHAnsi"/>
          <w:lang w:eastAsia="en-GB"/>
        </w:rPr>
        <w:t>…</w:t>
      </w:r>
      <w:r w:rsidRPr="009A7163">
        <w:rPr>
          <w:rFonts w:eastAsiaTheme="minorHAnsi"/>
          <w:lang w:eastAsia="en-GB"/>
        </w:rPr>
        <w:t>[met by laughs from others]</w:t>
      </w:r>
      <w:r w:rsidR="006B0BC9" w:rsidRPr="009A7163">
        <w:rPr>
          <w:rFonts w:eastAsiaTheme="minorHAnsi"/>
          <w:lang w:eastAsia="en-GB"/>
        </w:rPr>
        <w:t>…</w:t>
      </w:r>
      <w:r w:rsidRPr="009A7163">
        <w:rPr>
          <w:rFonts w:eastAsiaTheme="minorHAnsi"/>
          <w:lang w:eastAsia="en-GB"/>
        </w:rPr>
        <w:t>Well, maybe they could make them but they are not accustomed to doing so. (Participant in Men’s Focus Group, La Pita, March 20, 2015)</w:t>
      </w:r>
    </w:p>
    <w:p w14:paraId="5AE2DEFB" w14:textId="77777777" w:rsidR="00C20FCD" w:rsidRPr="009A7163" w:rsidRDefault="00C20FCD" w:rsidP="00293176">
      <w:pPr>
        <w:spacing w:line="360" w:lineRule="auto"/>
        <w:jc w:val="both"/>
        <w:rPr>
          <w:rFonts w:eastAsiaTheme="minorHAnsi"/>
          <w:lang w:eastAsia="en-GB"/>
        </w:rPr>
      </w:pPr>
      <w:r w:rsidRPr="009A7163">
        <w:rPr>
          <w:rFonts w:eastAsiaTheme="minorHAnsi"/>
          <w:lang w:eastAsia="en-GB"/>
        </w:rPr>
        <w:t xml:space="preserve">Whilst the conversation in the focus group revealed this antagonistic attitude to domestic work, the household survey showed that men and women ranked the majority of unpaid household work as very important. </w:t>
      </w:r>
    </w:p>
    <w:p w14:paraId="4C91209E" w14:textId="71264EB3" w:rsidR="00C20FCD" w:rsidRPr="009A7163" w:rsidRDefault="00C20FCD" w:rsidP="008C041F">
      <w:pPr>
        <w:spacing w:line="360" w:lineRule="auto"/>
        <w:ind w:firstLine="720"/>
        <w:jc w:val="both"/>
        <w:rPr>
          <w:rFonts w:eastAsiaTheme="minorHAnsi"/>
          <w:b/>
          <w:i/>
          <w:lang w:eastAsia="en-GB"/>
        </w:rPr>
      </w:pPr>
      <w:r w:rsidRPr="009A7163">
        <w:rPr>
          <w:rFonts w:eastAsiaTheme="minorHAnsi"/>
          <w:lang w:eastAsia="en-GB"/>
        </w:rPr>
        <w:t>The idea of deviation from social norms is alluded to, but the ‘stickiness’ of gender roles prevents some men from undertaking different work. Brickell (2011) term</w:t>
      </w:r>
      <w:r w:rsidR="006B37F9" w:rsidRPr="009A7163">
        <w:rPr>
          <w:rFonts w:eastAsiaTheme="minorHAnsi"/>
          <w:lang w:eastAsia="en-GB"/>
        </w:rPr>
        <w:t>s</w:t>
      </w:r>
      <w:r w:rsidRPr="009A7163">
        <w:rPr>
          <w:rFonts w:eastAsiaTheme="minorHAnsi"/>
          <w:lang w:eastAsia="en-GB"/>
        </w:rPr>
        <w:t xml:space="preserve"> this the ‘stubborn stain’ on development whereby domestic inequality remains due to ‘gender and societal norms that continue to emphasises women’s natural proclivity and primary duty for household. It is the case that naturalistic arguments are habitually invoked in order to highlight women’s innate abilities within, and affinities to, the domestic sphere’ (p. 1354). Interestingly, the idea of certain jobs being defined by gender and women being more natural at certain tasks did not seem to work both ways because if there are unfinished ‘productive’ tasks outside the home,</w:t>
      </w:r>
      <w:r w:rsidR="00137C6C" w:rsidRPr="009A7163">
        <w:rPr>
          <w:rFonts w:eastAsiaTheme="minorHAnsi"/>
          <w:lang w:eastAsia="en-GB"/>
        </w:rPr>
        <w:t xml:space="preserve"> </w:t>
      </w:r>
      <w:r w:rsidRPr="009A7163">
        <w:rPr>
          <w:rFonts w:eastAsiaTheme="minorHAnsi"/>
          <w:lang w:eastAsia="en-GB"/>
        </w:rPr>
        <w:t>even though they are associated with masculine tasks, women are involved and help with the work. As one participant stated, ‘If she sees that I am very busy, she helps me plant’ (Men’s Focus Group, Achuapa, February 6, 2015).</w:t>
      </w:r>
    </w:p>
    <w:p w14:paraId="769D3AA4" w14:textId="5F51AD98" w:rsidR="00C20FCD" w:rsidRPr="009A7163" w:rsidRDefault="00C20FCD">
      <w:pPr>
        <w:spacing w:line="360" w:lineRule="auto"/>
        <w:ind w:firstLine="720"/>
        <w:jc w:val="both"/>
        <w:rPr>
          <w:rFonts w:eastAsiaTheme="minorHAnsi"/>
          <w:lang w:eastAsia="en-GB"/>
        </w:rPr>
      </w:pPr>
      <w:r w:rsidRPr="009A7163">
        <w:rPr>
          <w:rFonts w:eastAsiaTheme="minorHAnsi"/>
          <w:lang w:eastAsia="en-GB"/>
        </w:rPr>
        <w:t>Gonda (2017) state</w:t>
      </w:r>
      <w:r w:rsidR="00137C6C" w:rsidRPr="009A7163">
        <w:rPr>
          <w:rFonts w:eastAsiaTheme="minorHAnsi"/>
          <w:lang w:eastAsia="en-GB"/>
        </w:rPr>
        <w:t>s</w:t>
      </w:r>
      <w:r w:rsidRPr="009A7163">
        <w:rPr>
          <w:rFonts w:eastAsiaTheme="minorHAnsi"/>
          <w:lang w:eastAsia="en-GB"/>
        </w:rPr>
        <w:t xml:space="preserve"> that ‘masculinities come with internalised norms in rural Nicaragua, a country where, as in many places in Latin America, macho culture is omnipresent’ (pp. 69–70)</w:t>
      </w:r>
      <w:r w:rsidR="00137C6C" w:rsidRPr="009A7163">
        <w:rPr>
          <w:rFonts w:eastAsiaTheme="minorHAnsi"/>
          <w:lang w:eastAsia="en-GB"/>
        </w:rPr>
        <w:t>.</w:t>
      </w:r>
      <w:r w:rsidRPr="009A7163">
        <w:rPr>
          <w:rFonts w:eastAsiaTheme="minorHAnsi"/>
          <w:lang w:eastAsia="en-GB"/>
        </w:rPr>
        <w:t xml:space="preserve"> </w:t>
      </w:r>
      <w:r w:rsidR="00137C6C" w:rsidRPr="009A7163">
        <w:rPr>
          <w:rFonts w:eastAsiaTheme="minorHAnsi"/>
          <w:lang w:eastAsia="en-GB"/>
        </w:rPr>
        <w:t>T</w:t>
      </w:r>
      <w:r w:rsidRPr="009A7163">
        <w:rPr>
          <w:rFonts w:eastAsiaTheme="minorHAnsi"/>
          <w:lang w:eastAsia="en-GB"/>
        </w:rPr>
        <w:t xml:space="preserve">he findings of this study concur with her observations, and in some cases, shifts in norms were beginning to happen, thereby indicating that the gendered system is not always rigid. For example, there were also illustrations of support for new behaviour whereby some men in the focus group in Achuapa said that there have been some changes – albeit small – in the type of work the men now do compared to past generations. This study cannot identify what these changes are specifically due to as no interviews were done prior to its commencement. However, changes were noted. Some men reported that they cook, when in the past they would never undertake this work. One man in particular explained: </w:t>
      </w:r>
    </w:p>
    <w:p w14:paraId="08DF9F57" w14:textId="77777777" w:rsidR="00C20FCD" w:rsidRPr="009A7163" w:rsidRDefault="00C20FCD" w:rsidP="007A3A29">
      <w:pPr>
        <w:spacing w:after="180"/>
        <w:ind w:left="720"/>
        <w:jc w:val="both"/>
        <w:rPr>
          <w:rFonts w:eastAsiaTheme="minorHAnsi"/>
          <w:lang w:eastAsia="en-GB"/>
        </w:rPr>
      </w:pPr>
      <w:r w:rsidRPr="009A7163">
        <w:rPr>
          <w:rFonts w:eastAsiaTheme="minorHAnsi"/>
          <w:lang w:eastAsia="en-GB"/>
        </w:rPr>
        <w:t xml:space="preserve">Now you’ll see it [men cooking]. It was difficult before to see a man cooking. He would be sitting down whilst the woman was rushed off her feet – she was doing everything. Now things have changed. Now that wouldn’t happen. The men share the work with the women. They collaborate and there’s a bit more awareness about work. Men have more awareness in general. (Men’s Focus Group, Achuapa, February 6, 2015) </w:t>
      </w:r>
    </w:p>
    <w:p w14:paraId="05F08687" w14:textId="186AD98E" w:rsidR="00C20FCD" w:rsidRPr="009A7163" w:rsidRDefault="00C20FCD">
      <w:pPr>
        <w:spacing w:line="360" w:lineRule="auto"/>
        <w:ind w:firstLine="720"/>
        <w:jc w:val="both"/>
        <w:rPr>
          <w:rFonts w:eastAsiaTheme="minorHAnsi"/>
          <w:lang w:eastAsia="en-GB"/>
        </w:rPr>
      </w:pPr>
      <w:r w:rsidRPr="009A7163">
        <w:rPr>
          <w:rFonts w:eastAsiaTheme="minorHAnsi"/>
          <w:lang w:eastAsia="en-GB"/>
        </w:rPr>
        <w:lastRenderedPageBreak/>
        <w:t xml:space="preserve">However, these changes will take time to shift and unstick. The president of CJFPS in Achuapa expanded upon this: </w:t>
      </w:r>
    </w:p>
    <w:p w14:paraId="7765AC2D" w14:textId="7BF9327E" w:rsidR="00C20FCD" w:rsidRPr="009A7163" w:rsidRDefault="00C20FCD" w:rsidP="00293176">
      <w:pPr>
        <w:spacing w:after="180"/>
        <w:ind w:left="720"/>
        <w:jc w:val="both"/>
        <w:rPr>
          <w:rFonts w:eastAsiaTheme="minorHAnsi"/>
          <w:lang w:eastAsia="en-GB"/>
        </w:rPr>
      </w:pPr>
      <w:r w:rsidRPr="009A7163">
        <w:rPr>
          <w:rFonts w:eastAsiaTheme="minorHAnsi"/>
          <w:lang w:eastAsia="en-GB"/>
        </w:rPr>
        <w:t>A common line of thought with the men goes something like this “Before I marry her, I am going to ask if she knows how to make tortillas and if she knows how to wash clothes well</w:t>
      </w:r>
      <w:r w:rsidR="006B0BC9" w:rsidRPr="009A7163">
        <w:rPr>
          <w:rFonts w:eastAsiaTheme="minorHAnsi"/>
          <w:lang w:eastAsia="en-GB"/>
        </w:rPr>
        <w:t>…</w:t>
      </w:r>
      <w:r w:rsidRPr="009A7163">
        <w:rPr>
          <w:rFonts w:eastAsiaTheme="minorHAnsi"/>
          <w:lang w:eastAsia="en-GB"/>
        </w:rPr>
        <w:t>If she can’t wash clothes and do a good job, then even if she’s pretty, and even if I like her, I won’t marry her as she’s not going to be able to cook, or do a good job and do all the other tasks”</w:t>
      </w:r>
      <w:r w:rsidR="00FE5EB3" w:rsidRPr="009A7163">
        <w:rPr>
          <w:rFonts w:eastAsiaTheme="minorHAnsi"/>
          <w:lang w:eastAsia="en-GB"/>
        </w:rPr>
        <w:t>…</w:t>
      </w:r>
      <w:r w:rsidRPr="009A7163">
        <w:rPr>
          <w:rFonts w:eastAsiaTheme="minorHAnsi"/>
          <w:lang w:eastAsia="en-GB"/>
        </w:rPr>
        <w:t>These men see their women as servants in the household from the onset. So how can we change this concept? It will have to be through years of discussion and reflection. (Expert Interview, Juan Bravo, January 8, 2015)</w:t>
      </w:r>
    </w:p>
    <w:p w14:paraId="128B30F6" w14:textId="2212FC8B" w:rsidR="00C20FCD" w:rsidRPr="009A7163" w:rsidRDefault="005D4F8F" w:rsidP="00CF07D9">
      <w:pPr>
        <w:spacing w:line="360" w:lineRule="auto"/>
        <w:ind w:firstLine="720"/>
        <w:jc w:val="both"/>
        <w:rPr>
          <w:rFonts w:eastAsiaTheme="minorHAnsi"/>
          <w:lang w:val="en-US" w:eastAsia="en-GB"/>
        </w:rPr>
      </w:pPr>
      <w:r w:rsidRPr="009A7163">
        <w:rPr>
          <w:rFonts w:eastAsiaTheme="minorHAnsi"/>
          <w:lang w:eastAsia="en-GB"/>
        </w:rPr>
        <w:t xml:space="preserve">The president’s point about change taking a long time to happen is an issue that is not often contemplated in women’s </w:t>
      </w:r>
      <w:r w:rsidR="00CF07D9" w:rsidRPr="009A7163">
        <w:rPr>
          <w:rFonts w:eastAsiaTheme="minorHAnsi"/>
          <w:lang w:eastAsia="en-GB"/>
        </w:rPr>
        <w:t>empowerment projects and relates to more political forms</w:t>
      </w:r>
      <w:r w:rsidR="00E06939" w:rsidRPr="009A7163">
        <w:rPr>
          <w:rFonts w:eastAsiaTheme="minorHAnsi"/>
          <w:lang w:eastAsia="en-GB"/>
        </w:rPr>
        <w:t xml:space="preserve"> of</w:t>
      </w:r>
      <w:r w:rsidR="00CF07D9" w:rsidRPr="009A7163">
        <w:rPr>
          <w:rFonts w:eastAsiaTheme="minorHAnsi"/>
          <w:lang w:eastAsia="en-GB"/>
        </w:rPr>
        <w:t xml:space="preserve"> empowerment above economic</w:t>
      </w:r>
      <w:r w:rsidR="00E06939" w:rsidRPr="009A7163">
        <w:rPr>
          <w:rFonts w:eastAsiaTheme="minorHAnsi"/>
          <w:lang w:eastAsia="en-GB"/>
        </w:rPr>
        <w:t xml:space="preserve"> empowerment</w:t>
      </w:r>
      <w:r w:rsidR="00CF07D9" w:rsidRPr="009A7163">
        <w:rPr>
          <w:rFonts w:eastAsiaTheme="minorHAnsi"/>
          <w:lang w:eastAsia="en-GB"/>
        </w:rPr>
        <w:t>. Juan Bravo’s point about the men is echoes by the</w:t>
      </w:r>
      <w:r w:rsidR="00CF07D9" w:rsidRPr="009A7163">
        <w:rPr>
          <w:rFonts w:eastAsiaTheme="minorHAnsi"/>
          <w:lang w:val="en-US" w:eastAsia="en-GB"/>
        </w:rPr>
        <w:t xml:space="preserve"> </w:t>
      </w:r>
      <w:r w:rsidR="00C20FCD" w:rsidRPr="009A7163">
        <w:rPr>
          <w:rFonts w:eastAsiaTheme="minorHAnsi"/>
          <w:lang w:eastAsia="en-GB"/>
        </w:rPr>
        <w:t>women</w:t>
      </w:r>
      <w:r w:rsidR="00CF07D9" w:rsidRPr="009A7163">
        <w:rPr>
          <w:rFonts w:eastAsiaTheme="minorHAnsi"/>
          <w:lang w:eastAsia="en-GB"/>
        </w:rPr>
        <w:t xml:space="preserve"> </w:t>
      </w:r>
      <w:r w:rsidR="00C20FCD" w:rsidRPr="009A7163">
        <w:rPr>
          <w:rFonts w:eastAsiaTheme="minorHAnsi"/>
          <w:lang w:eastAsia="en-GB"/>
        </w:rPr>
        <w:t>in La Pita echoed the sentiment</w:t>
      </w:r>
      <w:r w:rsidR="00CF07D9" w:rsidRPr="009A7163">
        <w:rPr>
          <w:rFonts w:eastAsiaTheme="minorHAnsi"/>
          <w:lang w:eastAsia="en-GB"/>
        </w:rPr>
        <w:t xml:space="preserve">. They mentioned </w:t>
      </w:r>
      <w:r w:rsidR="00C20FCD" w:rsidRPr="009A7163">
        <w:rPr>
          <w:rFonts w:eastAsiaTheme="minorHAnsi"/>
          <w:lang w:eastAsia="en-GB"/>
        </w:rPr>
        <w:t xml:space="preserve">certain things </w:t>
      </w:r>
      <w:r w:rsidR="00CF07D9" w:rsidRPr="009A7163">
        <w:rPr>
          <w:rFonts w:eastAsiaTheme="minorHAnsi"/>
          <w:lang w:eastAsia="en-GB"/>
        </w:rPr>
        <w:t xml:space="preserve">that </w:t>
      </w:r>
      <w:r w:rsidR="00C20FCD" w:rsidRPr="009A7163">
        <w:rPr>
          <w:rFonts w:eastAsiaTheme="minorHAnsi"/>
          <w:lang w:eastAsia="en-GB"/>
        </w:rPr>
        <w:t>men will still not do such as: ‘cook, make coffee, wash dishes or the mop the patio</w:t>
      </w:r>
      <w:r w:rsidR="00FE5EB3" w:rsidRPr="009A7163">
        <w:rPr>
          <w:rFonts w:eastAsiaTheme="minorHAnsi"/>
          <w:lang w:eastAsia="en-GB"/>
        </w:rPr>
        <w:t>…</w:t>
      </w:r>
      <w:r w:rsidR="00C20FCD" w:rsidRPr="009A7163">
        <w:rPr>
          <w:rFonts w:eastAsiaTheme="minorHAnsi"/>
          <w:lang w:eastAsia="en-GB"/>
        </w:rPr>
        <w:t xml:space="preserve">any work that us poor women have to do, they won’t’ (Women’s Focus Group, La Pita, March 4, 2015). In the men’s focus group held in La Reina (March 19, 2016), one participant said: </w:t>
      </w:r>
    </w:p>
    <w:p w14:paraId="00E21587" w14:textId="3FD3A79B" w:rsidR="00C20FCD" w:rsidRPr="009A7163" w:rsidRDefault="00C20FCD" w:rsidP="00293176">
      <w:pPr>
        <w:spacing w:after="180"/>
        <w:ind w:left="720"/>
        <w:jc w:val="both"/>
        <w:rPr>
          <w:rFonts w:eastAsiaTheme="minorHAnsi"/>
          <w:lang w:eastAsia="en-GB"/>
        </w:rPr>
      </w:pPr>
      <w:r w:rsidRPr="009A7163">
        <w:rPr>
          <w:rFonts w:eastAsiaTheme="minorHAnsi"/>
          <w:lang w:eastAsia="en-GB"/>
        </w:rPr>
        <w:t>The women do more of that type of work because as men we don’t have the culture of doing that</w:t>
      </w:r>
      <w:r w:rsidR="00FE5EB3" w:rsidRPr="009A7163">
        <w:rPr>
          <w:rFonts w:eastAsiaTheme="minorHAnsi"/>
          <w:lang w:eastAsia="en-GB"/>
        </w:rPr>
        <w:t>…</w:t>
      </w:r>
      <w:r w:rsidRPr="009A7163">
        <w:rPr>
          <w:rFonts w:eastAsiaTheme="minorHAnsi"/>
          <w:lang w:eastAsia="en-GB"/>
        </w:rPr>
        <w:t>For example, helping to cook at dinner time, we know someone needs to make the tortillas, fry the rice, but it’s just not something that we d</w:t>
      </w:r>
      <w:r w:rsidR="00137C6C" w:rsidRPr="009A7163">
        <w:rPr>
          <w:rFonts w:eastAsiaTheme="minorHAnsi"/>
          <w:lang w:eastAsia="en-GB"/>
        </w:rPr>
        <w:t>o.</w:t>
      </w:r>
      <w:r w:rsidRPr="009A7163">
        <w:rPr>
          <w:rFonts w:eastAsiaTheme="minorHAnsi"/>
          <w:lang w:eastAsia="en-GB"/>
        </w:rPr>
        <w:t xml:space="preserve"> </w:t>
      </w:r>
    </w:p>
    <w:p w14:paraId="7C608C71" w14:textId="480CA418"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This points to an interesting argument made by Chant and Brickell (2010) whereby they state that ‘women’s recourse to “other-oriented” behaviour does not necessarily stem from a lack of awareness of personal preferences but to the existence of external constraints – namely men’s relative disregard for household well-being’ (p. 49). Here the men show that they are aware of the household work but choose not to do it. This attitude is one that sustains traditional inequalities, gender roles and social norms.</w:t>
      </w:r>
    </w:p>
    <w:p w14:paraId="1EF8D84B" w14:textId="021BE623" w:rsidR="00C20FCD" w:rsidRPr="009A7163" w:rsidRDefault="00C20FCD">
      <w:pPr>
        <w:spacing w:line="360" w:lineRule="auto"/>
        <w:ind w:firstLine="720"/>
        <w:jc w:val="both"/>
        <w:rPr>
          <w:rFonts w:eastAsiaTheme="minorHAnsi"/>
          <w:lang w:eastAsia="en-GB"/>
        </w:rPr>
      </w:pPr>
      <w:r w:rsidRPr="009A7163">
        <w:rPr>
          <w:rFonts w:eastAsiaTheme="minorHAnsi"/>
          <w:lang w:eastAsia="en-GB"/>
        </w:rPr>
        <w:t xml:space="preserve">The issues about what type of work men are willing to do and what is socially permitted are clearly evidenced by the statements of focus group participants. Gender roles and segregation of work extends to women and is maintained by external sanctioning practices by the men whereby the men belittle women’s work </w:t>
      </w:r>
      <w:r w:rsidR="00CF07D9" w:rsidRPr="009A7163">
        <w:rPr>
          <w:rFonts w:eastAsiaTheme="minorHAnsi"/>
          <w:lang w:eastAsia="en-GB"/>
        </w:rPr>
        <w:t>and, in some cases,</w:t>
      </w:r>
      <w:r w:rsidRPr="009A7163">
        <w:rPr>
          <w:rFonts w:eastAsiaTheme="minorHAnsi"/>
          <w:lang w:eastAsia="en-GB"/>
        </w:rPr>
        <w:t xml:space="preserve"> treat her like a servant. For example, the Gender Coordinator for CJFPS in Achuapa says a typical attitude by the men is to return home at mid-day, once their work in the fields has finished, and say, ‘</w:t>
      </w:r>
      <w:r w:rsidRPr="009A7163">
        <w:rPr>
          <w:rFonts w:eastAsiaTheme="minorHAnsi"/>
          <w:i/>
          <w:lang w:eastAsia="en-GB"/>
        </w:rPr>
        <w:t>V</w:t>
      </w:r>
      <w:r w:rsidR="00137C6C" w:rsidRPr="009A7163">
        <w:rPr>
          <w:rFonts w:eastAsiaTheme="minorHAnsi"/>
          <w:i/>
          <w:lang w:eastAsia="en-GB"/>
        </w:rPr>
        <w:t>i</w:t>
      </w:r>
      <w:r w:rsidRPr="009A7163">
        <w:rPr>
          <w:rFonts w:eastAsiaTheme="minorHAnsi"/>
          <w:i/>
          <w:lang w:eastAsia="en-GB"/>
        </w:rPr>
        <w:t xml:space="preserve">ejas </w:t>
      </w:r>
      <w:r w:rsidRPr="009A7163">
        <w:rPr>
          <w:rFonts w:eastAsiaTheme="minorHAnsi"/>
          <w:lang w:eastAsia="en-GB"/>
        </w:rPr>
        <w:t>[</w:t>
      </w:r>
      <w:r w:rsidR="006B37F9" w:rsidRPr="009A7163">
        <w:rPr>
          <w:rFonts w:eastAsiaTheme="minorHAnsi"/>
          <w:lang w:eastAsia="en-GB"/>
        </w:rPr>
        <w:t>which translates to ‘</w:t>
      </w:r>
      <w:r w:rsidRPr="009A7163">
        <w:rPr>
          <w:rFonts w:eastAsiaTheme="minorHAnsi"/>
          <w:lang w:eastAsia="en-GB"/>
        </w:rPr>
        <w:t>old women</w:t>
      </w:r>
      <w:r w:rsidR="006B37F9" w:rsidRPr="009A7163">
        <w:rPr>
          <w:rFonts w:eastAsiaTheme="minorHAnsi"/>
          <w:lang w:eastAsia="en-GB"/>
        </w:rPr>
        <w:t>’ but is</w:t>
      </w:r>
      <w:r w:rsidRPr="009A7163">
        <w:rPr>
          <w:rFonts w:eastAsiaTheme="minorHAnsi"/>
          <w:lang w:eastAsia="en-GB"/>
        </w:rPr>
        <w:t xml:space="preserve"> used irrespective of age] bring me coffee, bring me my food, I’m tired</w:t>
      </w:r>
      <w:r w:rsidR="00FE5EB3" w:rsidRPr="009A7163">
        <w:rPr>
          <w:rFonts w:eastAsiaTheme="minorHAnsi"/>
          <w:lang w:eastAsia="en-GB"/>
        </w:rPr>
        <w:t>…</w:t>
      </w:r>
      <w:r w:rsidRPr="009A7163">
        <w:rPr>
          <w:rFonts w:eastAsiaTheme="minorHAnsi"/>
          <w:lang w:eastAsia="en-GB"/>
        </w:rPr>
        <w:t xml:space="preserve">you just do </w:t>
      </w:r>
      <w:r w:rsidRPr="009A7163">
        <w:rPr>
          <w:rFonts w:eastAsiaTheme="minorHAnsi"/>
          <w:lang w:eastAsia="en-GB"/>
        </w:rPr>
        <w:lastRenderedPageBreak/>
        <w:t>silly work [all day] [</w:t>
      </w:r>
      <w:r w:rsidRPr="009A7163">
        <w:rPr>
          <w:rFonts w:eastAsiaTheme="minorHAnsi"/>
          <w:i/>
          <w:lang w:eastAsia="en-GB"/>
        </w:rPr>
        <w:t>babosada</w:t>
      </w:r>
      <w:r w:rsidRPr="009A7163">
        <w:rPr>
          <w:rFonts w:eastAsiaTheme="minorHAnsi"/>
          <w:lang w:eastAsia="en-GB"/>
        </w:rPr>
        <w:t>]’ (Expert Interview, January 8, 2015). This persistent attitude and discourse around women’s roles and expectations of their work makes any attempt of change and in particular based on empowerment problematic. Brickell (2011) observe</w:t>
      </w:r>
      <w:r w:rsidR="00137C6C" w:rsidRPr="009A7163">
        <w:rPr>
          <w:rFonts w:eastAsiaTheme="minorHAnsi"/>
          <w:lang w:eastAsia="en-GB"/>
        </w:rPr>
        <w:t>s</w:t>
      </w:r>
      <w:r w:rsidRPr="009A7163">
        <w:rPr>
          <w:rFonts w:eastAsiaTheme="minorHAnsi"/>
          <w:lang w:eastAsia="en-GB"/>
        </w:rPr>
        <w:t xml:space="preserve"> that the ‘persistence of intra-household inequality is a key stumbling block to achieving gender equality and wider development goals’ (p. 1353). </w:t>
      </w:r>
    </w:p>
    <w:p w14:paraId="41B197A0" w14:textId="1FBD3C03" w:rsidR="00D379FA" w:rsidRPr="009A7163" w:rsidRDefault="00C20FCD" w:rsidP="00D379FA">
      <w:pPr>
        <w:spacing w:line="360" w:lineRule="auto"/>
        <w:ind w:firstLine="720"/>
        <w:jc w:val="both"/>
        <w:rPr>
          <w:rFonts w:eastAsiaTheme="minorHAnsi"/>
          <w:lang w:eastAsia="en-GB"/>
        </w:rPr>
      </w:pPr>
      <w:r w:rsidRPr="009A7163">
        <w:rPr>
          <w:rFonts w:eastAsiaTheme="minorHAnsi"/>
          <w:lang w:eastAsia="en-GB"/>
        </w:rPr>
        <w:t>The women spoke of the little recognition they receive for the work they do. One participant stated that her husband had said to her that, ‘You do not do anything, you are [just sitting] in the shade’ (Women’s Focus Group, Achuapa, February 6, 2015). The women commented on how they resent the mistreatment they receive in the form of complaints and indifference. A number of them concurred that their partners never ask how they are and are often psychologically abusive. Among the phrases that women reported in the focus group were: ‘You do not serve for jack shit</w:t>
      </w:r>
      <w:r w:rsidRPr="009A7163">
        <w:rPr>
          <w:rFonts w:eastAsiaTheme="minorHAnsi"/>
          <w:i/>
          <w:lang w:eastAsia="en-GB"/>
        </w:rPr>
        <w:t xml:space="preserve"> </w:t>
      </w:r>
      <w:r w:rsidRPr="009A7163">
        <w:rPr>
          <w:rFonts w:eastAsiaTheme="minorHAnsi"/>
          <w:lang w:eastAsia="en-GB"/>
        </w:rPr>
        <w:t>[</w:t>
      </w:r>
      <w:r w:rsidRPr="009A7163">
        <w:rPr>
          <w:rFonts w:eastAsiaTheme="minorHAnsi"/>
          <w:i/>
          <w:lang w:eastAsia="en-GB"/>
        </w:rPr>
        <w:t>ni mierda</w:t>
      </w:r>
      <w:r w:rsidRPr="009A7163">
        <w:rPr>
          <w:rFonts w:eastAsiaTheme="minorHAnsi"/>
          <w:lang w:eastAsia="en-GB"/>
        </w:rPr>
        <w:t>]’. One female focus group participant described being told by her husband,</w:t>
      </w:r>
      <w:r w:rsidRPr="009A7163">
        <w:rPr>
          <w:rFonts w:eastAsiaTheme="minorHAnsi"/>
          <w:i/>
          <w:lang w:eastAsia="en-GB"/>
        </w:rPr>
        <w:t xml:space="preserve"> </w:t>
      </w:r>
      <w:r w:rsidRPr="009A7163">
        <w:rPr>
          <w:rFonts w:eastAsiaTheme="minorHAnsi"/>
          <w:lang w:eastAsia="en-GB"/>
        </w:rPr>
        <w:t>‘You’re as worthless as shit</w:t>
      </w:r>
      <w:r w:rsidR="00FE5EB3" w:rsidRPr="009A7163">
        <w:rPr>
          <w:rFonts w:eastAsiaTheme="minorHAnsi"/>
          <w:lang w:eastAsia="en-GB"/>
        </w:rPr>
        <w:t>…</w:t>
      </w:r>
      <w:r w:rsidRPr="009A7163">
        <w:rPr>
          <w:rFonts w:eastAsiaTheme="minorHAnsi"/>
          <w:lang w:eastAsia="en-GB"/>
        </w:rPr>
        <w:t>I will find someone who can serve me’, to which she reported replying, ‘Now</w:t>
      </w:r>
      <w:r w:rsidR="006B0BC9" w:rsidRPr="009A7163">
        <w:rPr>
          <w:rFonts w:eastAsiaTheme="minorHAnsi"/>
          <w:lang w:eastAsia="en-GB"/>
        </w:rPr>
        <w:t>…</w:t>
      </w:r>
      <w:r w:rsidRPr="009A7163">
        <w:rPr>
          <w:rFonts w:eastAsiaTheme="minorHAnsi"/>
          <w:lang w:eastAsia="en-GB"/>
        </w:rPr>
        <w:t>after 40 years of serving you?!’ (Women’s Focus Group, Achuapa, February 6, 2015). So whilst the women are expected to stay in the house and work, the value of their work can be undermined in moments of conflict. Gates (2002) highlight</w:t>
      </w:r>
      <w:r w:rsidR="00137C6C" w:rsidRPr="009A7163">
        <w:rPr>
          <w:rFonts w:eastAsiaTheme="minorHAnsi"/>
          <w:lang w:eastAsia="en-GB"/>
        </w:rPr>
        <w:t>s</w:t>
      </w:r>
      <w:r w:rsidRPr="009A7163">
        <w:rPr>
          <w:rFonts w:eastAsiaTheme="minorHAnsi"/>
          <w:lang w:eastAsia="en-GB"/>
        </w:rPr>
        <w:t xml:space="preserve"> that ‘gender norms can lead women as well as men to misperceive the value of women’s household contributions and therefore to legitimise unfair bargains’ (p. 508). </w:t>
      </w:r>
      <w:r w:rsidR="00D379FA" w:rsidRPr="009A7163">
        <w:rPr>
          <w:rFonts w:eastAsiaTheme="minorHAnsi"/>
          <w:lang w:eastAsia="en-GB"/>
        </w:rPr>
        <w:t>Furthermore, household bargaining and conflict is something that the cooperative employees touch upon. Bradshaw</w:t>
      </w:r>
      <w:r w:rsidR="00137C6C" w:rsidRPr="009A7163">
        <w:rPr>
          <w:rFonts w:eastAsiaTheme="minorHAnsi"/>
          <w:lang w:eastAsia="en-GB"/>
        </w:rPr>
        <w:t xml:space="preserve"> (2013)</w:t>
      </w:r>
      <w:r w:rsidR="00D379FA" w:rsidRPr="009A7163">
        <w:rPr>
          <w:rFonts w:eastAsiaTheme="minorHAnsi"/>
          <w:lang w:eastAsia="en-GB"/>
        </w:rPr>
        <w:t xml:space="preserve"> discusses bargaining power below:</w:t>
      </w:r>
    </w:p>
    <w:p w14:paraId="658EA98E" w14:textId="4A1F574F" w:rsidR="00D379FA" w:rsidRPr="009A7163" w:rsidRDefault="00D379FA" w:rsidP="007A3A29">
      <w:pPr>
        <w:spacing w:after="180"/>
        <w:ind w:left="720"/>
        <w:jc w:val="both"/>
        <w:rPr>
          <w:rFonts w:eastAsiaTheme="minorHAnsi"/>
          <w:lang w:eastAsia="en-GB"/>
        </w:rPr>
      </w:pPr>
      <w:r w:rsidRPr="009A7163">
        <w:rPr>
          <w:rFonts w:eastAsiaTheme="minorHAnsi"/>
          <w:lang w:eastAsia="en-GB"/>
        </w:rPr>
        <w:t>While central to the models, the concept of bargaining power remains elusive, and economic contribution to the household is still often used as a proxy for bargaining power. From this perspective, women are assumed to be in a weaker bargaining position than men. The basic idea of such models is that household members remain in the household and cooperate as long as this cooperation makes them better off than non-cooperation. Ability to bargain within the household is then in part determined by the options open to the person if they were to cease to cooperate and leave the household, their “fallback position” or “threat point”. Women’s lack of economic opportunities leaves them in a weaker bargaining position, while this and the social stigma attached to a woman living alone means their fallback position is also weaker than that of men. Thus position within the household is intrinsically linked to position outside the household</w:t>
      </w:r>
      <w:r w:rsidR="00137C6C" w:rsidRPr="009A7163">
        <w:rPr>
          <w:rFonts w:eastAsiaTheme="minorHAnsi"/>
          <w:lang w:eastAsia="en-GB"/>
        </w:rPr>
        <w:t>.</w:t>
      </w:r>
      <w:r w:rsidRPr="009A7163">
        <w:rPr>
          <w:rFonts w:eastAsiaTheme="minorHAnsi"/>
          <w:lang w:eastAsia="en-GB"/>
        </w:rPr>
        <w:t xml:space="preserve"> (p.</w:t>
      </w:r>
      <w:r w:rsidR="00137C6C" w:rsidRPr="009A7163">
        <w:rPr>
          <w:rFonts w:eastAsiaTheme="minorHAnsi"/>
          <w:lang w:eastAsia="en-GB"/>
        </w:rPr>
        <w:t xml:space="preserve"> </w:t>
      </w:r>
      <w:r w:rsidRPr="009A7163">
        <w:rPr>
          <w:rFonts w:eastAsiaTheme="minorHAnsi"/>
          <w:lang w:eastAsia="en-GB"/>
        </w:rPr>
        <w:t>83)</w:t>
      </w:r>
    </w:p>
    <w:p w14:paraId="36933549" w14:textId="7E82BAC9" w:rsidR="00D379FA" w:rsidRPr="009A7163" w:rsidRDefault="00D379FA" w:rsidP="006F379F">
      <w:pPr>
        <w:spacing w:line="360" w:lineRule="auto"/>
        <w:ind w:firstLine="720"/>
        <w:jc w:val="both"/>
      </w:pPr>
      <w:r w:rsidRPr="009A7163">
        <w:rPr>
          <w:rFonts w:eastAsiaTheme="minorHAnsi"/>
          <w:lang w:eastAsia="en-GB"/>
        </w:rPr>
        <w:t>As Bradshaw summarises</w:t>
      </w:r>
      <w:r w:rsidR="00137C6C" w:rsidRPr="009A7163">
        <w:rPr>
          <w:rFonts w:eastAsiaTheme="minorHAnsi"/>
          <w:lang w:eastAsia="en-GB"/>
        </w:rPr>
        <w:t>,</w:t>
      </w:r>
      <w:r w:rsidRPr="009A7163">
        <w:rPr>
          <w:rFonts w:eastAsiaTheme="minorHAnsi"/>
          <w:lang w:eastAsia="en-GB"/>
        </w:rPr>
        <w:t xml:space="preserve"> women’s position in the household is linked to contribution to the household, access to resources and position in and outside of the house and the economic opportunities that these represent. It is also important to reflect </w:t>
      </w:r>
      <w:r w:rsidRPr="009A7163">
        <w:rPr>
          <w:rFonts w:eastAsiaTheme="minorHAnsi"/>
          <w:lang w:eastAsia="en-GB"/>
        </w:rPr>
        <w:lastRenderedPageBreak/>
        <w:t xml:space="preserve">on whether </w:t>
      </w:r>
      <w:r w:rsidR="00137C6C" w:rsidRPr="009A7163">
        <w:rPr>
          <w:rFonts w:eastAsiaTheme="minorHAnsi"/>
          <w:lang w:eastAsia="en-GB"/>
        </w:rPr>
        <w:t>‘</w:t>
      </w:r>
      <w:r w:rsidRPr="009A7163">
        <w:rPr>
          <w:rFonts w:eastAsiaTheme="minorHAnsi"/>
          <w:lang w:eastAsia="en-GB"/>
        </w:rPr>
        <w:t>joint decision making</w:t>
      </w:r>
      <w:r w:rsidR="00137C6C" w:rsidRPr="009A7163">
        <w:rPr>
          <w:rFonts w:eastAsiaTheme="minorHAnsi"/>
          <w:lang w:eastAsia="en-GB"/>
        </w:rPr>
        <w:t>’</w:t>
      </w:r>
      <w:r w:rsidRPr="009A7163">
        <w:rPr>
          <w:rFonts w:eastAsiaTheme="minorHAnsi"/>
          <w:lang w:eastAsia="en-GB"/>
        </w:rPr>
        <w:t xml:space="preserve"> in terms of work or resources is desired a</w:t>
      </w:r>
      <w:r w:rsidR="006F379F" w:rsidRPr="009A7163">
        <w:rPr>
          <w:rFonts w:eastAsiaTheme="minorHAnsi"/>
          <w:lang w:eastAsia="en-GB"/>
        </w:rPr>
        <w:t>n</w:t>
      </w:r>
      <w:r w:rsidRPr="009A7163">
        <w:rPr>
          <w:rFonts w:eastAsiaTheme="minorHAnsi"/>
          <w:lang w:eastAsia="en-GB"/>
        </w:rPr>
        <w:t xml:space="preserve">d there is very little research on this matter. </w:t>
      </w:r>
      <w:r w:rsidR="006B7F53" w:rsidRPr="009A7163">
        <w:t>As Garcia et al</w:t>
      </w:r>
      <w:r w:rsidR="00913D16" w:rsidRPr="009A7163">
        <w:t>.</w:t>
      </w:r>
      <w:r w:rsidR="006B7F53" w:rsidRPr="009A7163">
        <w:t xml:space="preserve"> (2017)</w:t>
      </w:r>
      <w:r w:rsidR="00913D16" w:rsidRPr="009A7163">
        <w:t>,</w:t>
      </w:r>
      <w:r w:rsidR="006B7F53" w:rsidRPr="009A7163">
        <w:t xml:space="preserve"> state </w:t>
      </w:r>
      <w:r w:rsidR="006F379F" w:rsidRPr="009A7163">
        <w:t xml:space="preserve">little is known as to whether joint decision making can be understood as an indicator of women’s empowerment and thus enhance gender equality. They ask: </w:t>
      </w:r>
      <w:r w:rsidR="00137C6C" w:rsidRPr="009A7163">
        <w:t>‘</w:t>
      </w:r>
      <w:r w:rsidR="006F379F" w:rsidRPr="009A7163">
        <w:t>In other words, to better measure women’s empowerment and development recommendations for achieving gender equality, it is important to address the following questions: What does it mean to make a joint decision? Can joint decision-making be interpreted as an indicator of women’s empowerment? How can joint decision-making be understood in relation to gender power relations and bargaining?</w:t>
      </w:r>
      <w:r w:rsidR="00137C6C" w:rsidRPr="009A7163">
        <w:t>’</w:t>
      </w:r>
      <w:r w:rsidR="006F379F" w:rsidRPr="009A7163">
        <w:t xml:space="preserve"> (Garcia et al</w:t>
      </w:r>
      <w:r w:rsidR="00913D16" w:rsidRPr="009A7163">
        <w:t>.</w:t>
      </w:r>
      <w:r w:rsidR="006F379F" w:rsidRPr="009A7163">
        <w:t>, 2017, p.</w:t>
      </w:r>
      <w:r w:rsidR="00913D16" w:rsidRPr="009A7163">
        <w:t xml:space="preserve"> </w:t>
      </w:r>
      <w:r w:rsidR="006F379F" w:rsidRPr="009A7163">
        <w:t>3)</w:t>
      </w:r>
      <w:r w:rsidR="000F6659" w:rsidRPr="009A7163">
        <w:t xml:space="preserve">. </w:t>
      </w:r>
      <w:r w:rsidRPr="009A7163">
        <w:rPr>
          <w:rFonts w:eastAsiaTheme="minorHAnsi"/>
          <w:lang w:eastAsia="en-GB"/>
        </w:rPr>
        <w:t xml:space="preserve">A recent study </w:t>
      </w:r>
      <w:r w:rsidR="000F6659" w:rsidRPr="009A7163">
        <w:rPr>
          <w:rFonts w:eastAsiaTheme="minorHAnsi"/>
          <w:lang w:eastAsia="en-GB"/>
        </w:rPr>
        <w:t xml:space="preserve">on </w:t>
      </w:r>
      <w:r w:rsidRPr="009A7163">
        <w:rPr>
          <w:rFonts w:eastAsiaTheme="minorHAnsi"/>
          <w:bCs/>
          <w:lang w:val="en-US" w:eastAsia="en-GB"/>
        </w:rPr>
        <w:t>intra-household decision-making on smallholder farms in Colombia and Nicaragua</w:t>
      </w:r>
      <w:r w:rsidRPr="009A7163">
        <w:rPr>
          <w:rFonts w:eastAsiaTheme="minorHAnsi"/>
          <w:lang w:val="en-US" w:eastAsia="en-GB"/>
        </w:rPr>
        <w:t xml:space="preserve"> </w:t>
      </w:r>
      <w:r w:rsidRPr="009A7163">
        <w:rPr>
          <w:rFonts w:eastAsiaTheme="minorHAnsi"/>
          <w:lang w:eastAsia="en-GB"/>
        </w:rPr>
        <w:t>found that joint decision making did not always translate to empowerment or equitative decisions. The authors wrote:</w:t>
      </w:r>
    </w:p>
    <w:p w14:paraId="2641044A" w14:textId="6155D969" w:rsidR="00D379FA" w:rsidRPr="009A7163" w:rsidRDefault="00D379FA" w:rsidP="007A3A29">
      <w:pPr>
        <w:spacing w:after="180"/>
        <w:ind w:left="720"/>
        <w:jc w:val="both"/>
        <w:rPr>
          <w:rFonts w:eastAsiaTheme="minorHAnsi"/>
          <w:lang w:eastAsia="en-GB"/>
        </w:rPr>
      </w:pPr>
      <w:r w:rsidRPr="009A7163">
        <w:t>As for perceptions of how decisions were made, while the majority of individuals interviewed agreed that one of the defining features of a joint decision is agreement between the couples, agreement neither necessitates nor implies equitable participation in decision-making, thus echoing Acosta’s (2017) findings. On the contrary, we found that there was a substantial amount of inequality in decision-making, even beginning with who initiates the joint decision (typically men). It was clear that men and women had different perceptions about the extent to which they participated in making agricultural decisions. (Gode</w:t>
      </w:r>
      <w:r w:rsidR="00137C6C" w:rsidRPr="009A7163">
        <w:t>k</w:t>
      </w:r>
      <w:r w:rsidRPr="009A7163">
        <w:t xml:space="preserve"> and Garcia</w:t>
      </w:r>
      <w:r w:rsidR="006B7F53" w:rsidRPr="009A7163">
        <w:t>,</w:t>
      </w:r>
      <w:r w:rsidRPr="009A7163">
        <w:t xml:space="preserve"> 2018, p.</w:t>
      </w:r>
      <w:r w:rsidR="00137C6C" w:rsidRPr="009A7163">
        <w:t xml:space="preserve"> </w:t>
      </w:r>
      <w:r w:rsidRPr="009A7163">
        <w:t>19)</w:t>
      </w:r>
    </w:p>
    <w:p w14:paraId="4032FC85" w14:textId="56FD1F5D" w:rsidR="00D379FA" w:rsidRPr="009A7163" w:rsidRDefault="00C20FCD" w:rsidP="00D379FA">
      <w:pPr>
        <w:spacing w:line="360" w:lineRule="auto"/>
        <w:jc w:val="both"/>
        <w:rPr>
          <w:rFonts w:eastAsiaTheme="minorHAnsi"/>
          <w:lang w:eastAsia="en-GB"/>
        </w:rPr>
      </w:pPr>
      <w:r w:rsidRPr="009A7163">
        <w:rPr>
          <w:rFonts w:eastAsiaTheme="minorHAnsi"/>
          <w:lang w:eastAsia="en-GB"/>
        </w:rPr>
        <w:t xml:space="preserve">Whilst this research does not go into household bargaining strategies, a subject that other authors speak to (see Agarwal,1997; Doss, 2013; Gates, 2002), I acknowledge that intra-household relations </w:t>
      </w:r>
      <w:r w:rsidR="00D97F17" w:rsidRPr="009A7163">
        <w:rPr>
          <w:rFonts w:eastAsiaTheme="minorHAnsi"/>
          <w:lang w:eastAsia="en-GB"/>
        </w:rPr>
        <w:t>is central to empowerment and a constant process of negotiation</w:t>
      </w:r>
      <w:r w:rsidR="00137C6C" w:rsidRPr="009A7163">
        <w:rPr>
          <w:rFonts w:eastAsiaTheme="minorHAnsi"/>
          <w:lang w:eastAsia="en-GB"/>
        </w:rPr>
        <w:t>,</w:t>
      </w:r>
      <w:r w:rsidRPr="009A7163">
        <w:rPr>
          <w:rFonts w:eastAsiaTheme="minorHAnsi"/>
          <w:lang w:eastAsia="en-GB"/>
        </w:rPr>
        <w:t xml:space="preserve"> something my earlier research touched upon in this context (see Butler, 2013b).</w:t>
      </w:r>
      <w:r w:rsidR="00D379FA" w:rsidRPr="009A7163">
        <w:rPr>
          <w:rFonts w:eastAsiaTheme="minorHAnsi"/>
          <w:lang w:eastAsia="en-GB"/>
        </w:rPr>
        <w:t xml:space="preserve"> </w:t>
      </w:r>
      <w:r w:rsidR="00137C6C" w:rsidRPr="009A7163">
        <w:rPr>
          <w:rFonts w:eastAsiaTheme="minorHAnsi"/>
          <w:lang w:eastAsia="en-GB"/>
        </w:rPr>
        <w:t xml:space="preserve">Nonethless </w:t>
      </w:r>
      <w:r w:rsidR="00D379FA" w:rsidRPr="009A7163">
        <w:rPr>
          <w:rFonts w:eastAsiaTheme="minorHAnsi"/>
          <w:lang w:eastAsia="en-GB"/>
        </w:rPr>
        <w:t>certain aspects of intra</w:t>
      </w:r>
      <w:r w:rsidR="00137C6C" w:rsidRPr="009A7163">
        <w:rPr>
          <w:rFonts w:eastAsiaTheme="minorHAnsi"/>
          <w:lang w:eastAsia="en-GB"/>
        </w:rPr>
        <w:t>-</w:t>
      </w:r>
      <w:r w:rsidR="00D379FA" w:rsidRPr="009A7163">
        <w:rPr>
          <w:rFonts w:eastAsiaTheme="minorHAnsi"/>
          <w:lang w:eastAsia="en-GB"/>
        </w:rPr>
        <w:t xml:space="preserve">household dynamics, decision </w:t>
      </w:r>
      <w:r w:rsidR="006B7F53" w:rsidRPr="009A7163">
        <w:rPr>
          <w:rFonts w:eastAsiaTheme="minorHAnsi"/>
          <w:lang w:eastAsia="en-GB"/>
        </w:rPr>
        <w:t>making</w:t>
      </w:r>
      <w:r w:rsidR="00D379FA" w:rsidRPr="009A7163">
        <w:rPr>
          <w:rFonts w:eastAsiaTheme="minorHAnsi"/>
          <w:lang w:eastAsia="en-GB"/>
        </w:rPr>
        <w:t xml:space="preserve"> and social norms were raised</w:t>
      </w:r>
      <w:r w:rsidR="0064339B" w:rsidRPr="009A7163">
        <w:rPr>
          <w:rFonts w:eastAsiaTheme="minorHAnsi"/>
          <w:lang w:eastAsia="en-GB"/>
        </w:rPr>
        <w:t xml:space="preserve"> in this research and could be explored in further depth in another publication</w:t>
      </w:r>
      <w:r w:rsidR="00D379FA" w:rsidRPr="009A7163">
        <w:rPr>
          <w:rFonts w:eastAsiaTheme="minorHAnsi"/>
          <w:lang w:eastAsia="en-GB"/>
        </w:rPr>
        <w:t>.</w:t>
      </w:r>
    </w:p>
    <w:p w14:paraId="3553A4D7" w14:textId="7B1D6461" w:rsidR="00C20FCD" w:rsidRPr="009A7163" w:rsidRDefault="0064339B">
      <w:pPr>
        <w:spacing w:line="360" w:lineRule="auto"/>
        <w:ind w:firstLine="720"/>
        <w:jc w:val="both"/>
        <w:rPr>
          <w:rFonts w:eastAsiaTheme="minorHAnsi"/>
          <w:lang w:eastAsia="en-GB"/>
        </w:rPr>
      </w:pPr>
      <w:r w:rsidRPr="009A7163">
        <w:rPr>
          <w:rFonts w:eastAsiaTheme="minorHAnsi"/>
          <w:lang w:eastAsia="en-GB"/>
        </w:rPr>
        <w:t xml:space="preserve">The role of norms and external sanctioning extends </w:t>
      </w:r>
      <w:r w:rsidRPr="009A7163">
        <w:rPr>
          <w:rFonts w:eastAsiaTheme="minorHAnsi"/>
          <w:i/>
          <w:lang w:eastAsia="en-GB"/>
        </w:rPr>
        <w:t xml:space="preserve">beyond </w:t>
      </w:r>
      <w:r w:rsidRPr="009A7163">
        <w:rPr>
          <w:rFonts w:eastAsiaTheme="minorHAnsi"/>
          <w:lang w:eastAsia="en-GB"/>
        </w:rPr>
        <w:t xml:space="preserve">the household and to those related to the potential changes </w:t>
      </w:r>
      <w:r w:rsidRPr="009A7163">
        <w:rPr>
          <w:rFonts w:eastAsiaTheme="minorHAnsi"/>
          <w:i/>
          <w:lang w:eastAsia="en-GB"/>
        </w:rPr>
        <w:t>within</w:t>
      </w:r>
      <w:r w:rsidRPr="009A7163">
        <w:rPr>
          <w:rFonts w:eastAsiaTheme="minorHAnsi"/>
          <w:lang w:eastAsia="en-GB"/>
        </w:rPr>
        <w:t xml:space="preserve"> the household. </w:t>
      </w:r>
      <w:r w:rsidR="00C20FCD" w:rsidRPr="009A7163">
        <w:rPr>
          <w:rFonts w:eastAsiaTheme="minorHAnsi"/>
          <w:lang w:eastAsia="en-GB"/>
        </w:rPr>
        <w:t xml:space="preserve">The Gender Coordinator for CJFPS in Achuapa explained that even in her own work, she is subject to sanctioning practices by men. She explained that when the initiative began, the husbands of the participants in the initiative called her ‘the engineer of family separation and [breaker of] marriages’ (Expert Interview, January 8, 2015). She said initially the men felt threatened about the new role that the women were being offered via the initiative and specifically in relation to taking on paid work and collective work outside of the home. </w:t>
      </w:r>
      <w:r w:rsidR="00C20FCD" w:rsidRPr="009A7163">
        <w:rPr>
          <w:rFonts w:eastAsiaTheme="minorHAnsi"/>
          <w:lang w:eastAsia="en-GB"/>
        </w:rPr>
        <w:lastRenderedPageBreak/>
        <w:t xml:space="preserve">She explained in an interview that it’s hard to change attitudes of the men and especially for them to value women’s work. This was echoed by the CJFPS Manager when he cited </w:t>
      </w:r>
      <w:r w:rsidR="00C20FCD" w:rsidRPr="009A7163">
        <w:rPr>
          <w:rFonts w:eastAsiaTheme="minorHAnsi"/>
          <w:i/>
          <w:lang w:eastAsia="en-GB"/>
        </w:rPr>
        <w:t>machismo</w:t>
      </w:r>
      <w:r w:rsidR="00C20FCD" w:rsidRPr="009A7163">
        <w:rPr>
          <w:rFonts w:eastAsiaTheme="minorHAnsi"/>
          <w:lang w:eastAsia="en-GB"/>
        </w:rPr>
        <w:t xml:space="preserve"> learnt early on as a cause for the replication of gender roles and the ‘stickiness’ of social norms. He stated: </w:t>
      </w:r>
    </w:p>
    <w:p w14:paraId="64E79C34"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It’s quite difficult, because we have </w:t>
      </w:r>
      <w:r w:rsidRPr="009A7163">
        <w:rPr>
          <w:rFonts w:eastAsiaTheme="minorHAnsi"/>
          <w:i/>
          <w:lang w:eastAsia="en-GB"/>
        </w:rPr>
        <w:t>machismo</w:t>
      </w:r>
      <w:r w:rsidRPr="009A7163">
        <w:rPr>
          <w:rFonts w:eastAsiaTheme="minorHAnsi"/>
          <w:lang w:eastAsia="en-GB"/>
        </w:rPr>
        <w:t xml:space="preserve"> in our blood, in our hair, in our nose – it’s in us – and maybe by only putting it through a fire or in an oven can we liberate ourselves from it. It’s hard for us to change the situation as we’re a product of the Nicaraguan </w:t>
      </w:r>
      <w:r w:rsidRPr="009A7163">
        <w:rPr>
          <w:rFonts w:eastAsiaTheme="minorHAnsi"/>
          <w:i/>
          <w:lang w:eastAsia="en-GB"/>
        </w:rPr>
        <w:t>machismo</w:t>
      </w:r>
      <w:r w:rsidRPr="009A7163">
        <w:rPr>
          <w:rFonts w:eastAsiaTheme="minorHAnsi"/>
          <w:lang w:eastAsia="en-GB"/>
        </w:rPr>
        <w:t xml:space="preserve">’ (Expert Interview, Juan Bravo, January 8, 2015). </w:t>
      </w:r>
    </w:p>
    <w:p w14:paraId="24605766" w14:textId="5A21C068" w:rsidR="00C20FCD" w:rsidRPr="009A7163" w:rsidRDefault="0006204D" w:rsidP="008C041F">
      <w:pPr>
        <w:spacing w:line="360" w:lineRule="auto"/>
        <w:ind w:firstLine="720"/>
        <w:jc w:val="both"/>
        <w:rPr>
          <w:rFonts w:eastAsiaTheme="minorHAnsi"/>
          <w:lang w:eastAsia="en-GB"/>
        </w:rPr>
      </w:pPr>
      <w:r w:rsidRPr="009A7163">
        <w:rPr>
          <w:rFonts w:eastAsiaTheme="minorHAnsi"/>
          <w:lang w:eastAsia="en-GB"/>
        </w:rPr>
        <w:t>Juan Bravos’s point about</w:t>
      </w:r>
      <w:r w:rsidR="00FD3553" w:rsidRPr="009A7163">
        <w:rPr>
          <w:rFonts w:eastAsiaTheme="minorHAnsi"/>
          <w:lang w:eastAsia="en-GB"/>
        </w:rPr>
        <w:t xml:space="preserve"> entrenched gender stereotypes and gender role division and how it is deeply imbedded in the core of identities is important as any change that is anticipated and desired is a much longer process than the eight years of the project so far. Recognizing longer term cultural change and working towards that desired change should be acknowledged in the design and delivery of programmes and guide expectations on what can be feasibly achieved. Juan Bravo also went</w:t>
      </w:r>
      <w:r w:rsidR="00C20FCD" w:rsidRPr="009A7163">
        <w:rPr>
          <w:rFonts w:eastAsiaTheme="minorHAnsi"/>
          <w:lang w:eastAsia="en-GB"/>
        </w:rPr>
        <w:t xml:space="preserve"> on to say cultural social norms need to change and highlighted the need for a better awareness of social norms in project planning so as not to triple women’s workload:</w:t>
      </w:r>
    </w:p>
    <w:p w14:paraId="1F05BC19" w14:textId="29446BC0" w:rsidR="00C20FCD" w:rsidRPr="009A7163" w:rsidRDefault="00C20FCD" w:rsidP="00293176">
      <w:pPr>
        <w:spacing w:after="180"/>
        <w:ind w:left="720"/>
        <w:jc w:val="both"/>
        <w:rPr>
          <w:rFonts w:eastAsiaTheme="minorHAnsi"/>
          <w:lang w:eastAsia="en-GB"/>
        </w:rPr>
      </w:pPr>
      <w:r w:rsidRPr="009A7163">
        <w:rPr>
          <w:rFonts w:eastAsiaTheme="minorHAnsi"/>
          <w:lang w:eastAsia="en-GB"/>
        </w:rPr>
        <w:t>Yes</w:t>
      </w:r>
      <w:r w:rsidR="00FE5EB3" w:rsidRPr="009A7163">
        <w:rPr>
          <w:rFonts w:eastAsiaTheme="minorHAnsi"/>
          <w:lang w:eastAsia="en-GB"/>
        </w:rPr>
        <w:t>…</w:t>
      </w:r>
      <w:r w:rsidRPr="009A7163">
        <w:rPr>
          <w:rFonts w:eastAsiaTheme="minorHAnsi"/>
          <w:lang w:eastAsia="en-GB"/>
        </w:rPr>
        <w:t>if the man works 6 hours then the woman works 13 hours, and if she is organised and involved in a project, then its 15 hours. This is an issue that is rarely discussed and certainly something that we didn’t think about when we started working with the women to improve the family economy</w:t>
      </w:r>
      <w:r w:rsidR="00FE5EB3" w:rsidRPr="009A7163">
        <w:rPr>
          <w:rFonts w:eastAsiaTheme="minorHAnsi"/>
          <w:lang w:eastAsia="en-GB"/>
        </w:rPr>
        <w:t>…</w:t>
      </w:r>
      <w:r w:rsidRPr="009A7163">
        <w:rPr>
          <w:rFonts w:eastAsiaTheme="minorHAnsi"/>
          <w:lang w:eastAsia="en-GB"/>
        </w:rPr>
        <w:t>we started doing projects for women, giving them money to finance chickens, pigs and what we soon discovered is we were actually multiplying their work. So how can women in the end achieve a fair work load and that the family contributes more? In our culture, it’s hard because if you go to rural areas, no man knows how to make tortillas and most do not know how to cook beans or make rice</w:t>
      </w:r>
      <w:r w:rsidR="006B0BC9" w:rsidRPr="009A7163">
        <w:rPr>
          <w:rFonts w:eastAsiaTheme="minorHAnsi"/>
          <w:lang w:eastAsia="en-GB"/>
        </w:rPr>
        <w:t>…</w:t>
      </w:r>
      <w:r w:rsidRPr="009A7163">
        <w:rPr>
          <w:rFonts w:eastAsiaTheme="minorHAnsi"/>
          <w:lang w:eastAsia="en-GB"/>
        </w:rPr>
        <w:t>The majority just don’t know how to do the basics and so are forced to depend on the woman. For example, they don’t know how to wash their own clothes and so we usually depend a lot on women’s work. So how can we change this? We have to culturally change our way of being and of living, we need to teach our children to do things differently, they need learn to cook, to wash their clothes</w:t>
      </w:r>
      <w:r w:rsidR="00FE5EB3" w:rsidRPr="009A7163">
        <w:rPr>
          <w:rFonts w:eastAsiaTheme="minorHAnsi"/>
          <w:lang w:eastAsia="en-GB"/>
        </w:rPr>
        <w:t>…</w:t>
      </w:r>
      <w:r w:rsidRPr="009A7163">
        <w:rPr>
          <w:rFonts w:eastAsiaTheme="minorHAnsi"/>
          <w:lang w:eastAsia="en-GB"/>
        </w:rPr>
        <w:t>This is essential and really in the moment of designing these projects we didn’t think about this or discuss it</w:t>
      </w:r>
      <w:r w:rsidR="00FE5EB3" w:rsidRPr="009A7163">
        <w:rPr>
          <w:rFonts w:eastAsiaTheme="minorHAnsi"/>
          <w:lang w:eastAsia="en-GB"/>
        </w:rPr>
        <w:t>…</w:t>
      </w:r>
      <w:r w:rsidRPr="009A7163">
        <w:rPr>
          <w:rFonts w:eastAsiaTheme="minorHAnsi"/>
          <w:lang w:eastAsia="en-GB"/>
        </w:rPr>
        <w:t>our focus was more on women’s rights to receive an income. (Expert Interview, Juan Bravo, CJFPS President/Manager, January 8, 2015)</w:t>
      </w:r>
    </w:p>
    <w:p w14:paraId="52F34693" w14:textId="1EF7BE49" w:rsidR="00286FF5" w:rsidRPr="009A7163" w:rsidRDefault="00C20FCD" w:rsidP="007A3A29">
      <w:pPr>
        <w:spacing w:line="360" w:lineRule="auto"/>
        <w:ind w:firstLine="720"/>
        <w:jc w:val="both"/>
        <w:rPr>
          <w:rFonts w:eastAsiaTheme="minorHAnsi"/>
          <w:lang w:eastAsia="en-GB"/>
        </w:rPr>
      </w:pPr>
      <w:r w:rsidRPr="009A7163">
        <w:rPr>
          <w:rFonts w:eastAsiaTheme="minorHAnsi"/>
          <w:lang w:eastAsia="en-GB"/>
        </w:rPr>
        <w:t xml:space="preserve">This message is of particular importance for the initiative, which has as a central aim that of empowering women. Like Juan observed, any </w:t>
      </w:r>
      <w:r w:rsidR="00E250CE" w:rsidRPr="009A7163">
        <w:rPr>
          <w:rFonts w:eastAsiaTheme="minorHAnsi"/>
          <w:lang w:eastAsia="en-GB"/>
        </w:rPr>
        <w:t>women’s economic empowerment (</w:t>
      </w:r>
      <w:r w:rsidRPr="009A7163">
        <w:rPr>
          <w:rFonts w:eastAsiaTheme="minorHAnsi"/>
          <w:lang w:eastAsia="en-GB"/>
        </w:rPr>
        <w:t>WEE</w:t>
      </w:r>
      <w:r w:rsidR="00E250CE" w:rsidRPr="009A7163">
        <w:rPr>
          <w:rFonts w:eastAsiaTheme="minorHAnsi"/>
          <w:lang w:eastAsia="en-GB"/>
        </w:rPr>
        <w:t>)</w:t>
      </w:r>
      <w:r w:rsidRPr="009A7163">
        <w:rPr>
          <w:rFonts w:eastAsiaTheme="minorHAnsi"/>
          <w:lang w:eastAsia="en-GB"/>
        </w:rPr>
        <w:t xml:space="preserve"> project that increases the workload will constrain empowerment processes. Furthermore an understanding of social norms and cultural constraints is essential, particularly in the planning stage of any intervention. As even where </w:t>
      </w:r>
      <w:r w:rsidRPr="009A7163">
        <w:rPr>
          <w:rFonts w:eastAsiaTheme="minorHAnsi"/>
          <w:lang w:eastAsia="en-GB"/>
        </w:rPr>
        <w:lastRenderedPageBreak/>
        <w:t>progressive initiatives like that of the B</w:t>
      </w:r>
      <w:r w:rsidR="00E250CE" w:rsidRPr="009A7163">
        <w:rPr>
          <w:rFonts w:eastAsiaTheme="minorHAnsi"/>
          <w:lang w:eastAsia="en-GB"/>
        </w:rPr>
        <w:t xml:space="preserve">ody </w:t>
      </w:r>
      <w:r w:rsidRPr="009A7163">
        <w:rPr>
          <w:rFonts w:eastAsiaTheme="minorHAnsi"/>
          <w:lang w:eastAsia="en-GB"/>
        </w:rPr>
        <w:t>S</w:t>
      </w:r>
      <w:r w:rsidR="00E250CE" w:rsidRPr="009A7163">
        <w:rPr>
          <w:rFonts w:eastAsiaTheme="minorHAnsi"/>
          <w:lang w:eastAsia="en-GB"/>
        </w:rPr>
        <w:t xml:space="preserve">hop </w:t>
      </w:r>
      <w:r w:rsidRPr="009A7163">
        <w:rPr>
          <w:rFonts w:eastAsiaTheme="minorHAnsi"/>
          <w:lang w:eastAsia="en-GB"/>
        </w:rPr>
        <w:t>I</w:t>
      </w:r>
      <w:r w:rsidR="00E250CE" w:rsidRPr="009A7163">
        <w:rPr>
          <w:rFonts w:eastAsiaTheme="minorHAnsi"/>
          <w:lang w:eastAsia="en-GB"/>
        </w:rPr>
        <w:t>nternational (BSI)</w:t>
      </w:r>
      <w:r w:rsidRPr="009A7163">
        <w:rPr>
          <w:rFonts w:eastAsiaTheme="minorHAnsi"/>
          <w:lang w:eastAsia="en-GB"/>
        </w:rPr>
        <w:t xml:space="preserve"> pricing fund looks to recognise unpaid work, the delivery can be far from progressive if it ends up remaining as a WEE project and increasing women’s work. </w:t>
      </w:r>
      <w:r w:rsidR="00D97D52" w:rsidRPr="009A7163">
        <w:rPr>
          <w:rFonts w:eastAsiaTheme="minorHAnsi"/>
          <w:lang w:eastAsia="en-GB"/>
        </w:rPr>
        <w:t>A key issue is thus the delivery of the project (i.e.</w:t>
      </w:r>
      <w:r w:rsidR="006C5B83" w:rsidRPr="009A7163">
        <w:rPr>
          <w:rFonts w:eastAsiaTheme="minorHAnsi"/>
          <w:lang w:eastAsia="en-GB"/>
        </w:rPr>
        <w:t>,</w:t>
      </w:r>
      <w:r w:rsidR="00D97D52" w:rsidRPr="009A7163">
        <w:rPr>
          <w:rFonts w:eastAsiaTheme="minorHAnsi"/>
          <w:lang w:eastAsia="en-GB"/>
        </w:rPr>
        <w:t xml:space="preserve"> the fund) so that if offers options and </w:t>
      </w:r>
      <w:r w:rsidR="00286FF5" w:rsidRPr="009A7163">
        <w:rPr>
          <w:rFonts w:eastAsiaTheme="minorHAnsi"/>
          <w:lang w:eastAsia="en-GB"/>
        </w:rPr>
        <w:t>opportunities for those who want to take advantage of them and does not always lead to time poverty.</w:t>
      </w:r>
    </w:p>
    <w:p w14:paraId="3A0DCEF8" w14:textId="493F2B4C"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Whilst Juan argued that ‘machismo is in their blood, in their hair…’, this should not deter the initiative – or any other development project – from working on social norms and cultural change</w:t>
      </w:r>
      <w:r w:rsidR="006C5B83" w:rsidRPr="009A7163">
        <w:rPr>
          <w:rFonts w:eastAsiaTheme="minorHAnsi"/>
          <w:lang w:eastAsia="en-GB"/>
        </w:rPr>
        <w:t>.</w:t>
      </w:r>
      <w:r w:rsidR="00286FF5" w:rsidRPr="009A7163">
        <w:rPr>
          <w:rFonts w:eastAsiaTheme="minorHAnsi"/>
          <w:lang w:eastAsia="en-GB"/>
        </w:rPr>
        <w:t xml:space="preserve"> This would require a political vision</w:t>
      </w:r>
      <w:r w:rsidR="006C5B83" w:rsidRPr="009A7163">
        <w:rPr>
          <w:rFonts w:eastAsiaTheme="minorHAnsi"/>
          <w:lang w:eastAsia="en-GB"/>
        </w:rPr>
        <w:t xml:space="preserve"> and </w:t>
      </w:r>
      <w:r w:rsidR="00286FF5" w:rsidRPr="009A7163">
        <w:rPr>
          <w:rFonts w:eastAsiaTheme="minorHAnsi"/>
          <w:lang w:eastAsia="en-GB"/>
        </w:rPr>
        <w:t>strong message from the buyer, which for some is not preferable. However, for BSI t</w:t>
      </w:r>
      <w:r w:rsidRPr="009A7163">
        <w:rPr>
          <w:rFonts w:eastAsiaTheme="minorHAnsi"/>
          <w:lang w:eastAsia="en-GB"/>
        </w:rPr>
        <w:t xml:space="preserve">his could bode well with their image as one of the ‘pioneers of modern corporate social responsibility’ (Purkayastha and Fernando, 2007, p. 1). </w:t>
      </w:r>
      <w:r w:rsidR="006C5B83" w:rsidRPr="009A7163">
        <w:rPr>
          <w:rFonts w:eastAsiaTheme="minorHAnsi"/>
          <w:lang w:eastAsia="en-GB"/>
        </w:rPr>
        <w:t>But this</w:t>
      </w:r>
      <w:r w:rsidR="00286FF5" w:rsidRPr="009A7163">
        <w:rPr>
          <w:rFonts w:eastAsiaTheme="minorHAnsi"/>
          <w:lang w:eastAsia="en-GB"/>
        </w:rPr>
        <w:t xml:space="preserve"> is a space that must be navigated </w:t>
      </w:r>
      <w:r w:rsidR="00D003E2" w:rsidRPr="009A7163">
        <w:rPr>
          <w:rFonts w:eastAsiaTheme="minorHAnsi"/>
          <w:lang w:eastAsia="en-GB"/>
        </w:rPr>
        <w:t>with care. W</w:t>
      </w:r>
      <w:r w:rsidR="00286FF5" w:rsidRPr="009A7163">
        <w:rPr>
          <w:rFonts w:eastAsiaTheme="minorHAnsi"/>
          <w:lang w:eastAsia="en-GB"/>
        </w:rPr>
        <w:t xml:space="preserve">hilst the initiative is a step in the right direction in the absence of increased regular wage employment opportunities or policies that tackle </w:t>
      </w:r>
      <w:r w:rsidR="003A2C87" w:rsidRPr="009A7163">
        <w:rPr>
          <w:rFonts w:eastAsiaTheme="minorHAnsi"/>
          <w:lang w:eastAsia="en-GB"/>
        </w:rPr>
        <w:t>UCW</w:t>
      </w:r>
      <w:r w:rsidR="00D003E2" w:rsidRPr="009A7163">
        <w:rPr>
          <w:rFonts w:eastAsiaTheme="minorHAnsi"/>
          <w:lang w:eastAsia="en-GB"/>
        </w:rPr>
        <w:t xml:space="preserve"> the delivery of the fund must be analysed</w:t>
      </w:r>
      <w:r w:rsidR="00286FF5" w:rsidRPr="009A7163">
        <w:rPr>
          <w:rFonts w:eastAsiaTheme="minorHAnsi"/>
          <w:lang w:eastAsia="en-GB"/>
        </w:rPr>
        <w:t>.</w:t>
      </w:r>
      <w:r w:rsidRPr="009A7163">
        <w:rPr>
          <w:rFonts w:eastAsiaTheme="minorHAnsi"/>
          <w:lang w:eastAsia="en-GB"/>
        </w:rPr>
        <w:t xml:space="preserve"> </w:t>
      </w:r>
      <w:r w:rsidR="00D003E2" w:rsidRPr="009A7163">
        <w:rPr>
          <w:rFonts w:eastAsiaTheme="minorHAnsi"/>
          <w:lang w:eastAsia="en-GB"/>
        </w:rPr>
        <w:t>A</w:t>
      </w:r>
      <w:r w:rsidRPr="009A7163">
        <w:rPr>
          <w:rFonts w:eastAsiaTheme="minorHAnsi"/>
          <w:lang w:eastAsia="en-GB"/>
        </w:rPr>
        <w:t xml:space="preserve">s Chant and Brickell (2013) argue, ‘[A]lthough women may be a target group in anti-poverty and other programmes, their domestic and familial circumstances and how these might affect their access to resources and </w:t>
      </w:r>
      <w:r w:rsidR="00C95A06" w:rsidRPr="009A7163">
        <w:rPr>
          <w:rFonts w:eastAsiaTheme="minorHAnsi"/>
          <w:lang w:eastAsia="en-GB"/>
        </w:rPr>
        <w:t>“</w:t>
      </w:r>
      <w:r w:rsidRPr="009A7163">
        <w:rPr>
          <w:rFonts w:eastAsiaTheme="minorHAnsi"/>
          <w:lang w:eastAsia="en-GB"/>
        </w:rPr>
        <w:t>empowerment</w:t>
      </w:r>
      <w:r w:rsidR="00C95A06" w:rsidRPr="009A7163">
        <w:rPr>
          <w:rFonts w:eastAsiaTheme="minorHAnsi"/>
          <w:lang w:eastAsia="en-GB"/>
        </w:rPr>
        <w:t>”</w:t>
      </w:r>
      <w:r w:rsidRPr="009A7163">
        <w:rPr>
          <w:rFonts w:eastAsiaTheme="minorHAnsi"/>
          <w:lang w:eastAsia="en-GB"/>
        </w:rPr>
        <w:t xml:space="preserve"> are seldom adequately problematized and addressed’ (p. 1).Therein for the BSI and the other buyers who are paying for the premium to recognise women’s unpaid work, failure to engage in these issues will potentially mean that even with a progressive project with good intentions, transformation will not occur or enrich.</w:t>
      </w:r>
    </w:p>
    <w:p w14:paraId="3EC9C94D" w14:textId="77777777" w:rsidR="00C20FCD" w:rsidRPr="009A7163" w:rsidRDefault="00C20FCD" w:rsidP="00293176">
      <w:pPr>
        <w:pStyle w:val="Heading4"/>
        <w:rPr>
          <w:rFonts w:eastAsiaTheme="minorHAnsi"/>
        </w:rPr>
      </w:pPr>
      <w:bookmarkStart w:id="146" w:name="_Toc526819345"/>
      <w:r w:rsidRPr="009A7163">
        <w:rPr>
          <w:rFonts w:eastAsiaTheme="minorHAnsi"/>
        </w:rPr>
        <w:t>7.2.1.2 Self-Sanctions</w:t>
      </w:r>
      <w:bookmarkEnd w:id="146"/>
    </w:p>
    <w:p w14:paraId="5E3C5434" w14:textId="47DEA79A"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In terms of self-sanctions, the collected data revealed that shame and guilt played a </w:t>
      </w:r>
      <w:r w:rsidR="00D83673" w:rsidRPr="009A7163">
        <w:rPr>
          <w:rFonts w:eastAsiaTheme="minorHAnsi"/>
          <w:lang w:eastAsia="en-GB"/>
        </w:rPr>
        <w:t xml:space="preserve">frequent </w:t>
      </w:r>
      <w:r w:rsidRPr="009A7163">
        <w:rPr>
          <w:rFonts w:eastAsiaTheme="minorHAnsi"/>
          <w:lang w:eastAsia="en-GB"/>
        </w:rPr>
        <w:t>part in the discourse of the women and the same types of messages and language were used in both case studies. These self-sanctions justify and maintain social norms related to gender roles, gendered segregation of sectors and tasks (both paid and unpaid) and perceptions of what constitutes appropriate work. In what follows is a closer examination of some of the internal messages that were shared in focus groups and interviews in relation to distribution of time and labour.</w:t>
      </w:r>
    </w:p>
    <w:p w14:paraId="4B7748CC" w14:textId="77777777" w:rsidR="00C20FCD" w:rsidRPr="009A7163" w:rsidRDefault="00C20FCD">
      <w:pPr>
        <w:spacing w:line="360" w:lineRule="auto"/>
        <w:ind w:firstLine="720"/>
        <w:jc w:val="both"/>
        <w:rPr>
          <w:rFonts w:eastAsiaTheme="minorHAnsi"/>
          <w:lang w:eastAsia="en-GB"/>
        </w:rPr>
      </w:pPr>
      <w:r w:rsidRPr="009A7163">
        <w:rPr>
          <w:rFonts w:eastAsiaTheme="minorHAnsi"/>
          <w:lang w:eastAsia="en-GB"/>
        </w:rPr>
        <w:t xml:space="preserve">The women in both case studies identified and emphasised the importance of their role as a ‘mother’ and how this affected certain areas tasks and perceptions of what is appropriate. For example, one participant said she would always make tortillas, even when she had the option of buying them, because: ‘I am ashamed to buy tortillas’ (Women’s Focus Group, Achuapa, February 6, 2015). Thus she felt that by buying </w:t>
      </w:r>
      <w:r w:rsidRPr="009A7163">
        <w:rPr>
          <w:rFonts w:eastAsiaTheme="minorHAnsi"/>
          <w:lang w:eastAsia="en-GB"/>
        </w:rPr>
        <w:lastRenderedPageBreak/>
        <w:t>tortillas, she was short-cutting her traditional role as a woman and housewife. Furthermore, some women said that their role as mothers and the expectation that they would provide an ‘inexhaustible’ source of love and time meant that they felt ‘bad’ or ‘useless’ if they did not meet all their care duties (Women’s Focus Group, Achuapa, February 6, 2015). One focus group participant stated she felt guilty paying an external person to help with household maintenance and another said she would be scared her husband would think the other (contracted) woman was more capable, and she may lose him to her (Women’s Focus Group, Achuapa, February 6, 2015). This shows that her sense of self-worth and desirability was strongly tied up with her ability to do housework well.</w:t>
      </w:r>
    </w:p>
    <w:p w14:paraId="3A30A841" w14:textId="43D09F14" w:rsidR="00C20FCD" w:rsidRPr="009A7163" w:rsidRDefault="00C20FCD">
      <w:pPr>
        <w:spacing w:line="360" w:lineRule="auto"/>
        <w:ind w:firstLine="720"/>
        <w:jc w:val="both"/>
        <w:rPr>
          <w:rFonts w:eastAsiaTheme="minorHAnsi"/>
          <w:lang w:eastAsia="en-GB"/>
        </w:rPr>
      </w:pPr>
      <w:r w:rsidRPr="009A7163">
        <w:rPr>
          <w:rFonts w:eastAsiaTheme="minorHAnsi"/>
          <w:lang w:eastAsia="en-GB"/>
        </w:rPr>
        <w:t>Some of the women also commented that because they identify themselves as conforming to the traditional sexual division of labour, they feel an obligation to undertake certain roles and work. They continue to perform their ‘duties’ despite fatigue, stress or being time poor. Brickell and Chant’s (2010) study on altruistic behaviour within poor family-based households argues that:</w:t>
      </w:r>
    </w:p>
    <w:p w14:paraId="77B39FE6" w14:textId="2F7AA682"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[A] factor encouraging altruistic behaviour is the importance of this elemental moral </w:t>
      </w:r>
      <w:r w:rsidR="006C5B83" w:rsidRPr="009A7163">
        <w:rPr>
          <w:rFonts w:eastAsiaTheme="minorHAnsi"/>
          <w:lang w:eastAsia="en-GB"/>
        </w:rPr>
        <w:t>“</w:t>
      </w:r>
      <w:r w:rsidRPr="009A7163">
        <w:rPr>
          <w:rFonts w:eastAsiaTheme="minorHAnsi"/>
          <w:lang w:eastAsia="en-GB"/>
        </w:rPr>
        <w:t>drive for legitimising female identity. Gender norms dictating appropriate behaviour for women are closely linked with socially constructed concepts of familial altruism and individual self-interest respectively</w:t>
      </w:r>
      <w:r w:rsidR="006C5B83" w:rsidRPr="009A7163">
        <w:rPr>
          <w:rFonts w:eastAsiaTheme="minorHAnsi"/>
          <w:lang w:eastAsia="en-GB"/>
        </w:rPr>
        <w:t>”.</w:t>
      </w:r>
      <w:r w:rsidRPr="009A7163">
        <w:rPr>
          <w:rFonts w:eastAsiaTheme="minorHAnsi"/>
          <w:lang w:eastAsia="en-GB"/>
        </w:rPr>
        <w:t xml:space="preserve"> (p.</w:t>
      </w:r>
      <w:r w:rsidR="006C5B83" w:rsidRPr="009A7163">
        <w:rPr>
          <w:rFonts w:eastAsiaTheme="minorHAnsi"/>
          <w:lang w:eastAsia="en-GB"/>
        </w:rPr>
        <w:t xml:space="preserve"> </w:t>
      </w:r>
      <w:r w:rsidRPr="009A7163">
        <w:rPr>
          <w:rFonts w:eastAsiaTheme="minorHAnsi"/>
          <w:lang w:eastAsia="en-GB"/>
        </w:rPr>
        <w:t xml:space="preserve">149) </w:t>
      </w:r>
    </w:p>
    <w:p w14:paraId="25B985E0" w14:textId="36915100" w:rsidR="00FF63D0" w:rsidRPr="009A7163" w:rsidRDefault="00C20FCD" w:rsidP="008C041F">
      <w:pPr>
        <w:spacing w:line="360" w:lineRule="auto"/>
        <w:ind w:firstLine="720"/>
        <w:jc w:val="both"/>
        <w:rPr>
          <w:rFonts w:eastAsiaTheme="minorHAnsi"/>
          <w:lang w:eastAsia="en-GB"/>
        </w:rPr>
      </w:pPr>
      <w:r w:rsidRPr="009A7163">
        <w:rPr>
          <w:rFonts w:eastAsiaTheme="minorHAnsi"/>
          <w:lang w:eastAsia="en-GB"/>
        </w:rPr>
        <w:t>This was an issue that came up repeatedly in the research whereby the women felt burdened by their work and spoke of its effects on their bodies. One Nicaraguan author argue</w:t>
      </w:r>
      <w:r w:rsidR="006C5B83" w:rsidRPr="009A7163">
        <w:rPr>
          <w:rFonts w:eastAsiaTheme="minorHAnsi"/>
          <w:lang w:eastAsia="en-GB"/>
        </w:rPr>
        <w:t>s</w:t>
      </w:r>
      <w:r w:rsidRPr="009A7163">
        <w:rPr>
          <w:rFonts w:eastAsiaTheme="minorHAnsi"/>
          <w:lang w:eastAsia="en-GB"/>
        </w:rPr>
        <w:t xml:space="preserve"> that ‘the patriarchal construction of maternity guarantees that mothers take care of others at the expense of their own well-being and further to transgress these external mandates would be to face the guilt of not being a good mother – omnipresent and all powerful’ (</w:t>
      </w:r>
      <w:r w:rsidR="00E250CE" w:rsidRPr="009A7163">
        <w:rPr>
          <w:rFonts w:eastAsiaTheme="minorHAnsi"/>
          <w:lang w:eastAsia="en-GB"/>
        </w:rPr>
        <w:t xml:space="preserve">Gomez, </w:t>
      </w:r>
      <w:r w:rsidRPr="009A7163">
        <w:rPr>
          <w:rFonts w:eastAsiaTheme="minorHAnsi"/>
          <w:lang w:eastAsia="en-GB"/>
        </w:rPr>
        <w:t>2016, p.</w:t>
      </w:r>
      <w:r w:rsidR="00FF63D0" w:rsidRPr="009A7163">
        <w:rPr>
          <w:rFonts w:eastAsiaTheme="minorHAnsi"/>
          <w:lang w:eastAsia="en-GB"/>
        </w:rPr>
        <w:t xml:space="preserve"> </w:t>
      </w:r>
      <w:r w:rsidRPr="009A7163">
        <w:rPr>
          <w:rFonts w:eastAsiaTheme="minorHAnsi"/>
          <w:lang w:eastAsia="en-GB"/>
        </w:rPr>
        <w:t xml:space="preserve">12). She </w:t>
      </w:r>
      <w:r w:rsidR="00FF63D0" w:rsidRPr="009A7163">
        <w:rPr>
          <w:rFonts w:eastAsiaTheme="minorHAnsi"/>
          <w:lang w:eastAsia="en-GB"/>
        </w:rPr>
        <w:t>further state</w:t>
      </w:r>
      <w:r w:rsidR="00E250CE" w:rsidRPr="009A7163">
        <w:rPr>
          <w:rFonts w:eastAsiaTheme="minorHAnsi"/>
          <w:lang w:eastAsia="en-GB"/>
        </w:rPr>
        <w:t>s</w:t>
      </w:r>
      <w:r w:rsidRPr="009A7163">
        <w:rPr>
          <w:rFonts w:eastAsiaTheme="minorHAnsi"/>
          <w:lang w:eastAsia="en-GB"/>
        </w:rPr>
        <w:t xml:space="preserve"> that</w:t>
      </w:r>
      <w:r w:rsidR="00FF63D0" w:rsidRPr="009A7163">
        <w:rPr>
          <w:rFonts w:eastAsiaTheme="minorHAnsi"/>
          <w:lang w:eastAsia="en-GB"/>
        </w:rPr>
        <w:t>,</w:t>
      </w:r>
    </w:p>
    <w:p w14:paraId="410A3609" w14:textId="7FDD3A3F"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 </w:t>
      </w:r>
      <w:r w:rsidR="00FF63D0" w:rsidRPr="009A7163">
        <w:rPr>
          <w:rFonts w:eastAsiaTheme="minorHAnsi"/>
          <w:lang w:eastAsia="en-GB"/>
        </w:rPr>
        <w:t>…</w:t>
      </w:r>
      <w:r w:rsidRPr="009A7163">
        <w:rPr>
          <w:rFonts w:eastAsiaTheme="minorHAnsi"/>
          <w:lang w:val="en" w:eastAsia="en-GB"/>
        </w:rPr>
        <w:t>the debate on care leads us to one of the central axes of the feminist agenda: the body. It is the women's bodies that are at the center of care, regaining control over them and the ability to make decisions, it is vital to undertake transformations</w:t>
      </w:r>
      <w:r w:rsidR="00FF63D0" w:rsidRPr="009A7163">
        <w:rPr>
          <w:rFonts w:eastAsiaTheme="minorHAnsi"/>
          <w:lang w:val="en" w:eastAsia="en-GB"/>
        </w:rPr>
        <w:t>. (</w:t>
      </w:r>
      <w:r w:rsidR="00E250CE" w:rsidRPr="009A7163">
        <w:rPr>
          <w:rFonts w:eastAsiaTheme="minorHAnsi"/>
          <w:lang w:val="en" w:eastAsia="en-GB"/>
        </w:rPr>
        <w:t>ibid</w:t>
      </w:r>
      <w:r w:rsidR="00FF63D0" w:rsidRPr="009A7163">
        <w:rPr>
          <w:rFonts w:eastAsiaTheme="minorHAnsi"/>
          <w:lang w:val="en" w:eastAsia="en-GB"/>
        </w:rPr>
        <w:t>)</w:t>
      </w:r>
    </w:p>
    <w:p w14:paraId="3FC7DE4C" w14:textId="65108D81"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The idea of altruistic behaviour taking a toll on women’s bodies is particularly pertinent as the issue of rest and the effect of unpaid work on the body was a topic that was repeated frequently in both case studies and was a common thread through discussions on time use. The women feel that rest is something to be earned and not a right. Only a few women talked about taking time for themselves. However, one women said: ‘Even when I have all the children to look after, I take time out to bathe. I put on </w:t>
      </w:r>
      <w:r w:rsidRPr="009A7163">
        <w:rPr>
          <w:rFonts w:eastAsiaTheme="minorHAnsi"/>
          <w:lang w:eastAsia="en-GB"/>
        </w:rPr>
        <w:lastRenderedPageBreak/>
        <w:t>perfume</w:t>
      </w:r>
      <w:r w:rsidR="00FE5EB3" w:rsidRPr="009A7163">
        <w:rPr>
          <w:rFonts w:eastAsiaTheme="minorHAnsi"/>
          <w:lang w:eastAsia="en-GB"/>
        </w:rPr>
        <w:t>…</w:t>
      </w:r>
      <w:r w:rsidRPr="009A7163">
        <w:rPr>
          <w:rFonts w:eastAsiaTheme="minorHAnsi"/>
          <w:lang w:eastAsia="en-GB"/>
        </w:rPr>
        <w:t>my husband might have gone out to work in the fields, but I take a little time to shower and put on perfume and I feel different, yes, I feel different!’ But then later the sa</w:t>
      </w:r>
      <w:r w:rsidR="00FF63D0" w:rsidRPr="009A7163">
        <w:rPr>
          <w:rFonts w:eastAsiaTheme="minorHAnsi"/>
          <w:lang w:eastAsia="en-GB"/>
        </w:rPr>
        <w:t>m</w:t>
      </w:r>
      <w:r w:rsidRPr="009A7163">
        <w:rPr>
          <w:rFonts w:eastAsiaTheme="minorHAnsi"/>
          <w:lang w:eastAsia="en-GB"/>
        </w:rPr>
        <w:t xml:space="preserve">e participant stated that: </w:t>
      </w:r>
    </w:p>
    <w:p w14:paraId="71A7DA14" w14:textId="01FDB37B" w:rsidR="00C20FCD" w:rsidRPr="009A7163" w:rsidRDefault="00C20FCD" w:rsidP="00293176">
      <w:pPr>
        <w:spacing w:after="180"/>
        <w:ind w:left="720"/>
        <w:jc w:val="both"/>
        <w:rPr>
          <w:rFonts w:eastAsiaTheme="minorHAnsi"/>
          <w:lang w:eastAsia="en-GB"/>
        </w:rPr>
      </w:pPr>
      <w:r w:rsidRPr="009A7163">
        <w:rPr>
          <w:rFonts w:eastAsiaTheme="minorHAnsi"/>
          <w:lang w:eastAsia="en-GB"/>
        </w:rPr>
        <w:t>I just work and don’t really have time to have fun or do anything else. However, sometimes I get to see my mum and that makes such a difference</w:t>
      </w:r>
      <w:r w:rsidR="00FE5EB3" w:rsidRPr="009A7163">
        <w:rPr>
          <w:rFonts w:eastAsiaTheme="minorHAnsi"/>
          <w:lang w:eastAsia="en-GB"/>
        </w:rPr>
        <w:t>…</w:t>
      </w:r>
      <w:r w:rsidRPr="009A7163">
        <w:rPr>
          <w:rFonts w:eastAsiaTheme="minorHAnsi"/>
          <w:lang w:eastAsia="en-GB"/>
        </w:rPr>
        <w:t>Spending time with my family and talking to them takes my mind of things and distracts me</w:t>
      </w:r>
      <w:r w:rsidR="00FE5EB3" w:rsidRPr="009A7163">
        <w:rPr>
          <w:rFonts w:eastAsiaTheme="minorHAnsi"/>
          <w:lang w:eastAsia="en-GB"/>
        </w:rPr>
        <w:t>…</w:t>
      </w:r>
      <w:r w:rsidRPr="009A7163">
        <w:rPr>
          <w:rFonts w:eastAsiaTheme="minorHAnsi"/>
          <w:lang w:eastAsia="en-GB"/>
        </w:rPr>
        <w:t>I talk with my family, I laugh, I smile, and in this moment I feel calm and like I have come out of a hole and I am actually outside of it. (Interview, female, 45-54 years old, married, sesame producer, non-member of the cooperative, less than three years in the initiative, Achuapa, January 4, 2015)</w:t>
      </w:r>
    </w:p>
    <w:p w14:paraId="1EFD54E9" w14:textId="66587B8B" w:rsidR="00C20FCD" w:rsidRPr="009A7163" w:rsidRDefault="00C20FCD" w:rsidP="007F0A91">
      <w:pPr>
        <w:spacing w:line="360" w:lineRule="auto"/>
        <w:ind w:firstLine="720"/>
        <w:jc w:val="both"/>
        <w:rPr>
          <w:rFonts w:eastAsiaTheme="minorHAnsi"/>
          <w:lang w:eastAsia="en-GB"/>
        </w:rPr>
      </w:pPr>
      <w:r w:rsidRPr="009A7163">
        <w:rPr>
          <w:rFonts w:eastAsiaTheme="minorHAnsi"/>
          <w:lang w:eastAsia="en-GB"/>
        </w:rPr>
        <w:t xml:space="preserve">In general, though, the findings found that women feel guilty about resting and feel embarrassed when they talk about routines that are not overworked (Field Notes, July 31, 2015). Whilst women rest on average for less than an hour a day, the women vocalised how resting made them feel and talked about it negatively. Women in Achuapa said if they rest they feel lazy, guilty and not like ‘good’ women (Women’s Focus Group, Achuapa, February 6, 2015). It is crucial to understand here that the women have adapted their preferences to perhaps only feel deserving of respect as good mothers when the women self-exploit and work exceptionally hard for their families. Social norms are so powerful that they override individual choice and are internalised. So, for many women, it is only legitimate to rest when they are sick. Although many women had some pain or illness at the time of the surveys, women can only rest when they are unable to move due to illness. ‘If I am well, I like to do everything’, said one women (Field Notes, October 20, 2015). The men also reported that they only help when their partner is ill or it’s an emergency: ‘For example, if it’s an emergency, it’s important to help. Of course, if it’s an emergency’ (Men’s Focus Group, Achuapa, February 6, 2015). In these cases, men take on some tasks. There have been </w:t>
      </w:r>
      <w:r w:rsidR="00D83673" w:rsidRPr="009A7163">
        <w:rPr>
          <w:rFonts w:eastAsiaTheme="minorHAnsi"/>
          <w:lang w:eastAsia="en-GB"/>
        </w:rPr>
        <w:t xml:space="preserve">a number of </w:t>
      </w:r>
      <w:r w:rsidRPr="009A7163">
        <w:rPr>
          <w:rFonts w:eastAsiaTheme="minorHAnsi"/>
          <w:lang w:eastAsia="en-GB"/>
        </w:rPr>
        <w:t xml:space="preserve">changes in the division of roles in families in Achuapa whereby when women have a long-term illness, men and other family members take on more unpaid work (Field Notes, Achuapa, July 31, 2015). Changes in gender roles, as some authors have highlighted, can generate new identities and with that power struggles (see Pineda, 2000). </w:t>
      </w:r>
    </w:p>
    <w:p w14:paraId="77AF3B5E" w14:textId="0E61556A" w:rsidR="00C20FCD" w:rsidRPr="009A7163" w:rsidRDefault="00947F32" w:rsidP="008C041F">
      <w:pPr>
        <w:spacing w:line="360" w:lineRule="auto"/>
        <w:ind w:firstLine="720"/>
        <w:jc w:val="both"/>
        <w:rPr>
          <w:rFonts w:eastAsiaTheme="minorHAnsi"/>
          <w:lang w:eastAsia="en-GB"/>
        </w:rPr>
      </w:pPr>
      <w:r w:rsidRPr="009A7163">
        <w:rPr>
          <w:rFonts w:eastAsiaTheme="minorHAnsi"/>
          <w:lang w:eastAsia="en-GB"/>
        </w:rPr>
        <w:t xml:space="preserve">Other participants </w:t>
      </w:r>
      <w:r w:rsidR="00333E65" w:rsidRPr="009A7163">
        <w:rPr>
          <w:rFonts w:eastAsiaTheme="minorHAnsi"/>
          <w:lang w:eastAsia="en-GB"/>
        </w:rPr>
        <w:t xml:space="preserve">spoke of </w:t>
      </w:r>
      <w:r w:rsidR="0027075A" w:rsidRPr="009A7163">
        <w:rPr>
          <w:rFonts w:eastAsiaTheme="minorHAnsi"/>
          <w:lang w:eastAsia="en-GB"/>
        </w:rPr>
        <w:t>their struggles maintaining the monotony of their jobs. A</w:t>
      </w:r>
      <w:r w:rsidR="00C20FCD" w:rsidRPr="009A7163">
        <w:rPr>
          <w:rFonts w:eastAsiaTheme="minorHAnsi"/>
          <w:lang w:eastAsia="en-GB"/>
        </w:rPr>
        <w:t xml:space="preserve"> female participant in Achuapa, who was in the 35-44 age range, produced sesame, and had been a member of the initiative for five years, made a comment that was repeated by other participants: ‘When I work a lot, I feel tired, but you won’t see </w:t>
      </w:r>
      <w:r w:rsidR="00C20FCD" w:rsidRPr="009A7163">
        <w:rPr>
          <w:rFonts w:eastAsiaTheme="minorHAnsi"/>
          <w:lang w:eastAsia="en-GB"/>
        </w:rPr>
        <w:lastRenderedPageBreak/>
        <w:t xml:space="preserve">me sitting for long’ (Field Notes, January 19–20, 2015). Rest was also associated with </w:t>
      </w:r>
      <w:r w:rsidR="00C20FCD" w:rsidRPr="009A7163">
        <w:rPr>
          <w:rFonts w:eastAsiaTheme="minorHAnsi"/>
          <w:i/>
          <w:lang w:eastAsia="en-GB"/>
        </w:rPr>
        <w:t xml:space="preserve">estar de balde, </w:t>
      </w:r>
      <w:r w:rsidR="00C20FCD" w:rsidRPr="009A7163">
        <w:rPr>
          <w:rFonts w:eastAsiaTheme="minorHAnsi"/>
          <w:lang w:eastAsia="en-GB"/>
        </w:rPr>
        <w:t xml:space="preserve">which translates to ‘doing nothing’ (Field Notes, January 19–20, 2015). Another interviewee who had just given birth mentioned that she feels bored resting. Other women shared that when they get sick, they feel ‘bad’ and ‘guilty’ because they have to reduce the amount of work they do (Women’s Focus Group, Achuapa, February 6, 2015). When asked what the women do for leisure, several of the interviewees mentioned that they play with their children in their home when they have time. Others found it hard to answer the question and it seemed that they struggled to imagine what they might do with their free time. There are also few cultural or recreational activities in the community other than church/religious activities (Field Notes, January 19–20, 2015). </w:t>
      </w:r>
    </w:p>
    <w:p w14:paraId="1885855A" w14:textId="57225A50" w:rsidR="00C20FCD" w:rsidRPr="009A7163" w:rsidRDefault="00C20FCD">
      <w:pPr>
        <w:spacing w:line="360" w:lineRule="auto"/>
        <w:ind w:firstLine="720"/>
        <w:jc w:val="both"/>
        <w:rPr>
          <w:rFonts w:eastAsiaTheme="minorHAnsi"/>
          <w:lang w:eastAsia="en-GB"/>
        </w:rPr>
      </w:pPr>
      <w:r w:rsidRPr="009A7163">
        <w:rPr>
          <w:rFonts w:eastAsiaTheme="minorHAnsi"/>
          <w:lang w:eastAsia="en-GB"/>
        </w:rPr>
        <w:t>In San Ramón, the majority of women do not rest during the day (they reported an hour on average according to the results of the time use survey), which is in contrast to the men and this is even when both have been working in the fields harvesting coffee. A number of women across the case studies associated rest with an accumulation of work tasks later on. The women said that the men also tell them they’re lazy frequently: ‘You’re so lazy. Really lazy. They’re always telling us women that we’re lazy’. Many women from the coffee case study said they felt exhausted by the end of the day and it emerged that several of them suffer from back pain, headaches and sore arms from washing and sun exposure. These were cited frequently as common ailments (Women’s Focus Group, La Reina, March 5, 2015; Women’s Focus Group, La Pita, March 4, 2015). Through fieldwork, it was noted when women are sick, they prioritise their work rather than caring for themselves, and this was a dynamic noted in both communities (Women’s Focus Group, La Reina, March 5, 2015; Women’s Focus Group, La Pita, March 4, 2015). One participant said, ‘If a woman has the flu and she has work to do</w:t>
      </w:r>
      <w:r w:rsidR="00FE5EB3" w:rsidRPr="009A7163">
        <w:rPr>
          <w:rFonts w:eastAsiaTheme="minorHAnsi"/>
          <w:lang w:eastAsia="en-GB"/>
        </w:rPr>
        <w:t>…</w:t>
      </w:r>
      <w:r w:rsidRPr="009A7163">
        <w:rPr>
          <w:rFonts w:eastAsiaTheme="minorHAnsi"/>
          <w:lang w:eastAsia="en-GB"/>
        </w:rPr>
        <w:t>she will not stop working unless it is very serious’ (Women’s Focus Group, La Reina, March 5, 2015). When women do not do housework, they are said to be lazy, a pain, pest, burdensome, useless, worthless, poor wretches or a tragic case (Women’s Focus Group, Achuapa, February 6, 2015). Participants mention that these phrases are mainly heard from men, and more commonly when they are drinking (Women’s Focus Group Achuapa, February 6, 2015).</w:t>
      </w:r>
    </w:p>
    <w:p w14:paraId="55599F71" w14:textId="1118C3EF" w:rsidR="00C20FCD" w:rsidRPr="009A7163" w:rsidRDefault="00C20FCD">
      <w:pPr>
        <w:spacing w:line="360" w:lineRule="auto"/>
        <w:ind w:firstLine="720"/>
        <w:jc w:val="both"/>
        <w:rPr>
          <w:rFonts w:eastAsiaTheme="minorHAnsi"/>
          <w:lang w:eastAsia="en-GB"/>
        </w:rPr>
      </w:pPr>
      <w:r w:rsidRPr="009A7163">
        <w:rPr>
          <w:rFonts w:eastAsiaTheme="minorHAnsi"/>
          <w:lang w:eastAsia="en-GB"/>
        </w:rPr>
        <w:t xml:space="preserve">External sanctions and self-sanctioning practices around roles gender roles and perceived appropriate types of work can be connected to broader structures of constraint. It is important to investigate social norms and how these are shaped and </w:t>
      </w:r>
      <w:r w:rsidRPr="009A7163">
        <w:rPr>
          <w:rFonts w:eastAsiaTheme="minorHAnsi"/>
          <w:lang w:eastAsia="en-GB"/>
        </w:rPr>
        <w:lastRenderedPageBreak/>
        <w:t>connected to broader discourses because, as Sweetman (2005) argue</w:t>
      </w:r>
      <w:r w:rsidR="008C3BC2" w:rsidRPr="009A7163">
        <w:rPr>
          <w:rFonts w:eastAsiaTheme="minorHAnsi"/>
          <w:lang w:eastAsia="en-GB"/>
        </w:rPr>
        <w:t>s</w:t>
      </w:r>
      <w:r w:rsidRPr="009A7163">
        <w:rPr>
          <w:rFonts w:eastAsiaTheme="minorHAnsi"/>
          <w:lang w:eastAsia="en-GB"/>
        </w:rPr>
        <w:t xml:space="preserve">, ‘[S]olving material poverty is not possible for women who lack the power to challenge discriminatory policies of social institutions ranging from the family to the state’ (p. 2). A description of surveillance practices </w:t>
      </w:r>
      <w:r w:rsidR="00E250CE" w:rsidRPr="009A7163">
        <w:rPr>
          <w:rFonts w:eastAsiaTheme="minorHAnsi"/>
          <w:lang w:eastAsia="en-GB"/>
        </w:rPr>
        <w:t xml:space="preserve">that </w:t>
      </w:r>
      <w:r w:rsidRPr="009A7163">
        <w:rPr>
          <w:rFonts w:eastAsiaTheme="minorHAnsi"/>
          <w:lang w:eastAsia="en-GB"/>
        </w:rPr>
        <w:t>links the family to the state will be explored in the subsequent section through expert interviews and scholarly literature.</w:t>
      </w:r>
    </w:p>
    <w:p w14:paraId="6A469268" w14:textId="6483FEEE" w:rsidR="00C20FCD" w:rsidRPr="009A7163" w:rsidRDefault="00C20FCD">
      <w:pPr>
        <w:spacing w:line="360" w:lineRule="auto"/>
        <w:ind w:firstLine="720"/>
        <w:jc w:val="both"/>
        <w:rPr>
          <w:rFonts w:eastAsiaTheme="minorHAnsi"/>
          <w:lang w:eastAsia="en-GB"/>
        </w:rPr>
      </w:pPr>
      <w:r w:rsidRPr="009A7163">
        <w:rPr>
          <w:rFonts w:eastAsiaTheme="minorHAnsi"/>
          <w:lang w:eastAsia="en-GB"/>
        </w:rPr>
        <w:t>A self-sanction related to the division of labour and time use is that of emotional and care work as altruistic behaviour. This echoes Kabeer (1994) who state</w:t>
      </w:r>
      <w:r w:rsidR="00E250CE" w:rsidRPr="009A7163">
        <w:rPr>
          <w:rFonts w:eastAsiaTheme="minorHAnsi"/>
          <w:lang w:eastAsia="en-GB"/>
        </w:rPr>
        <w:t>s</w:t>
      </w:r>
      <w:r w:rsidRPr="009A7163">
        <w:rPr>
          <w:rFonts w:eastAsiaTheme="minorHAnsi"/>
          <w:lang w:eastAsia="en-GB"/>
        </w:rPr>
        <w:t xml:space="preserve"> that altruism ‘appears to be generally more associated with one parent, rather than both and with maternal, rather than paternal preferences</w:t>
      </w:r>
      <w:r w:rsidR="00E250CE" w:rsidRPr="009A7163">
        <w:rPr>
          <w:rFonts w:eastAsiaTheme="minorHAnsi"/>
          <w:lang w:eastAsia="en-GB"/>
        </w:rPr>
        <w:t>’</w:t>
      </w:r>
      <w:r w:rsidRPr="009A7163">
        <w:rPr>
          <w:rFonts w:eastAsiaTheme="minorHAnsi"/>
          <w:lang w:eastAsia="en-GB"/>
        </w:rPr>
        <w:t xml:space="preserve"> (p. 103). In the fieldwork, this was evidenced by the women in terms of how they prioritised the needs of other family members and of the internalization. One example raised by a feminist activist and educator for Grupo Venancia was of how women become good at the mental load (introduced in </w:t>
      </w:r>
      <w:r w:rsidR="00B44AC2" w:rsidRPr="009A7163">
        <w:rPr>
          <w:rFonts w:eastAsiaTheme="minorHAnsi"/>
          <w:lang w:eastAsia="en-GB"/>
        </w:rPr>
        <w:t>Chapter Two</w:t>
      </w:r>
      <w:r w:rsidRPr="009A7163">
        <w:rPr>
          <w:rFonts w:eastAsiaTheme="minorHAnsi"/>
          <w:lang w:eastAsia="en-GB"/>
        </w:rPr>
        <w:t xml:space="preserve">) in order to relieve men of responsibilities and stress and how this role of managing the house and the affairs becomes another role that women do (Expert Interview, March 19, 2016). One women said, ‘She does not sleep at night for concern about the animals, her children, the next day’s work’ (Achuapa, February 2016). Another woman, when asked about the possibility of redistributing her care work, said she would be ashamed and feel guilty to ask someone to look after her child and, furthermore, the idea of leaving her child in a nursery could be perceived by others as ‘abandoning’ her child. This echoes Henderson et al.’s (2010) paper on surveillance practices and motherhood whereby they found the fear of criticism of other mothers led women to make certain choices. </w:t>
      </w:r>
    </w:p>
    <w:p w14:paraId="306B9040" w14:textId="77777777" w:rsidR="00C20FCD" w:rsidRPr="009A7163" w:rsidRDefault="00C20FCD">
      <w:pPr>
        <w:spacing w:line="360" w:lineRule="auto"/>
        <w:ind w:firstLine="720"/>
        <w:jc w:val="both"/>
        <w:rPr>
          <w:rFonts w:eastAsiaTheme="minorHAnsi"/>
          <w:bCs/>
          <w:lang w:eastAsia="en-GB"/>
        </w:rPr>
      </w:pPr>
      <w:r w:rsidRPr="009A7163">
        <w:rPr>
          <w:rFonts w:eastAsiaTheme="minorHAnsi"/>
          <w:lang w:eastAsia="en-GB"/>
        </w:rPr>
        <w:t>Many of the women interviewed accepted the gendered division of labour as well as persistent norms, which they have internalised. For example, i</w:t>
      </w:r>
      <w:r w:rsidRPr="009A7163">
        <w:rPr>
          <w:rFonts w:eastAsiaTheme="minorHAnsi"/>
          <w:bCs/>
          <w:lang w:eastAsia="en-GB"/>
        </w:rPr>
        <w:t xml:space="preserve">n response to the gendered division of labour, one participant explained that she pushed norm boundaries: </w:t>
      </w:r>
    </w:p>
    <w:p w14:paraId="2989B361" w14:textId="136110A4" w:rsidR="00C20FCD" w:rsidRPr="009A7163" w:rsidRDefault="00C20FCD" w:rsidP="00293176">
      <w:pPr>
        <w:spacing w:after="180"/>
        <w:ind w:left="720"/>
        <w:jc w:val="both"/>
        <w:rPr>
          <w:rFonts w:eastAsiaTheme="minorHAnsi"/>
          <w:bCs/>
          <w:lang w:eastAsia="en-GB"/>
        </w:rPr>
      </w:pPr>
      <w:r w:rsidRPr="009A7163">
        <w:rPr>
          <w:rFonts w:eastAsiaTheme="minorHAnsi"/>
          <w:bCs/>
          <w:lang w:eastAsia="en-GB"/>
        </w:rPr>
        <w:t>By nature the woman has to be in the house and the man in the fields. However, women do support the men with work in the fields (filling up coffee bags, sowing, picking coffee, carrying and transporting coffee)</w:t>
      </w:r>
      <w:r w:rsidR="00FE5EB3" w:rsidRPr="009A7163">
        <w:rPr>
          <w:rFonts w:eastAsiaTheme="minorHAnsi"/>
          <w:bCs/>
          <w:lang w:eastAsia="en-GB"/>
        </w:rPr>
        <w:t>…</w:t>
      </w:r>
      <w:r w:rsidRPr="009A7163">
        <w:rPr>
          <w:rFonts w:eastAsiaTheme="minorHAnsi"/>
          <w:bCs/>
          <w:lang w:eastAsia="en-GB"/>
        </w:rPr>
        <w:t xml:space="preserve">whereas there are men that won’t even light a fire to help cook (Women’s Focus Group, La Pita, March 4, 2015). </w:t>
      </w:r>
    </w:p>
    <w:p w14:paraId="22B358B2" w14:textId="140BBDBC" w:rsidR="00C20FCD" w:rsidRPr="009A7163" w:rsidRDefault="00C20FCD" w:rsidP="008C041F">
      <w:pPr>
        <w:spacing w:line="360" w:lineRule="auto"/>
        <w:ind w:firstLine="720"/>
        <w:jc w:val="both"/>
        <w:rPr>
          <w:rFonts w:eastAsiaTheme="minorHAnsi"/>
          <w:bCs/>
          <w:lang w:eastAsia="en-GB"/>
        </w:rPr>
      </w:pPr>
      <w:r w:rsidRPr="009A7163">
        <w:rPr>
          <w:rFonts w:eastAsiaTheme="minorHAnsi"/>
          <w:bCs/>
          <w:lang w:eastAsia="en-GB"/>
        </w:rPr>
        <w:t>And whilst some women mentioned that their partners and sons sometimes help with household chores, there are specific activities that men do not do. In explaining why they did</w:t>
      </w:r>
      <w:r w:rsidR="008C3BC2" w:rsidRPr="009A7163">
        <w:rPr>
          <w:rFonts w:eastAsiaTheme="minorHAnsi"/>
          <w:bCs/>
          <w:lang w:eastAsia="en-GB"/>
        </w:rPr>
        <w:t xml:space="preserve"> not</w:t>
      </w:r>
      <w:r w:rsidRPr="009A7163">
        <w:rPr>
          <w:rFonts w:eastAsiaTheme="minorHAnsi"/>
          <w:bCs/>
          <w:lang w:eastAsia="en-GB"/>
        </w:rPr>
        <w:t xml:space="preserve"> do any work in the house, the men said that: ‘They can’t [don’t know how]’, ‘that they are not used not accustomed to doing this work’, ‘that they have </w:t>
      </w:r>
      <w:r w:rsidRPr="009A7163">
        <w:rPr>
          <w:rFonts w:eastAsiaTheme="minorHAnsi"/>
          <w:bCs/>
          <w:lang w:eastAsia="en-GB"/>
        </w:rPr>
        <w:lastRenderedPageBreak/>
        <w:t xml:space="preserve">“sweaty hands” from being in the fields and because their hands are still hot they are unable to help the women’ with any household chores that involve water or heat such as washing clothes and making tortillas. Consequently, these jobs are the most physically demanding for the women. Overall the majority of the women (and men) had internalised this to such an extent </w:t>
      </w:r>
      <w:r w:rsidR="008C3BC2" w:rsidRPr="009A7163">
        <w:rPr>
          <w:rFonts w:eastAsiaTheme="minorHAnsi"/>
          <w:bCs/>
          <w:lang w:eastAsia="en-GB"/>
        </w:rPr>
        <w:t>tha</w:t>
      </w:r>
      <w:r w:rsidRPr="009A7163">
        <w:rPr>
          <w:rFonts w:eastAsiaTheme="minorHAnsi"/>
          <w:bCs/>
          <w:lang w:eastAsia="en-GB"/>
        </w:rPr>
        <w:t xml:space="preserve">t it is embedded at the level of the ‘doxa’. This as well as other cultural beliefs </w:t>
      </w:r>
      <w:r w:rsidR="008C3BC2" w:rsidRPr="009A7163">
        <w:rPr>
          <w:rFonts w:eastAsiaTheme="minorHAnsi"/>
          <w:bCs/>
          <w:lang w:eastAsia="en-GB"/>
        </w:rPr>
        <w:t xml:space="preserve">led </w:t>
      </w:r>
      <w:r w:rsidRPr="009A7163">
        <w:rPr>
          <w:rFonts w:eastAsiaTheme="minorHAnsi"/>
          <w:bCs/>
          <w:lang w:eastAsia="en-GB"/>
        </w:rPr>
        <w:t xml:space="preserve">the women not </w:t>
      </w:r>
      <w:r w:rsidR="008C3BC2" w:rsidRPr="009A7163">
        <w:rPr>
          <w:rFonts w:eastAsiaTheme="minorHAnsi"/>
          <w:bCs/>
          <w:lang w:eastAsia="en-GB"/>
        </w:rPr>
        <w:t xml:space="preserve">to </w:t>
      </w:r>
      <w:r w:rsidRPr="009A7163">
        <w:rPr>
          <w:rFonts w:eastAsiaTheme="minorHAnsi"/>
          <w:bCs/>
          <w:lang w:eastAsia="en-GB"/>
        </w:rPr>
        <w:t xml:space="preserve">question the gendered division of labour and time use. The women also mentioned that the men have less patience with the children and for that reason do less childcare. The women also see subcontracting childcare as a risk and argue that ‘no one would look after her/him like I would’ (Focus Group Women Achuapa, February 6, 2015). Juan Bravo, the president and manager of CJFPS, stated: </w:t>
      </w:r>
    </w:p>
    <w:p w14:paraId="555E70F1" w14:textId="217A8F85" w:rsidR="00C20FCD" w:rsidRPr="009A7163" w:rsidRDefault="00C20FCD" w:rsidP="00293176">
      <w:pPr>
        <w:spacing w:after="180"/>
        <w:ind w:left="720"/>
        <w:jc w:val="both"/>
        <w:rPr>
          <w:rFonts w:eastAsiaTheme="minorHAnsi"/>
          <w:bCs/>
          <w:lang w:eastAsia="en-GB"/>
        </w:rPr>
      </w:pPr>
      <w:r w:rsidRPr="009A7163">
        <w:rPr>
          <w:rFonts w:eastAsiaTheme="minorHAnsi"/>
          <w:bCs/>
          <w:lang w:eastAsia="en-GB"/>
        </w:rPr>
        <w:t>We’ve spent 20 years working on these issues, which is a lot – a great deal of time – and changes only happen little by little. There are myths and these myths govern. An example of one of these big myths is the argument that men use when they arrive home. They said “I’ve got sweaty hands and so I can’t get them wet” [i.e., help]</w:t>
      </w:r>
      <w:r w:rsidR="00FE5EB3" w:rsidRPr="009A7163">
        <w:rPr>
          <w:rFonts w:eastAsiaTheme="minorHAnsi"/>
          <w:bCs/>
          <w:lang w:eastAsia="en-GB"/>
        </w:rPr>
        <w:t>…</w:t>
      </w:r>
      <w:r w:rsidRPr="009A7163">
        <w:rPr>
          <w:rFonts w:eastAsiaTheme="minorHAnsi"/>
          <w:bCs/>
          <w:lang w:eastAsia="en-GB"/>
        </w:rPr>
        <w:t xml:space="preserve">Of course they can. All they would need to do is wash them with hot water and then get on and help. And if the women can work even with sweaty hands, why can’t the men? It’s all about them not wanting to leave their comfort zone. They’ve adopted ways to be in this system but for things to change the women would have to confront them and say, “No </w:t>
      </w:r>
      <w:r w:rsidRPr="009A7163">
        <w:rPr>
          <w:rFonts w:eastAsiaTheme="minorHAnsi"/>
          <w:bCs/>
          <w:i/>
          <w:lang w:eastAsia="en-GB"/>
        </w:rPr>
        <w:t>papito</w:t>
      </w:r>
      <w:r w:rsidRPr="009A7163">
        <w:rPr>
          <w:rFonts w:eastAsiaTheme="minorHAnsi"/>
          <w:bCs/>
          <w:lang w:eastAsia="en-GB"/>
        </w:rPr>
        <w:t>, if I can do it, you can!” But for the women to get to this stage, they would have had to have gone through training and capacity building to develop their negotiation skills in order to defend their territory, which is the private space. (Expert Interview, January 8, 2015)</w:t>
      </w:r>
    </w:p>
    <w:p w14:paraId="231FA3F2" w14:textId="6C562218" w:rsidR="00C20FCD" w:rsidRPr="009A7163" w:rsidRDefault="00C20FCD" w:rsidP="00293176">
      <w:pPr>
        <w:spacing w:after="240" w:line="360" w:lineRule="auto"/>
        <w:ind w:firstLine="720"/>
        <w:jc w:val="both"/>
        <w:rPr>
          <w:rFonts w:eastAsiaTheme="minorHAnsi"/>
          <w:bCs/>
          <w:vertAlign w:val="superscript"/>
          <w:lang w:eastAsia="en-GB"/>
        </w:rPr>
      </w:pPr>
      <w:r w:rsidRPr="009A7163">
        <w:rPr>
          <w:rFonts w:eastAsiaTheme="minorHAnsi"/>
          <w:bCs/>
          <w:lang w:eastAsia="en-GB"/>
        </w:rPr>
        <w:t>Whilst Juan Bravo expresses commitment and enthusiasm for tackling these myths and social norms, in an earlier quote he still deposited the issue of the responsibility of the household as the women’s role indicating she needed to better organise household chores and time use in order to participate. He again wants the women to go back and sort out their family issues in the private space. This is an attitude by many development interventions that view the home and family as a private space whereby ‘the household is deemed as a “no-go” area despite the fact that an implicit recognition of family (and women’s altruistic and subordinate roles within it) drives current agendas for reducing poverty</w:t>
      </w:r>
      <w:r w:rsidR="00FE5EB3" w:rsidRPr="009A7163">
        <w:rPr>
          <w:rFonts w:eastAsiaTheme="minorHAnsi"/>
          <w:bCs/>
          <w:lang w:eastAsia="en-GB"/>
        </w:rPr>
        <w:t>…</w:t>
      </w:r>
      <w:r w:rsidRPr="009A7163">
        <w:rPr>
          <w:rFonts w:eastAsiaTheme="minorHAnsi"/>
          <w:bCs/>
          <w:lang w:eastAsia="en-GB"/>
        </w:rPr>
        <w:t>without more attention to the family and household it is unlikely that any major changes in women’s position will come about</w:t>
      </w:r>
      <w:r w:rsidR="008C3BC2" w:rsidRPr="009A7163">
        <w:rPr>
          <w:rFonts w:eastAsiaTheme="minorHAnsi"/>
          <w:bCs/>
          <w:lang w:eastAsia="en-GB"/>
        </w:rPr>
        <w:t>’</w:t>
      </w:r>
      <w:r w:rsidRPr="009A7163">
        <w:rPr>
          <w:rFonts w:eastAsiaTheme="minorHAnsi"/>
          <w:bCs/>
          <w:lang w:eastAsia="en-GB"/>
        </w:rPr>
        <w:t xml:space="preserve"> (Chant and Brickell, </w:t>
      </w:r>
      <w:r w:rsidR="00D702E8" w:rsidRPr="009A7163">
        <w:rPr>
          <w:rFonts w:eastAsiaTheme="minorHAnsi"/>
          <w:bCs/>
          <w:lang w:eastAsia="en-GB"/>
        </w:rPr>
        <w:t>2013</w:t>
      </w:r>
      <w:r w:rsidRPr="009A7163">
        <w:rPr>
          <w:rFonts w:eastAsiaTheme="minorHAnsi"/>
          <w:bCs/>
          <w:lang w:eastAsia="en-GB"/>
        </w:rPr>
        <w:t xml:space="preserve">, p. 12). This work requires ‘radical initiatives to </w:t>
      </w:r>
      <w:r w:rsidR="00E250CE" w:rsidRPr="009A7163">
        <w:rPr>
          <w:rFonts w:eastAsiaTheme="minorHAnsi"/>
          <w:bCs/>
          <w:lang w:eastAsia="en-GB"/>
        </w:rPr>
        <w:t>“</w:t>
      </w:r>
      <w:r w:rsidRPr="009A7163">
        <w:rPr>
          <w:rFonts w:eastAsiaTheme="minorHAnsi"/>
          <w:bCs/>
          <w:lang w:eastAsia="en-GB"/>
        </w:rPr>
        <w:t>domesticate</w:t>
      </w:r>
      <w:r w:rsidR="00E250CE" w:rsidRPr="009A7163">
        <w:rPr>
          <w:rFonts w:eastAsiaTheme="minorHAnsi"/>
          <w:bCs/>
          <w:lang w:eastAsia="en-GB"/>
        </w:rPr>
        <w:t>”</w:t>
      </w:r>
      <w:r w:rsidRPr="009A7163">
        <w:rPr>
          <w:rFonts w:eastAsiaTheme="minorHAnsi"/>
          <w:bCs/>
          <w:lang w:eastAsia="en-GB"/>
        </w:rPr>
        <w:t xml:space="preserve">, as well as to </w:t>
      </w:r>
      <w:r w:rsidR="00E250CE" w:rsidRPr="009A7163">
        <w:rPr>
          <w:rFonts w:eastAsiaTheme="minorHAnsi"/>
          <w:bCs/>
          <w:lang w:eastAsia="en-GB"/>
        </w:rPr>
        <w:t>“</w:t>
      </w:r>
      <w:r w:rsidRPr="009A7163">
        <w:rPr>
          <w:rFonts w:eastAsiaTheme="minorHAnsi"/>
          <w:bCs/>
          <w:lang w:eastAsia="en-GB"/>
        </w:rPr>
        <w:t>de-patriarchalise</w:t>
      </w:r>
      <w:r w:rsidR="00E250CE" w:rsidRPr="009A7163">
        <w:rPr>
          <w:rFonts w:eastAsiaTheme="minorHAnsi"/>
          <w:bCs/>
          <w:lang w:eastAsia="en-GB"/>
        </w:rPr>
        <w:t>”</w:t>
      </w:r>
      <w:r w:rsidRPr="009A7163">
        <w:rPr>
          <w:rFonts w:eastAsiaTheme="minorHAnsi"/>
          <w:bCs/>
          <w:lang w:eastAsia="en-GB"/>
        </w:rPr>
        <w:t xml:space="preserve"> the development agenda</w:t>
      </w:r>
      <w:r w:rsidR="0064339B" w:rsidRPr="009A7163">
        <w:rPr>
          <w:rFonts w:eastAsiaTheme="minorHAnsi"/>
          <w:bCs/>
          <w:lang w:eastAsia="en-GB"/>
        </w:rPr>
        <w:t>’</w:t>
      </w:r>
      <w:r w:rsidRPr="009A7163">
        <w:rPr>
          <w:rFonts w:eastAsiaTheme="minorHAnsi"/>
          <w:bCs/>
          <w:lang w:eastAsia="en-GB"/>
        </w:rPr>
        <w:t xml:space="preserve"> (Chant and Brickell, </w:t>
      </w:r>
      <w:r w:rsidR="00D702E8" w:rsidRPr="009A7163">
        <w:rPr>
          <w:rFonts w:eastAsiaTheme="minorHAnsi"/>
          <w:bCs/>
          <w:lang w:eastAsia="en-GB"/>
        </w:rPr>
        <w:t>2013</w:t>
      </w:r>
      <w:r w:rsidRPr="009A7163">
        <w:rPr>
          <w:rFonts w:eastAsiaTheme="minorHAnsi"/>
          <w:bCs/>
          <w:lang w:eastAsia="en-GB"/>
        </w:rPr>
        <w:t xml:space="preserve">, p. 1). </w:t>
      </w:r>
    </w:p>
    <w:p w14:paraId="5047373A" w14:textId="77777777" w:rsidR="00C20FCD" w:rsidRPr="009A7163" w:rsidRDefault="00C20FCD" w:rsidP="00293176">
      <w:pPr>
        <w:spacing w:line="360" w:lineRule="auto"/>
        <w:jc w:val="both"/>
        <w:rPr>
          <w:rFonts w:eastAsiaTheme="minorHAnsi"/>
          <w:b/>
          <w:lang w:eastAsia="en-GB"/>
        </w:rPr>
      </w:pPr>
      <w:r w:rsidRPr="009A7163">
        <w:rPr>
          <w:rFonts w:eastAsiaTheme="minorHAnsi"/>
          <w:b/>
          <w:lang w:eastAsia="en-GB"/>
        </w:rPr>
        <w:lastRenderedPageBreak/>
        <w:t xml:space="preserve">7.2.1.3  Surveillance Practices </w:t>
      </w:r>
    </w:p>
    <w:p w14:paraId="571E805D" w14:textId="34014D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The data collected from both case studies revealed an important discourse around motherhood and the centrality of family. Expert interviews highlighted </w:t>
      </w:r>
      <w:r w:rsidR="008C3BC2" w:rsidRPr="009A7163">
        <w:rPr>
          <w:rFonts w:eastAsiaTheme="minorHAnsi"/>
          <w:lang w:eastAsia="en-GB"/>
        </w:rPr>
        <w:t xml:space="preserve">the tendencies of </w:t>
      </w:r>
      <w:r w:rsidRPr="009A7163">
        <w:rPr>
          <w:rFonts w:eastAsiaTheme="minorHAnsi"/>
          <w:lang w:eastAsia="en-GB"/>
        </w:rPr>
        <w:t>both the state and development programmes to invisibil</w:t>
      </w:r>
      <w:r w:rsidR="00C95A06" w:rsidRPr="009A7163">
        <w:rPr>
          <w:rFonts w:eastAsiaTheme="minorHAnsi"/>
          <w:lang w:eastAsia="en-GB"/>
        </w:rPr>
        <w:t>ise</w:t>
      </w:r>
      <w:r w:rsidRPr="009A7163">
        <w:rPr>
          <w:rFonts w:eastAsiaTheme="minorHAnsi"/>
          <w:lang w:eastAsia="en-GB"/>
        </w:rPr>
        <w:t xml:space="preserve"> gender inequalities at a household level and construct at the same a type of motherhood which serves their interests. In particular, the work men and women did and what was perceived as appropriate, was regulated by internalised gendered social norms. As Molyneux (2006) state</w:t>
      </w:r>
      <w:r w:rsidR="00E250CE" w:rsidRPr="009A7163">
        <w:rPr>
          <w:rFonts w:eastAsiaTheme="minorHAnsi"/>
          <w:lang w:eastAsia="en-GB"/>
        </w:rPr>
        <w:t>s</w:t>
      </w:r>
      <w:r w:rsidRPr="009A7163">
        <w:rPr>
          <w:rFonts w:eastAsiaTheme="minorHAnsi"/>
          <w:lang w:eastAsia="en-GB"/>
        </w:rPr>
        <w:t xml:space="preserve">, </w:t>
      </w:r>
    </w:p>
    <w:p w14:paraId="482F56E3" w14:textId="244BA6B2"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Latin American cultural constructions of femininity are strongly identified with motherhood, and serving the needs of children and household is generally considered a primary maternal responsibility, whether conducted by mothers themselves or delegated to others under their supervision (e.g., aid employees or other family members). </w:t>
      </w:r>
      <w:r w:rsidR="008C3BC2" w:rsidRPr="009A7163">
        <w:rPr>
          <w:rFonts w:eastAsiaTheme="minorHAnsi"/>
          <w:lang w:eastAsia="en-GB"/>
        </w:rPr>
        <w:t>(p. 36)</w:t>
      </w:r>
    </w:p>
    <w:p w14:paraId="5B2519E8" w14:textId="3E502BC4"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can be traced through a particular countries history (as referenced in the </w:t>
      </w:r>
      <w:r w:rsidR="00B44AC2" w:rsidRPr="009A7163">
        <w:rPr>
          <w:rFonts w:eastAsiaTheme="minorHAnsi"/>
          <w:lang w:eastAsia="en-GB"/>
        </w:rPr>
        <w:t>Chapter Four</w:t>
      </w:r>
      <w:r w:rsidRPr="009A7163">
        <w:rPr>
          <w:rFonts w:eastAsiaTheme="minorHAnsi"/>
          <w:lang w:eastAsia="en-GB"/>
        </w:rPr>
        <w:t>), but it is something that has been experienced regionally. Jelin (1990) argue</w:t>
      </w:r>
      <w:r w:rsidR="008C3BC2" w:rsidRPr="009A7163">
        <w:rPr>
          <w:rFonts w:eastAsiaTheme="minorHAnsi"/>
          <w:lang w:eastAsia="en-GB"/>
        </w:rPr>
        <w:t>s</w:t>
      </w:r>
      <w:r w:rsidRPr="009A7163">
        <w:rPr>
          <w:rFonts w:eastAsiaTheme="minorHAnsi"/>
          <w:lang w:eastAsia="en-GB"/>
        </w:rPr>
        <w:t xml:space="preserve"> that, ‘[T]hroughout the modern history of Latin America, motherhood has been strongly associated with political or social activism, as well as moral virtue, altruism, and self-sacrifice (cited in Molyneux, 2007, p. 36). In summary, cultural constructions of femininity are connected to the self-sacrificing or altruistic motherhood. The research findings found that this was also true of Nicaragua where there is a strong cultural framing of women as mother and martyr, born to suffer and also willing to sacrifice her own life for her children and family. Azahalea Solis, an attorney and member of the Women’s Autonomous Movement Managua (MAM), elaborated in an interview:</w:t>
      </w:r>
    </w:p>
    <w:p w14:paraId="395FB226" w14:textId="24ABDFB0" w:rsidR="00C20FCD" w:rsidRPr="009A7163" w:rsidRDefault="00C20FCD" w:rsidP="00293176">
      <w:pPr>
        <w:spacing w:after="180"/>
        <w:ind w:left="720"/>
        <w:jc w:val="both"/>
        <w:rPr>
          <w:rFonts w:eastAsiaTheme="minorHAnsi"/>
          <w:lang w:eastAsia="en-GB"/>
        </w:rPr>
      </w:pPr>
      <w:r w:rsidRPr="009A7163">
        <w:rPr>
          <w:rFonts w:eastAsiaTheme="minorHAnsi"/>
          <w:lang w:eastAsia="en-GB"/>
        </w:rPr>
        <w:t>The reality in our country is that we have a regime that continually reinforces the idea of the family and that women must be subservient to the family. The state reinforces the idea of the Virgin Mary who has to sacrifice her own life for everyone</w:t>
      </w:r>
      <w:r w:rsidR="00FE5EB3" w:rsidRPr="009A7163">
        <w:rPr>
          <w:rFonts w:eastAsiaTheme="minorHAnsi"/>
          <w:lang w:eastAsia="en-GB"/>
        </w:rPr>
        <w:t>…</w:t>
      </w:r>
      <w:r w:rsidRPr="009A7163">
        <w:rPr>
          <w:rFonts w:eastAsiaTheme="minorHAnsi"/>
          <w:lang w:eastAsia="en-GB"/>
        </w:rPr>
        <w:t>women have to be martyrs. For that reason, I think it’s so important to value women and give them the recognition they deserve for their work. (Expert Interview, May 5, 2016)</w:t>
      </w:r>
    </w:p>
    <w:p w14:paraId="27421F9E" w14:textId="56847D5B"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idea of motherhood has been argued as being essential to the state. Molyneux (2007) started a paper titled, ‘Change and Continuity in Social Protection in Latin America: </w:t>
      </w:r>
      <w:r w:rsidRPr="009A7163">
        <w:rPr>
          <w:rFonts w:eastAsiaTheme="minorHAnsi"/>
          <w:iCs/>
          <w:lang w:eastAsia="en-GB"/>
        </w:rPr>
        <w:t>Mothers at the Service of the State?’,</w:t>
      </w:r>
      <w:r w:rsidRPr="009A7163">
        <w:rPr>
          <w:rFonts w:eastAsiaTheme="minorHAnsi"/>
          <w:i/>
          <w:iCs/>
          <w:lang w:eastAsia="en-GB"/>
        </w:rPr>
        <w:t xml:space="preserve"> </w:t>
      </w:r>
      <w:r w:rsidRPr="009A7163">
        <w:rPr>
          <w:rFonts w:eastAsiaTheme="minorHAnsi"/>
          <w:iCs/>
          <w:lang w:eastAsia="en-GB"/>
        </w:rPr>
        <w:t xml:space="preserve">with a quote from </w:t>
      </w:r>
      <w:r w:rsidRPr="009A7163">
        <w:rPr>
          <w:rFonts w:eastAsiaTheme="minorHAnsi"/>
          <w:lang w:eastAsia="en-GB"/>
        </w:rPr>
        <w:t>Gordon</w:t>
      </w:r>
      <w:r w:rsidRPr="009A7163">
        <w:rPr>
          <w:rFonts w:eastAsiaTheme="minorHAnsi"/>
          <w:iCs/>
          <w:lang w:eastAsia="en-GB"/>
        </w:rPr>
        <w:t xml:space="preserve"> (1990), which stated: </w:t>
      </w:r>
      <w:r w:rsidRPr="009A7163">
        <w:rPr>
          <w:rFonts w:eastAsiaTheme="minorHAnsi"/>
          <w:lang w:eastAsia="en-GB"/>
        </w:rPr>
        <w:t xml:space="preserve">‘[I]f the state were a family, it would be assumed that welfare is a women’s affair’ (Gordon, 1990, p. 9, cited in Molyneux, 2007, p. 1). This resonates </w:t>
      </w:r>
      <w:r w:rsidRPr="009A7163">
        <w:rPr>
          <w:rFonts w:eastAsiaTheme="minorHAnsi"/>
          <w:lang w:eastAsia="en-GB"/>
        </w:rPr>
        <w:lastRenderedPageBreak/>
        <w:t xml:space="preserve">with the political context of Nicaragua described by the key informants. One of Molyneux’s (2007) key arguments </w:t>
      </w:r>
      <w:r w:rsidR="00E250CE" w:rsidRPr="009A7163">
        <w:rPr>
          <w:rFonts w:eastAsiaTheme="minorHAnsi"/>
          <w:lang w:eastAsia="en-GB"/>
        </w:rPr>
        <w:t>is explained in the following</w:t>
      </w:r>
      <w:r w:rsidRPr="009A7163">
        <w:rPr>
          <w:rFonts w:eastAsiaTheme="minorHAnsi"/>
          <w:lang w:eastAsia="en-GB"/>
        </w:rPr>
        <w:t>:</w:t>
      </w:r>
    </w:p>
    <w:p w14:paraId="2EC3B2A3" w14:textId="000CB370" w:rsidR="00C20FCD" w:rsidRPr="009A7163" w:rsidRDefault="00C20FCD" w:rsidP="00293176">
      <w:pPr>
        <w:spacing w:after="180"/>
        <w:ind w:left="720"/>
        <w:jc w:val="both"/>
        <w:rPr>
          <w:rFonts w:eastAsiaTheme="minorHAnsi"/>
          <w:lang w:eastAsia="en-GB"/>
        </w:rPr>
      </w:pPr>
      <w:r w:rsidRPr="009A7163">
        <w:rPr>
          <w:rFonts w:eastAsiaTheme="minorHAnsi"/>
          <w:lang w:eastAsia="en-GB"/>
        </w:rPr>
        <w:t>Women’s incorporation into welfare systems in Latin America have always been strongly influenced by women’s symbolic and social roles as mothers. Currently evolving anti-poverty programmes are in the main, despite some adaptations to modern conceptions of citizenship, still premised on a gendered construction of social need and indeed have the effect of re-traditionalising gendered roles and responsibilities. Thus the state is actively involved, through these programmes, in the structuring of asymmetrical and unequal gender relations, and this, it is argued, has long-term consequences for the satisfaction of social need.</w:t>
      </w:r>
      <w:r w:rsidR="008C3BC2" w:rsidRPr="009A7163">
        <w:rPr>
          <w:rFonts w:eastAsiaTheme="minorHAnsi"/>
          <w:lang w:eastAsia="en-GB"/>
        </w:rPr>
        <w:t xml:space="preserve"> (p. iii)</w:t>
      </w:r>
    </w:p>
    <w:p w14:paraId="24A8E092" w14:textId="1B1408D6" w:rsidR="00C20FCD" w:rsidRPr="009A7163" w:rsidRDefault="00C20FCD">
      <w:pPr>
        <w:spacing w:line="360" w:lineRule="auto"/>
        <w:ind w:firstLine="720"/>
        <w:jc w:val="both"/>
        <w:rPr>
          <w:rFonts w:eastAsiaTheme="minorHAnsi"/>
          <w:lang w:eastAsia="en-GB"/>
        </w:rPr>
      </w:pPr>
      <w:r w:rsidRPr="009A7163">
        <w:rPr>
          <w:rFonts w:eastAsiaTheme="minorHAnsi"/>
          <w:lang w:eastAsia="en-GB"/>
        </w:rPr>
        <w:t xml:space="preserve">A number of </w:t>
      </w:r>
      <w:r w:rsidR="003168E0" w:rsidRPr="009A7163">
        <w:rPr>
          <w:rFonts w:eastAsiaTheme="minorHAnsi"/>
          <w:lang w:eastAsia="en-GB"/>
        </w:rPr>
        <w:t xml:space="preserve">other </w:t>
      </w:r>
      <w:r w:rsidRPr="009A7163">
        <w:rPr>
          <w:rFonts w:eastAsiaTheme="minorHAnsi"/>
          <w:lang w:eastAsia="en-GB"/>
        </w:rPr>
        <w:t>scholars (see Bradshaw 2008; Molyneux 2006, 2007) have written about how gender relations, ideologies and identities around motherhood and family have been used for development programmes, including those of the state, whereby women become a ‘</w:t>
      </w:r>
      <w:r w:rsidRPr="009A7163">
        <w:rPr>
          <w:rFonts w:eastAsiaTheme="minorHAnsi"/>
          <w:i/>
          <w:lang w:eastAsia="en-GB"/>
        </w:rPr>
        <w:t>conduit of policy,</w:t>
      </w:r>
      <w:r w:rsidRPr="009A7163">
        <w:rPr>
          <w:rFonts w:eastAsiaTheme="minorHAnsi"/>
          <w:lang w:eastAsia="en-GB"/>
        </w:rPr>
        <w:t xml:space="preserve"> in the sense that resources channelled through them are expected to translate into greater improvements in the well-being of children and the family as a whole’ (Molyneux, 2006, p. 439, author’s emphasis). Moreover, the inclusion of women in policies and programmes represents, as Bradshaw (2008) summarise</w:t>
      </w:r>
      <w:r w:rsidR="008C3BC2" w:rsidRPr="009A7163">
        <w:rPr>
          <w:rFonts w:eastAsiaTheme="minorHAnsi"/>
          <w:lang w:eastAsia="en-GB"/>
        </w:rPr>
        <w:t>s</w:t>
      </w:r>
      <w:r w:rsidRPr="009A7163">
        <w:rPr>
          <w:rFonts w:eastAsiaTheme="minorHAnsi"/>
          <w:lang w:eastAsia="en-GB"/>
        </w:rPr>
        <w:t>, ‘a “feminisation of poverty reduction” that transfers the responsibility of improving the well-being of children and other household members to women and leaves the women little choice other than to take on this new obligation (Chant, 2006, 2008)’ (Bradshaw, 2008, p. 67). Chant (2006) coin</w:t>
      </w:r>
      <w:r w:rsidR="007A6059" w:rsidRPr="009A7163">
        <w:rPr>
          <w:rFonts w:eastAsiaTheme="minorHAnsi"/>
          <w:lang w:eastAsia="en-GB"/>
        </w:rPr>
        <w:t>s</w:t>
      </w:r>
      <w:r w:rsidRPr="009A7163">
        <w:rPr>
          <w:rFonts w:eastAsiaTheme="minorHAnsi"/>
          <w:lang w:eastAsia="en-GB"/>
        </w:rPr>
        <w:t xml:space="preserve"> this ‘the feminization of responsibility and obligation’</w:t>
      </w:r>
      <w:r w:rsidR="008C3BC2" w:rsidRPr="009A7163">
        <w:rPr>
          <w:rFonts w:eastAsiaTheme="minorHAnsi"/>
          <w:lang w:eastAsia="en-GB"/>
        </w:rPr>
        <w:t>, which</w:t>
      </w:r>
      <w:r w:rsidRPr="009A7163">
        <w:rPr>
          <w:rFonts w:eastAsiaTheme="minorHAnsi"/>
          <w:lang w:eastAsia="en-GB"/>
        </w:rPr>
        <w:t xml:space="preserve"> highlights the growing responsibilities and obligations women bear in household survival (p. 166)</w:t>
      </w:r>
      <w:r w:rsidR="00664706" w:rsidRPr="009A7163">
        <w:rPr>
          <w:rFonts w:eastAsiaTheme="minorHAnsi"/>
          <w:lang w:eastAsia="en-GB"/>
        </w:rPr>
        <w:t>. I</w:t>
      </w:r>
      <w:r w:rsidRPr="009A7163">
        <w:rPr>
          <w:rFonts w:eastAsiaTheme="minorHAnsi"/>
          <w:lang w:eastAsia="en-GB"/>
        </w:rPr>
        <w:t>n short</w:t>
      </w:r>
      <w:r w:rsidR="00664706" w:rsidRPr="009A7163">
        <w:rPr>
          <w:rFonts w:eastAsiaTheme="minorHAnsi"/>
          <w:lang w:eastAsia="en-GB"/>
        </w:rPr>
        <w:t>,</w:t>
      </w:r>
      <w:r w:rsidRPr="009A7163">
        <w:rPr>
          <w:rFonts w:eastAsiaTheme="minorHAnsi"/>
          <w:lang w:eastAsia="en-GB"/>
        </w:rPr>
        <w:t xml:space="preserve"> women’s (including perceived) responsibility is growing whilst men do less (p.</w:t>
      </w:r>
      <w:r w:rsidR="007A6059" w:rsidRPr="009A7163">
        <w:rPr>
          <w:rFonts w:eastAsiaTheme="minorHAnsi"/>
          <w:lang w:eastAsia="en-GB"/>
        </w:rPr>
        <w:t xml:space="preserve"> </w:t>
      </w:r>
      <w:r w:rsidRPr="009A7163">
        <w:rPr>
          <w:rFonts w:eastAsiaTheme="minorHAnsi"/>
          <w:lang w:eastAsia="en-GB"/>
        </w:rPr>
        <w:t>176)</w:t>
      </w:r>
      <w:r w:rsidR="00664706" w:rsidRPr="009A7163">
        <w:rPr>
          <w:rFonts w:eastAsiaTheme="minorHAnsi"/>
          <w:lang w:eastAsia="en-GB"/>
        </w:rPr>
        <w:t>,</w:t>
      </w:r>
      <w:r w:rsidRPr="009A7163">
        <w:rPr>
          <w:rFonts w:eastAsiaTheme="minorHAnsi"/>
          <w:lang w:eastAsia="en-GB"/>
        </w:rPr>
        <w:t xml:space="preserve"> which is part based on a perception of roles and responsibilities but also because women are increasingly supporting men as well (Chant, 2008, p. 176). Chant (2008) continue</w:t>
      </w:r>
      <w:r w:rsidR="00664706" w:rsidRPr="009A7163">
        <w:rPr>
          <w:rFonts w:eastAsiaTheme="minorHAnsi"/>
          <w:lang w:eastAsia="en-GB"/>
        </w:rPr>
        <w:t>s</w:t>
      </w:r>
      <w:r w:rsidRPr="009A7163">
        <w:rPr>
          <w:rFonts w:eastAsiaTheme="minorHAnsi"/>
          <w:lang w:eastAsia="en-GB"/>
        </w:rPr>
        <w:t>:</w:t>
      </w:r>
    </w:p>
    <w:p w14:paraId="7DBC1435" w14:textId="22529DA2" w:rsidR="00C20FCD" w:rsidRPr="009A7163" w:rsidRDefault="00C20FCD" w:rsidP="00293176">
      <w:pPr>
        <w:spacing w:after="180"/>
        <w:ind w:left="720"/>
        <w:jc w:val="both"/>
        <w:rPr>
          <w:rFonts w:eastAsiaTheme="minorHAnsi"/>
          <w:lang w:eastAsia="en-GB"/>
        </w:rPr>
      </w:pPr>
      <w:r w:rsidRPr="009A7163">
        <w:rPr>
          <w:rFonts w:eastAsiaTheme="minorHAnsi"/>
          <w:lang w:eastAsia="en-GB"/>
        </w:rPr>
        <w:t>Also disturbing is that women are forced into accepting rather than challenging these mounting responsibilities in a spirit of quiet and self-sacrificing acquiescence. While recourse to ‘traditional’ norms of female altruism in a time of transition may be a tactical gesture to ensure household survival, the danger is that women will have to carry on assuming more responsibilities with severe costs to their personal health and well-being</w:t>
      </w:r>
      <w:r w:rsidR="00FF63D0" w:rsidRPr="009A7163">
        <w:rPr>
          <w:rFonts w:eastAsiaTheme="minorHAnsi"/>
          <w:lang w:eastAsia="en-GB"/>
        </w:rPr>
        <w:t>.</w:t>
      </w:r>
      <w:r w:rsidRPr="009A7163">
        <w:rPr>
          <w:rFonts w:eastAsiaTheme="minorHAnsi"/>
          <w:lang w:eastAsia="en-GB"/>
        </w:rPr>
        <w:t xml:space="preserve"> (p. 182)</w:t>
      </w:r>
    </w:p>
    <w:p w14:paraId="336026EC" w14:textId="0084E5CB"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Chant (2014) explain</w:t>
      </w:r>
      <w:r w:rsidR="007A6059" w:rsidRPr="009A7163">
        <w:rPr>
          <w:rFonts w:eastAsiaTheme="minorHAnsi"/>
          <w:lang w:eastAsia="en-GB"/>
        </w:rPr>
        <w:t>s</w:t>
      </w:r>
      <w:r w:rsidRPr="009A7163">
        <w:rPr>
          <w:rFonts w:eastAsiaTheme="minorHAnsi"/>
          <w:lang w:eastAsia="en-GB"/>
        </w:rPr>
        <w:t xml:space="preserve"> that the mounting burdens that women take on in order to cope with poverty ‘do not seem to enable them to secure more cooperation or effort from men, perhaps most usefully epitomised as persistent and/or growing gender disparities in capacity to negotiate obligations and entitlements in households’ and whilst ‘men are able to evade the daily toil and drudgery of life’ and exercise ‘domestic </w:t>
      </w:r>
      <w:r w:rsidRPr="009A7163">
        <w:rPr>
          <w:rFonts w:eastAsiaTheme="minorHAnsi"/>
          <w:lang w:eastAsia="en-GB"/>
        </w:rPr>
        <w:lastRenderedPageBreak/>
        <w:t>detachment’</w:t>
      </w:r>
      <w:r w:rsidR="00664706" w:rsidRPr="009A7163">
        <w:rPr>
          <w:rFonts w:eastAsiaTheme="minorHAnsi"/>
          <w:lang w:eastAsia="en-GB"/>
        </w:rPr>
        <w:t xml:space="preserve"> (p. 7)</w:t>
      </w:r>
      <w:r w:rsidRPr="009A7163">
        <w:rPr>
          <w:rFonts w:eastAsiaTheme="minorHAnsi"/>
          <w:lang w:eastAsia="en-GB"/>
        </w:rPr>
        <w:t>. The personal costs have been evidenced in the research findings thus far and despite growing scholarly evidence of the risks of using women as ‘conduits of policy’. Tabbush (2010) wr</w:t>
      </w:r>
      <w:r w:rsidR="00664706" w:rsidRPr="009A7163">
        <w:rPr>
          <w:rFonts w:eastAsiaTheme="minorHAnsi"/>
          <w:lang w:eastAsia="en-GB"/>
        </w:rPr>
        <w:t>ites</w:t>
      </w:r>
      <w:r w:rsidRPr="009A7163">
        <w:rPr>
          <w:rFonts w:eastAsiaTheme="minorHAnsi"/>
          <w:lang w:eastAsia="en-GB"/>
        </w:rPr>
        <w:t xml:space="preserve"> that: ‘As a perverse consequence, the welfare state ends up making women responsible for addressing gender inequalities, of which they themselves are the main victims’ (p. 442). As one gender expert who works with Grupo Venancia explained, there is little state presence and a lot work to do (‘</w:t>
      </w:r>
      <w:r w:rsidRPr="009A7163">
        <w:rPr>
          <w:rFonts w:eastAsiaTheme="minorHAnsi"/>
          <w:i/>
          <w:lang w:eastAsia="en-GB"/>
        </w:rPr>
        <w:t>Poco estado, mucho trabajo</w:t>
      </w:r>
      <w:r w:rsidRPr="009A7163">
        <w:rPr>
          <w:rFonts w:eastAsiaTheme="minorHAnsi"/>
          <w:lang w:eastAsia="en-GB"/>
        </w:rPr>
        <w:t>’) (Expert Interview, March 19, 2015</w:t>
      </w:r>
      <w:r w:rsidR="007A6059" w:rsidRPr="009A7163">
        <w:rPr>
          <w:rFonts w:eastAsiaTheme="minorHAnsi"/>
          <w:lang w:eastAsia="en-GB"/>
        </w:rPr>
        <w:t>)</w:t>
      </w:r>
      <w:r w:rsidRPr="009A7163">
        <w:rPr>
          <w:rFonts w:eastAsiaTheme="minorHAnsi"/>
          <w:lang w:eastAsia="en-GB"/>
        </w:rPr>
        <w:t>. Therein lies the contradiction between little state presence and burden of work being placed on the women.</w:t>
      </w:r>
    </w:p>
    <w:p w14:paraId="0AC1F458" w14:textId="53871A1D"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The Nicaraguan government has focused key social programmes around women and the discourse of the importance of the family and has also promoted family values to reduce poverty. Bradshaw (2008) state</w:t>
      </w:r>
      <w:r w:rsidR="007903C0" w:rsidRPr="009A7163">
        <w:rPr>
          <w:rFonts w:eastAsiaTheme="minorHAnsi"/>
          <w:lang w:eastAsia="en-GB"/>
        </w:rPr>
        <w:t>s</w:t>
      </w:r>
      <w:r w:rsidRPr="009A7163">
        <w:rPr>
          <w:rFonts w:eastAsiaTheme="minorHAnsi"/>
          <w:lang w:eastAsia="en-GB"/>
        </w:rPr>
        <w:t xml:space="preserve">, ‘This efficiency discourse has been apparent in all areas of policy formulation in recent Nicaraguan governments’ (p. 68). She further showed how the National Development Plan (PND) ‘pledges to promote, strengthen and protect the family unit and family unity, seeking to ‘re-establish’ the values and morals of families (Government of Nicaragua 2003)’ (Bradshaw, 2008, p. 69). The Nicaraguan government in particular, much like CJFPS, has made it the women’s responsibility to sort out the family’s affairs by focusing on women being key protagonists in development with the Zero Hunger program being a recent example of this (Gomez et al., 2014). </w:t>
      </w:r>
      <w:r w:rsidRPr="009A7163">
        <w:rPr>
          <w:rFonts w:eastAsiaTheme="minorHAnsi"/>
          <w:i/>
          <w:iCs/>
          <w:lang w:eastAsia="en-GB"/>
        </w:rPr>
        <w:t xml:space="preserve">Hambre Cero </w:t>
      </w:r>
      <w:r w:rsidRPr="009A7163">
        <w:rPr>
          <w:rFonts w:eastAsiaTheme="minorHAnsi"/>
          <w:lang w:eastAsia="en-GB"/>
        </w:rPr>
        <w:t>(meaning “Zero Hunger”) is an anti-poverty program funded by the Nicaraguan government that gives voucher packages to poor rural women. Items given include pregnant cows, pigs, chickens, seeds and technical assistance with the goal of generating profit for use by the families and women’s cooperatives. In essence, in the Zero Hunger program, the women were used to ‘administer poverty’ (Molyneux, 2006), whereby they are the main protagonists of the programme and are a conduit of policy in the sense that resources channelled through them are expected to translate into greater improvements in the well-being of children and the family as a whole (Molyneux, 2006, p. 37). In Larroachea’s (2011) work, she further gave specific examples in Nicaragua whereby women become project beneficiaries on the condition they fulfil their role as good mothers. As Tabbush (2009) explain</w:t>
      </w:r>
      <w:r w:rsidR="007903C0" w:rsidRPr="009A7163">
        <w:rPr>
          <w:rFonts w:eastAsiaTheme="minorHAnsi"/>
          <w:lang w:eastAsia="en-GB"/>
        </w:rPr>
        <w:t>s</w:t>
      </w:r>
      <w:r w:rsidRPr="009A7163">
        <w:rPr>
          <w:rFonts w:eastAsiaTheme="minorHAnsi"/>
          <w:lang w:eastAsia="en-GB"/>
        </w:rPr>
        <w:t xml:space="preserve">, these policies and programs ‘give money to women from poor families on the condition that they are “good” in the development of their maternal roles’ (p. 29). Analysing this tendency, Tabbush (2009, p. 30) questioned whether, from a feminist point of view, ‘can we celebrate the fact that women are active participants in these </w:t>
      </w:r>
      <w:r w:rsidRPr="009A7163">
        <w:rPr>
          <w:rFonts w:eastAsiaTheme="minorHAnsi"/>
          <w:lang w:eastAsia="en-GB"/>
        </w:rPr>
        <w:lastRenderedPageBreak/>
        <w:t xml:space="preserve">state policies with inclusion efforts aimed at them only as “mothers”?’ She further argued that ‘women are not taken into account as workers or as citizens: they are provided </w:t>
      </w:r>
      <w:r w:rsidR="007903C0" w:rsidRPr="009A7163">
        <w:rPr>
          <w:rFonts w:eastAsiaTheme="minorHAnsi"/>
          <w:lang w:eastAsia="en-GB"/>
        </w:rPr>
        <w:t>“</w:t>
      </w:r>
      <w:r w:rsidRPr="009A7163">
        <w:rPr>
          <w:rFonts w:eastAsiaTheme="minorHAnsi"/>
          <w:lang w:eastAsia="en-GB"/>
        </w:rPr>
        <w:t>inclusion</w:t>
      </w:r>
      <w:r w:rsidR="007903C0" w:rsidRPr="009A7163">
        <w:rPr>
          <w:rFonts w:eastAsiaTheme="minorHAnsi"/>
          <w:lang w:eastAsia="en-GB"/>
        </w:rPr>
        <w:t>”</w:t>
      </w:r>
      <w:r w:rsidRPr="009A7163">
        <w:rPr>
          <w:rFonts w:eastAsiaTheme="minorHAnsi"/>
          <w:lang w:eastAsia="en-GB"/>
        </w:rPr>
        <w:t xml:space="preserve"> as mothers of the next generation of poor workers’ (</w:t>
      </w:r>
      <w:r w:rsidR="007A6059" w:rsidRPr="009A7163">
        <w:rPr>
          <w:rFonts w:eastAsiaTheme="minorHAnsi"/>
          <w:lang w:eastAsia="en-GB"/>
        </w:rPr>
        <w:t>ibid</w:t>
      </w:r>
      <w:r w:rsidRPr="009A7163">
        <w:rPr>
          <w:rFonts w:eastAsiaTheme="minorHAnsi"/>
          <w:lang w:eastAsia="en-GB"/>
        </w:rPr>
        <w:t>). Thus, while women play a fundamental role in social integration, their individual needs are not being met by the policy objectives. Therein ‘family acquires centre stage as the site for carving out social integration (regardless of its internal inequalities), and as predominantly a “feminine” territory and responsibility. In that way, the moralization of gender relations within families offers a direct association of women’s and family interests’ (Tabbush, 2009, p. 31). The former Academic Coordinator for the Master’s Gender Program at the Universidad Centroaméricana, Ana Victoria Portocarrero, explained further:</w:t>
      </w:r>
    </w:p>
    <w:p w14:paraId="4DC787D2" w14:textId="39562E2A" w:rsidR="00C20FCD" w:rsidRPr="009A7163" w:rsidRDefault="00C20FCD" w:rsidP="00293176">
      <w:pPr>
        <w:spacing w:after="180"/>
        <w:ind w:left="720"/>
        <w:jc w:val="both"/>
        <w:rPr>
          <w:rFonts w:eastAsiaTheme="minorHAnsi"/>
          <w:b/>
          <w:i/>
          <w:lang w:eastAsia="en-GB"/>
        </w:rPr>
      </w:pPr>
      <w:r w:rsidRPr="009A7163">
        <w:rPr>
          <w:rFonts w:eastAsiaTheme="minorHAnsi"/>
          <w:lang w:eastAsia="en-GB"/>
        </w:rPr>
        <w:t>Currently we have a political system where we’re put in a position of deep dependency on the state. This particularly applies to the many rural women involved in state-run development programs. The problem is there are no real political or economic programs that consider empowerment to accompany these [development] programs</w:t>
      </w:r>
      <w:r w:rsidR="00FE5EB3" w:rsidRPr="009A7163">
        <w:rPr>
          <w:rFonts w:eastAsiaTheme="minorHAnsi"/>
          <w:lang w:eastAsia="en-GB"/>
        </w:rPr>
        <w:t>…</w:t>
      </w:r>
      <w:r w:rsidRPr="009A7163">
        <w:rPr>
          <w:rFonts w:eastAsiaTheme="minorHAnsi"/>
          <w:lang w:eastAsia="en-GB"/>
        </w:rPr>
        <w:t>For example, support so that women can become organised, can debate and propose new ideas, programmes, or to creatively develop their skills</w:t>
      </w:r>
      <w:r w:rsidR="00FE5EB3" w:rsidRPr="009A7163">
        <w:rPr>
          <w:rFonts w:eastAsiaTheme="minorHAnsi"/>
          <w:lang w:eastAsia="en-GB"/>
        </w:rPr>
        <w:t>…</w:t>
      </w:r>
      <w:r w:rsidRPr="009A7163">
        <w:rPr>
          <w:rFonts w:eastAsiaTheme="minorHAnsi"/>
          <w:lang w:eastAsia="en-GB"/>
        </w:rPr>
        <w:t>In reality we have a clientelist system, which works on, “if you do this, I will give you that” and this is the problem – it sustains deep dependency on the state. (Expert Interview, March 14, 2015)</w:t>
      </w:r>
    </w:p>
    <w:p w14:paraId="7AB25170" w14:textId="77777777" w:rsidR="00C20FCD" w:rsidRPr="009A7163" w:rsidRDefault="00C20FCD" w:rsidP="008C041F">
      <w:pPr>
        <w:spacing w:line="360" w:lineRule="auto"/>
        <w:ind w:firstLine="720"/>
        <w:jc w:val="both"/>
        <w:rPr>
          <w:rFonts w:eastAsiaTheme="minorHAnsi"/>
          <w:i/>
          <w:lang w:eastAsia="en-GB"/>
        </w:rPr>
      </w:pPr>
      <w:r w:rsidRPr="009A7163">
        <w:rPr>
          <w:rFonts w:eastAsiaTheme="minorHAnsi"/>
          <w:lang w:eastAsia="en-GB"/>
        </w:rPr>
        <w:t xml:space="preserve">The centrality of the family and women’s identity in relation to the family and wider development programmes, as well as the sexual division of labour is something that a leading women’s economic rights advocate, Sandra Ramos, touched upon in an interview. She argued: </w:t>
      </w:r>
    </w:p>
    <w:p w14:paraId="25EB20D6" w14:textId="3F90664E" w:rsidR="00C20FCD" w:rsidRPr="009A7163" w:rsidRDefault="00C20FCD" w:rsidP="00293176">
      <w:pPr>
        <w:spacing w:after="180"/>
        <w:ind w:left="720"/>
        <w:jc w:val="both"/>
        <w:rPr>
          <w:rFonts w:eastAsiaTheme="minorHAnsi"/>
          <w:lang w:eastAsia="en-GB"/>
        </w:rPr>
      </w:pPr>
      <w:r w:rsidRPr="009A7163">
        <w:rPr>
          <w:rFonts w:eastAsiaTheme="minorHAnsi"/>
          <w:lang w:eastAsia="en-GB"/>
        </w:rPr>
        <w:t>The state has a family-focused vision that invisibilises the inequality that exists at the nucleus of the family. The state want to see the family as something neutral and it’s not. There are gaps in equality and inequality in the family between the man and woman, the woman and her children, and men and their children. The nuclear family is a school of inequality because there you’ll find discrimination, sexual abuse, violence, and segregation. For example, most men and women prefer that their son study because they expect their daughters to end up being housewives. So, in the end, these concepts devalue the work done at home, but they also affect women more generally and their position in society and their worth. For this very reason, we have to highlight the importance of women’s unpaid work and care work</w:t>
      </w:r>
      <w:r w:rsidR="00FE5EB3" w:rsidRPr="009A7163">
        <w:rPr>
          <w:rFonts w:eastAsiaTheme="minorHAnsi"/>
          <w:lang w:eastAsia="en-GB"/>
        </w:rPr>
        <w:t>…</w:t>
      </w:r>
      <w:r w:rsidRPr="009A7163">
        <w:rPr>
          <w:rFonts w:eastAsiaTheme="minorHAnsi"/>
          <w:lang w:eastAsia="en-GB"/>
        </w:rPr>
        <w:t>it’s a world, an underworld, that we have still not been able to enter with the depth that we want. So, whilst we continue to overlook the sexual division of labour – its roots and the consequences – we will just be covering it up and leading our lives without questioning its perseverance. What we need to do is dig deeper, and to see that the sexual division of labour is a type of segregation that has kept us marginalised. We need to break it</w:t>
      </w:r>
      <w:r w:rsidR="00FE5EB3" w:rsidRPr="009A7163">
        <w:rPr>
          <w:rFonts w:eastAsiaTheme="minorHAnsi"/>
          <w:lang w:eastAsia="en-GB"/>
        </w:rPr>
        <w:t>…</w:t>
      </w:r>
      <w:r w:rsidRPr="009A7163">
        <w:rPr>
          <w:rFonts w:eastAsiaTheme="minorHAnsi"/>
          <w:lang w:eastAsia="en-GB"/>
        </w:rPr>
        <w:t xml:space="preserve">we need to slowly break through the threads of inequality that </w:t>
      </w:r>
      <w:r w:rsidRPr="009A7163">
        <w:rPr>
          <w:rFonts w:eastAsiaTheme="minorHAnsi"/>
          <w:lang w:eastAsia="en-GB"/>
        </w:rPr>
        <w:lastRenderedPageBreak/>
        <w:t>mark our lives in order to finally achieve balance. (Expert Interview, May 19, 2016)</w:t>
      </w:r>
    </w:p>
    <w:p w14:paraId="39672C57" w14:textId="0D8F2428" w:rsidR="00371EB4" w:rsidRPr="009A7163" w:rsidRDefault="003168E0">
      <w:pPr>
        <w:spacing w:line="360" w:lineRule="auto"/>
        <w:ind w:firstLine="720"/>
        <w:jc w:val="both"/>
      </w:pPr>
      <w:r w:rsidRPr="009A7163">
        <w:rPr>
          <w:rFonts w:eastAsiaTheme="minorHAnsi"/>
          <w:lang w:eastAsia="en-GB"/>
        </w:rPr>
        <w:t xml:space="preserve">Like Ramos, </w:t>
      </w:r>
      <w:r w:rsidR="00C20FCD" w:rsidRPr="009A7163">
        <w:rPr>
          <w:rFonts w:eastAsiaTheme="minorHAnsi"/>
          <w:lang w:eastAsia="en-GB"/>
        </w:rPr>
        <w:t>Bradshaw and Quirós Viquez (2008) argue</w:t>
      </w:r>
      <w:r w:rsidR="002B0613" w:rsidRPr="009A7163">
        <w:rPr>
          <w:rFonts w:eastAsiaTheme="minorHAnsi"/>
          <w:lang w:eastAsia="en-GB"/>
        </w:rPr>
        <w:t xml:space="preserve"> that</w:t>
      </w:r>
      <w:r w:rsidR="00C20FCD" w:rsidRPr="009A7163">
        <w:rPr>
          <w:rFonts w:eastAsiaTheme="minorHAnsi"/>
          <w:lang w:eastAsia="en-GB"/>
        </w:rPr>
        <w:t xml:space="preserve"> the Nicaraguan state in its documentation and through social protection programmes promotes family values and in particular ‘responsible attitudes’ (p. 837). The discourse and design of such programmes, as Bradshaw and Quirós Viquez (2008) observe, ‘reinforces the idea of the “traditional” family and family values, and the gendered roles and norms of behaviour, including women’s assumed altruism, on which they are based’ (p. 838)</w:t>
      </w:r>
      <w:r w:rsidR="00C47FD6" w:rsidRPr="009A7163">
        <w:rPr>
          <w:rFonts w:eastAsiaTheme="minorHAnsi"/>
          <w:lang w:eastAsia="en-GB"/>
        </w:rPr>
        <w:t>.</w:t>
      </w:r>
    </w:p>
    <w:p w14:paraId="7FA0D2FD" w14:textId="224B4086" w:rsidR="009461F9" w:rsidRPr="009A7163" w:rsidRDefault="00C20FCD" w:rsidP="007A3A29">
      <w:pPr>
        <w:spacing w:line="360" w:lineRule="auto"/>
        <w:ind w:firstLine="720"/>
        <w:jc w:val="both"/>
        <w:rPr>
          <w:rFonts w:eastAsiaTheme="minorHAnsi"/>
          <w:lang w:eastAsia="en-GB"/>
        </w:rPr>
      </w:pPr>
      <w:r w:rsidRPr="009A7163">
        <w:rPr>
          <w:rFonts w:eastAsiaTheme="minorHAnsi"/>
          <w:lang w:eastAsia="en-GB"/>
        </w:rPr>
        <w:t xml:space="preserve">The long standing and current focus on family and the values of love promoted by the state acts to secure gendered roles. For example, the government is promoting ‘harmonious family’ programmes and workshops and have also created ‘family councils’ </w:t>
      </w:r>
      <w:r w:rsidRPr="009A7163">
        <w:rPr>
          <w:rFonts w:eastAsiaTheme="minorHAnsi"/>
          <w:i/>
          <w:lang w:eastAsia="en-GB"/>
        </w:rPr>
        <w:t>(consejos de familia</w:t>
      </w:r>
      <w:r w:rsidRPr="009A7163">
        <w:rPr>
          <w:rFonts w:eastAsiaTheme="minorHAnsi"/>
          <w:lang w:eastAsia="en-GB"/>
        </w:rPr>
        <w:t>).</w:t>
      </w:r>
      <w:r w:rsidR="002B0613" w:rsidRPr="009A7163">
        <w:rPr>
          <w:rFonts w:eastAsiaTheme="minorHAnsi"/>
          <w:lang w:eastAsia="en-GB"/>
        </w:rPr>
        <w:t>W</w:t>
      </w:r>
      <w:r w:rsidR="001E4855" w:rsidRPr="009A7163">
        <w:rPr>
          <w:rFonts w:eastAsiaTheme="minorHAnsi"/>
          <w:lang w:eastAsia="en-GB"/>
        </w:rPr>
        <w:t xml:space="preserve">hilst there is a strong discourse by the government </w:t>
      </w:r>
      <w:r w:rsidR="00012297" w:rsidRPr="009A7163">
        <w:rPr>
          <w:rFonts w:eastAsiaTheme="minorHAnsi"/>
          <w:lang w:eastAsia="en-GB"/>
        </w:rPr>
        <w:t xml:space="preserve">on </w:t>
      </w:r>
      <w:r w:rsidR="001E4855" w:rsidRPr="009A7163">
        <w:rPr>
          <w:rFonts w:eastAsiaTheme="minorHAnsi"/>
          <w:lang w:eastAsia="en-GB"/>
        </w:rPr>
        <w:t xml:space="preserve">family, there is also a very active national and regional feminist </w:t>
      </w:r>
      <w:r w:rsidR="00712CDE" w:rsidRPr="009A7163">
        <w:rPr>
          <w:rFonts w:eastAsiaTheme="minorHAnsi"/>
          <w:lang w:eastAsia="en-GB"/>
        </w:rPr>
        <w:t>network</w:t>
      </w:r>
      <w:r w:rsidR="001E4855" w:rsidRPr="009A7163">
        <w:rPr>
          <w:rFonts w:eastAsiaTheme="minorHAnsi"/>
          <w:lang w:eastAsia="en-GB"/>
        </w:rPr>
        <w:t xml:space="preserve"> with feminist groups is all of the major cities of Nicaragua which counteract this narrative. </w:t>
      </w:r>
      <w:r w:rsidR="009461F9" w:rsidRPr="009A7163">
        <w:rPr>
          <w:rFonts w:eastAsiaTheme="minorHAnsi"/>
          <w:lang w:eastAsia="en-GB"/>
        </w:rPr>
        <w:t>Cupples (2005)</w:t>
      </w:r>
      <w:r w:rsidR="002C5C1A" w:rsidRPr="009A7163">
        <w:rPr>
          <w:rFonts w:eastAsiaTheme="minorHAnsi"/>
          <w:lang w:eastAsia="en-GB"/>
        </w:rPr>
        <w:t>,</w:t>
      </w:r>
      <w:r w:rsidR="009461F9" w:rsidRPr="009A7163">
        <w:rPr>
          <w:rFonts w:eastAsiaTheme="minorHAnsi"/>
          <w:lang w:eastAsia="en-GB"/>
        </w:rPr>
        <w:t xml:space="preserve"> who conducted research in Matagalpa</w:t>
      </w:r>
      <w:r w:rsidR="002C5C1A" w:rsidRPr="009A7163">
        <w:rPr>
          <w:rFonts w:eastAsiaTheme="minorHAnsi"/>
          <w:lang w:eastAsia="en-GB"/>
        </w:rPr>
        <w:t>,</w:t>
      </w:r>
      <w:r w:rsidR="009461F9" w:rsidRPr="009A7163">
        <w:rPr>
          <w:rFonts w:eastAsiaTheme="minorHAnsi"/>
          <w:lang w:eastAsia="en-GB"/>
        </w:rPr>
        <w:t xml:space="preserve"> f</w:t>
      </w:r>
      <w:r w:rsidR="002C5C1A" w:rsidRPr="009A7163">
        <w:rPr>
          <w:rFonts w:eastAsiaTheme="minorHAnsi"/>
          <w:lang w:eastAsia="en-GB"/>
        </w:rPr>
        <w:t>inds</w:t>
      </w:r>
      <w:r w:rsidR="009461F9" w:rsidRPr="009A7163">
        <w:rPr>
          <w:rFonts w:eastAsiaTheme="minorHAnsi"/>
          <w:lang w:eastAsia="en-GB"/>
        </w:rPr>
        <w:t xml:space="preserve"> that:</w:t>
      </w:r>
    </w:p>
    <w:p w14:paraId="57CB4366" w14:textId="08565622" w:rsidR="009461F9" w:rsidRPr="009A7163" w:rsidRDefault="009461F9" w:rsidP="007A3A29">
      <w:pPr>
        <w:spacing w:after="180"/>
        <w:ind w:left="720"/>
        <w:jc w:val="both"/>
      </w:pPr>
      <w:r w:rsidRPr="009A7163">
        <w:t>An examination of women's working lives reveals that most Nicaraguan women diverge significantly from dominant discourses in terms of their attitudes and everyday practices and work is a site in which motherhood can be significantly renegotiated</w:t>
      </w:r>
      <w:r w:rsidR="007A6059" w:rsidRPr="009A7163">
        <w:t>…</w:t>
      </w:r>
      <w:r w:rsidRPr="009A7163">
        <w:t>Although wage-earning and domestic responsibilities often have a negative impact on a child's education, they can also facilitate it. For many Nicaraguan girls and women, working and studying at the same time become a part of life. (p.</w:t>
      </w:r>
      <w:r w:rsidR="002C5C1A" w:rsidRPr="009A7163">
        <w:t xml:space="preserve"> </w:t>
      </w:r>
      <w:r w:rsidRPr="009A7163">
        <w:t>312)</w:t>
      </w:r>
    </w:p>
    <w:p w14:paraId="03B8329A" w14:textId="580A8424" w:rsidR="00C47FD6" w:rsidRPr="009A7163" w:rsidRDefault="001E4855" w:rsidP="007A3A29">
      <w:pPr>
        <w:spacing w:after="240" w:line="360" w:lineRule="auto"/>
        <w:jc w:val="both"/>
      </w:pPr>
      <w:r w:rsidRPr="009A7163">
        <w:rPr>
          <w:rFonts w:eastAsiaTheme="minorHAnsi"/>
          <w:lang w:eastAsia="en-GB"/>
        </w:rPr>
        <w:t>A number of the research interviewees spoke about finding ways to challenge this</w:t>
      </w:r>
      <w:r w:rsidR="009461F9" w:rsidRPr="009A7163">
        <w:rPr>
          <w:rFonts w:eastAsiaTheme="minorHAnsi"/>
          <w:lang w:eastAsia="en-GB"/>
        </w:rPr>
        <w:t xml:space="preserve"> documented in interviews and there were a few young women who echoed Cupples finding in individual interviews.</w:t>
      </w:r>
    </w:p>
    <w:p w14:paraId="6BD85908" w14:textId="320D5052" w:rsidR="00C20FCD" w:rsidRPr="009A7163" w:rsidRDefault="00C20FCD" w:rsidP="00293176">
      <w:pPr>
        <w:pStyle w:val="Heading3"/>
        <w:rPr>
          <w:rFonts w:eastAsiaTheme="minorHAnsi"/>
          <w:lang w:eastAsia="en-GB"/>
        </w:rPr>
      </w:pPr>
      <w:bookmarkStart w:id="147" w:name="_Toc526819346"/>
      <w:r w:rsidRPr="009A7163">
        <w:t>7.2.2  Norm 2: Gendered Division of Decision</w:t>
      </w:r>
      <w:r w:rsidR="003F7611" w:rsidRPr="009A7163">
        <w:t xml:space="preserve"> </w:t>
      </w:r>
      <w:r w:rsidRPr="009A7163">
        <w:t>Making</w:t>
      </w:r>
      <w:bookmarkEnd w:id="147"/>
      <w:r w:rsidRPr="009A7163">
        <w:t> </w:t>
      </w:r>
    </w:p>
    <w:p w14:paraId="65DC802A" w14:textId="0E4BE412"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Another persistent and predominant norm which affects the family distribution of time and labour is that of decision making. This norm related to gender roles around decision making and capabilities in different spheres. The social norms around gendered divisions of labour often assume that women make decisions around children, food, and home and the men on financial, work, strategic family decisions and the responsibility to keep families safe (Markel et al., 2016, p. 4). This section will explore external sanctions and self-sanctions, and then it will look at surveillance practices, which encourage such practices and entrench these norms.</w:t>
      </w:r>
    </w:p>
    <w:p w14:paraId="572DB9A0" w14:textId="77777777" w:rsidR="00C20FCD" w:rsidRPr="009A7163" w:rsidRDefault="00C20FCD" w:rsidP="00293176">
      <w:pPr>
        <w:pStyle w:val="Heading4"/>
        <w:rPr>
          <w:rFonts w:eastAsiaTheme="minorHAnsi"/>
        </w:rPr>
      </w:pPr>
      <w:bookmarkStart w:id="148" w:name="_Toc526819347"/>
      <w:r w:rsidRPr="009A7163">
        <w:rPr>
          <w:rFonts w:eastAsiaTheme="minorHAnsi"/>
        </w:rPr>
        <w:lastRenderedPageBreak/>
        <w:t>7.2.2.1  External Sanctions</w:t>
      </w:r>
      <w:bookmarkEnd w:id="148"/>
    </w:p>
    <w:p w14:paraId="10371E52" w14:textId="107941F6"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The research found that decision</w:t>
      </w:r>
      <w:r w:rsidR="00166214" w:rsidRPr="009A7163">
        <w:rPr>
          <w:rFonts w:eastAsiaTheme="minorHAnsi"/>
          <w:lang w:eastAsia="en-GB"/>
        </w:rPr>
        <w:t>-</w:t>
      </w:r>
      <w:r w:rsidRPr="009A7163">
        <w:rPr>
          <w:rFonts w:eastAsiaTheme="minorHAnsi"/>
          <w:lang w:eastAsia="en-GB"/>
        </w:rPr>
        <w:t>making roles are still gendered; however, in both case studies there were some attempts by the women to challenge these boundaries with men and with other institutions</w:t>
      </w:r>
      <w:r w:rsidRPr="009A7163">
        <w:rPr>
          <w:rFonts w:eastAsiaTheme="minorHAnsi"/>
          <w:b/>
          <w:i/>
          <w:lang w:eastAsia="en-GB"/>
        </w:rPr>
        <w:t xml:space="preserve">. </w:t>
      </w:r>
      <w:r w:rsidRPr="009A7163">
        <w:rPr>
          <w:rFonts w:eastAsiaTheme="minorHAnsi"/>
          <w:lang w:eastAsia="en-GB"/>
        </w:rPr>
        <w:t>Likewise, some of the men have acknowledged the need to change</w:t>
      </w:r>
      <w:r w:rsidR="007A6059" w:rsidRPr="009A7163">
        <w:rPr>
          <w:rFonts w:eastAsiaTheme="minorHAnsi"/>
          <w:lang w:eastAsia="en-GB"/>
        </w:rPr>
        <w:t>, thereby</w:t>
      </w:r>
      <w:r w:rsidRPr="009A7163">
        <w:rPr>
          <w:rFonts w:eastAsiaTheme="minorHAnsi"/>
          <w:lang w:eastAsia="en-GB"/>
        </w:rPr>
        <w:t xml:space="preserve"> demonstrating that the gendered system is not rigid</w:t>
      </w:r>
      <w:r w:rsidRPr="009A7163">
        <w:rPr>
          <w:rFonts w:eastAsiaTheme="minorHAnsi"/>
          <w:b/>
          <w:i/>
          <w:lang w:eastAsia="en-GB"/>
        </w:rPr>
        <w:t xml:space="preserve">. </w:t>
      </w:r>
      <w:r w:rsidRPr="009A7163">
        <w:rPr>
          <w:rFonts w:eastAsiaTheme="minorHAnsi"/>
          <w:lang w:eastAsia="en-GB"/>
        </w:rPr>
        <w:t>One of the men</w:t>
      </w:r>
      <w:r w:rsidRPr="009A7163">
        <w:rPr>
          <w:rFonts w:eastAsiaTheme="minorHAnsi"/>
          <w:b/>
          <w:i/>
          <w:lang w:eastAsia="en-GB"/>
        </w:rPr>
        <w:t xml:space="preserve"> </w:t>
      </w:r>
      <w:r w:rsidRPr="009A7163">
        <w:rPr>
          <w:rFonts w:eastAsiaTheme="minorHAnsi"/>
          <w:lang w:eastAsia="en-GB"/>
        </w:rPr>
        <w:t>described support for new behaviours and change:</w:t>
      </w:r>
    </w:p>
    <w:p w14:paraId="2D92F88C"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I understand this need to change. We’ve received workshops on gender and we’re beginning to understand and arrive at our conclusions about equality; however, in the countryside, it’s harder as not everyone sees it from this perspective because of our culture and because of how we have been taught. There are still people who believe that the men are in charge and rule the house. I understand that responsibility should be shared. (Men’s Focus Group, Achuapa, February 6, 2015)</w:t>
      </w:r>
    </w:p>
    <w:p w14:paraId="7A55D4A5" w14:textId="4AFBE66D" w:rsidR="00C20FCD" w:rsidRPr="009A7163" w:rsidRDefault="00C20FCD" w:rsidP="008C041F">
      <w:pPr>
        <w:spacing w:line="360" w:lineRule="auto"/>
        <w:ind w:firstLine="720"/>
        <w:jc w:val="both"/>
        <w:rPr>
          <w:rFonts w:eastAsiaTheme="minorHAnsi"/>
          <w:b/>
          <w:i/>
          <w:lang w:eastAsia="en-GB"/>
        </w:rPr>
      </w:pPr>
      <w:r w:rsidRPr="009A7163">
        <w:rPr>
          <w:rFonts w:eastAsiaTheme="minorHAnsi"/>
          <w:lang w:eastAsia="en-GB"/>
        </w:rPr>
        <w:t xml:space="preserve">A number of men also reported that they leave certain decision making up to their partners, such as that of running the household or looking after the children as women are better at doing these tasks. Women also reported that they take certain decisions independent of their partners. Furthermore, results from the </w:t>
      </w:r>
      <w:r w:rsidR="007A6059" w:rsidRPr="009A7163">
        <w:rPr>
          <w:rFonts w:eastAsiaTheme="minorHAnsi"/>
          <w:lang w:eastAsia="en-GB"/>
        </w:rPr>
        <w:t>H</w:t>
      </w:r>
      <w:r w:rsidRPr="009A7163">
        <w:rPr>
          <w:rFonts w:eastAsiaTheme="minorHAnsi"/>
          <w:lang w:eastAsia="en-GB"/>
        </w:rPr>
        <w:t xml:space="preserve">ousehold </w:t>
      </w:r>
      <w:r w:rsidR="007A6059" w:rsidRPr="009A7163">
        <w:rPr>
          <w:rFonts w:eastAsiaTheme="minorHAnsi"/>
          <w:lang w:eastAsia="en-GB"/>
        </w:rPr>
        <w:t>S</w:t>
      </w:r>
      <w:r w:rsidRPr="009A7163">
        <w:rPr>
          <w:rFonts w:eastAsiaTheme="minorHAnsi"/>
          <w:lang w:eastAsia="en-GB"/>
        </w:rPr>
        <w:t xml:space="preserve">urvey showed that there is a </w:t>
      </w:r>
      <w:r w:rsidRPr="009A7163">
        <w:rPr>
          <w:rFonts w:eastAsiaTheme="minorHAnsi"/>
          <w:i/>
          <w:lang w:eastAsia="en-GB"/>
        </w:rPr>
        <w:t>‘</w:t>
      </w:r>
      <w:r w:rsidRPr="009A7163">
        <w:rPr>
          <w:rFonts w:eastAsiaTheme="minorHAnsi"/>
          <w:lang w:eastAsia="en-GB"/>
        </w:rPr>
        <w:t>natural belief’ that women do it best. However, it is important to note that women undertake tasks not necessarily for love (Elson, 2005)</w:t>
      </w:r>
      <w:r w:rsidR="0015606A" w:rsidRPr="009A7163">
        <w:rPr>
          <w:rFonts w:eastAsiaTheme="minorHAnsi"/>
          <w:lang w:eastAsia="en-GB"/>
        </w:rPr>
        <w:t>,</w:t>
      </w:r>
      <w:r w:rsidRPr="009A7163">
        <w:rPr>
          <w:rFonts w:eastAsiaTheme="minorHAnsi"/>
          <w:lang w:eastAsia="en-GB"/>
        </w:rPr>
        <w:t xml:space="preserve"> but often because of obligation.</w:t>
      </w:r>
      <w:r w:rsidR="003F7611" w:rsidRPr="009A7163">
        <w:rPr>
          <w:rFonts w:eastAsiaTheme="minorHAnsi"/>
          <w:i/>
          <w:lang w:eastAsia="en-GB"/>
        </w:rPr>
        <w:t xml:space="preserve"> </w:t>
      </w:r>
      <w:r w:rsidRPr="009A7163">
        <w:rPr>
          <w:rFonts w:eastAsiaTheme="minorHAnsi"/>
          <w:lang w:eastAsia="en-GB"/>
        </w:rPr>
        <w:t>Men that participated in the Achuapa focus group shared that they do not always handle their money transparently and that decisions are not really shared equally. They said that the women are not always fully aware of how much they earn because they withhold the full amount. For example, they may have earnt C$5,000, but they’ll give the women C$2,000 (Men’s Focus Group, Achuapa, February 6, 2015). So, whilst the women are responsible for decision making in the house, the men chose not to share their earnings or provide them with all the information about the expenses. The men commented that women are not only responsible for running it and all the work necessary to keep it functioning but also all the expenditures related to it. Despite this the men admitted ridiculing women who apparently can’t make decisions ‘if her husband isn’t there’, thus maintaining the social norms surrounding gender roles and decision making.</w:t>
      </w:r>
    </w:p>
    <w:p w14:paraId="49CBAA36" w14:textId="3CC3B32C"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Women are still excluded from certain decision making at other levels. Decision making within the initiative is limited due to the structured nature of the project that is managed by the cooperative and in which there is little presence of women in decision making functions. How women invest their money from the initiative is mediated by </w:t>
      </w:r>
      <w:r w:rsidRPr="009A7163">
        <w:rPr>
          <w:rFonts w:eastAsiaTheme="minorHAnsi"/>
          <w:lang w:eastAsia="en-GB"/>
        </w:rPr>
        <w:lastRenderedPageBreak/>
        <w:t xml:space="preserve">the cooperative and even though there is a vehicle for groups to propose how they will invest their group saving, this is not always encouraged or supported by the cooperative. The women talked about comments they had heard that limited their decision-making power. In particular, there are different visions and opinions about </w:t>
      </w:r>
      <w:r w:rsidR="007A6059" w:rsidRPr="009A7163">
        <w:rPr>
          <w:rFonts w:eastAsiaTheme="minorHAnsi"/>
          <w:lang w:eastAsia="en-GB"/>
        </w:rPr>
        <w:t>the capacbility of women to manage large funds</w:t>
      </w:r>
      <w:r w:rsidRPr="009A7163">
        <w:rPr>
          <w:rFonts w:eastAsiaTheme="minorHAnsi"/>
          <w:lang w:eastAsia="en-GB"/>
        </w:rPr>
        <w:t>. The women of La Pita, for example, mentioned that they perceived distrust in their capacities by those working at the Unión de Cooperativas Agropecuarias ‘Augusto César Sandino’ (UCA San Ramón). They associate this mistrust with the allocation of gendered roles, and in particular with the idea that women may not be able to make good decisions around productive activities. So, they explained: ‘We have to be after the money, chasing it, begging them, so it’s not really ours’ (Women’s Focus Group, La Pita, March 4, 2015).</w:t>
      </w:r>
    </w:p>
    <w:p w14:paraId="254DC597" w14:textId="77777777"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So whilst there is evidence of external sanctions and in some evidence shifts to the norms, the evidence pointed to how women remain excluded from certain decision making processes due to structural constraints. So whilst they are the actors of the initiative the power is not in their hands to shape different outcomes. The next section looks at what internal mechanism also create obstacles to transforming this dynamic as it explores self-sanctions that the women manifested.</w:t>
      </w:r>
    </w:p>
    <w:p w14:paraId="33A201E1" w14:textId="77777777" w:rsidR="00C20FCD" w:rsidRPr="009A7163" w:rsidRDefault="00C20FCD" w:rsidP="00293176">
      <w:pPr>
        <w:pStyle w:val="Heading4"/>
        <w:rPr>
          <w:rFonts w:eastAsiaTheme="minorHAnsi"/>
        </w:rPr>
      </w:pPr>
      <w:bookmarkStart w:id="149" w:name="_Toc526819348"/>
      <w:r w:rsidRPr="009A7163">
        <w:rPr>
          <w:rFonts w:eastAsiaTheme="minorHAnsi"/>
        </w:rPr>
        <w:t>7.2.2.2  Self-Sanctions</w:t>
      </w:r>
      <w:bookmarkEnd w:id="149"/>
    </w:p>
    <w:p w14:paraId="692EEE47" w14:textId="777777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section explores self-sanctions through altruistic behaviour, the framework for this section follows the argument of Brickell and Chant (2010) reflections on female altruism whereby in their article they outline factors shaping, and key dimensions of female atriums in three regions of the Global South. Here I explore two of these dimensions of altruism: economic altruism and physical altruism. </w:t>
      </w:r>
    </w:p>
    <w:p w14:paraId="4877F5F4" w14:textId="777777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First, regarding economic altruism, the majority of the women said that they administer the small amount of money that they earn from the initiative. The stated that they feel like they decide on what to use it for; however, in all the reported cases the money was spent on household necessities. In some interviews, the women also mentioned that ‘important decisions’ were taken with her partner. No woman who took the household survey mentioned that they would use their earnings exclusively on themselves or for personal needs. On the contrary, a number of women reported that they share their money and believe in the phrase ‘what’s mine is yours’ (Fieldwork diary, February 2016). The women were also proud to be self-sufficient when faced </w:t>
      </w:r>
      <w:r w:rsidRPr="009A7163">
        <w:rPr>
          <w:rFonts w:eastAsiaTheme="minorHAnsi"/>
          <w:lang w:eastAsia="en-GB"/>
        </w:rPr>
        <w:lastRenderedPageBreak/>
        <w:t>with irresponsible fathers and did not question the injustice. In an expert interview with Sandra Ramos, she raised concern about this type of attitude. Here is what she said:</w:t>
      </w:r>
    </w:p>
    <w:p w14:paraId="3D237B84"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I think it’s important that the cooperative does not fall into a trap of giving special attention to single mums or female heads of families became it can lead to quite a damaging attitude of women feeling proud that they can “do it on their own” and also that they can “put up with a lot” and manage everything despite the lack of responsibility that their partners or ex partners show. This is important as we shouldn’t be encouraging a disinterest or lack of concern of obligation and responsibility from the men. So if we think in the bigger picture, more globally, I think policies that favour or focus on female heads of households without questioning paternal irresponsibility or the fact that women are now having to do more are problematic. (Expert Interview, May 19, 2016)</w:t>
      </w:r>
    </w:p>
    <w:p w14:paraId="154643AF" w14:textId="777777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altruistic behaviour of type of accepting of paternal irresponsibility echoes work by Lancaster (1992, p. 235–6) on the effects of </w:t>
      </w:r>
      <w:r w:rsidRPr="009A7163">
        <w:rPr>
          <w:rFonts w:eastAsiaTheme="minorHAnsi"/>
          <w:i/>
          <w:lang w:eastAsia="en-GB"/>
        </w:rPr>
        <w:t>machismo</w:t>
      </w:r>
      <w:r w:rsidRPr="009A7163">
        <w:rPr>
          <w:rFonts w:eastAsiaTheme="minorHAnsi"/>
          <w:lang w:eastAsia="en-GB"/>
        </w:rPr>
        <w:t xml:space="preserve"> whereby he argues that the fact that women accept men squandering their money on other women, on drinking, and other similar types of behaviour represents the internalization of this system. One participant from La Pita (aged 55 years or older, single, coffee producer, cooperative member, less than three years in the cooperative) shared: </w:t>
      </w:r>
    </w:p>
    <w:p w14:paraId="439F440D"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When you have a partner, the man never recognises and values the work of the women. When the man is administrating the money, he doesn’t share it. He squanders it on alcohol. For me it’s better to be separated. It’s a break from it, a rest and now there’s no violence. (Interview, July 5 2015)</w:t>
      </w:r>
    </w:p>
    <w:p w14:paraId="50027865" w14:textId="777777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Furthermore, on the acceptance and ‘economy’ of </w:t>
      </w:r>
      <w:r w:rsidRPr="009A7163">
        <w:rPr>
          <w:rFonts w:eastAsiaTheme="minorHAnsi"/>
          <w:i/>
          <w:lang w:eastAsia="en-GB"/>
        </w:rPr>
        <w:t>machismo</w:t>
      </w:r>
      <w:r w:rsidRPr="009A7163">
        <w:rPr>
          <w:rFonts w:eastAsiaTheme="minorHAnsi"/>
          <w:lang w:eastAsia="en-GB"/>
        </w:rPr>
        <w:t xml:space="preserve">, the gender coordinator, agronomist, and General Director of Foundation Between Women (FEM) said: </w:t>
      </w:r>
    </w:p>
    <w:p w14:paraId="09D19416"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All of this [unpaid work is done only] so that the man can earn his day’s labour and then spend that money on drinking and going out and meeting other women. This unpaid women’s work allowed this man to go out and enjoy all of these freedoms but it remains invisible, unrecognised, and unpaid. (Expert Interview, Juana Villanueva, February 29, 2016) </w:t>
      </w:r>
    </w:p>
    <w:p w14:paraId="482AB7DB" w14:textId="5116C782"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The idea of that the role of rural women is to be available to resolve household needs in times of emergencies and crisis was a theme repeated throughout the fieldwork. In the literature, </w:t>
      </w:r>
      <w:r w:rsidR="00250728" w:rsidRPr="009A7163">
        <w:rPr>
          <w:rFonts w:eastAsiaTheme="minorHAnsi"/>
          <w:lang w:eastAsia="en-GB"/>
        </w:rPr>
        <w:t xml:space="preserve">Brickell and Chant (2010), citing Chant (2007) and Elson (2002)  </w:t>
      </w:r>
      <w:r w:rsidRPr="009A7163">
        <w:rPr>
          <w:rFonts w:eastAsiaTheme="minorHAnsi"/>
          <w:lang w:eastAsia="en-GB"/>
        </w:rPr>
        <w:t xml:space="preserve">refer to </w:t>
      </w:r>
      <w:r w:rsidR="00250728" w:rsidRPr="009A7163">
        <w:rPr>
          <w:rFonts w:eastAsiaTheme="minorHAnsi"/>
          <w:lang w:eastAsia="en-GB"/>
        </w:rPr>
        <w:t xml:space="preserve">this </w:t>
      </w:r>
      <w:r w:rsidRPr="009A7163">
        <w:rPr>
          <w:rFonts w:eastAsiaTheme="minorHAnsi"/>
          <w:lang w:eastAsia="en-GB"/>
        </w:rPr>
        <w:t xml:space="preserve">as </w:t>
      </w:r>
      <w:r w:rsidR="0063397C" w:rsidRPr="009A7163">
        <w:rPr>
          <w:rFonts w:eastAsiaTheme="minorHAnsi"/>
          <w:lang w:eastAsia="en-GB"/>
        </w:rPr>
        <w:t>‘</w:t>
      </w:r>
      <w:r w:rsidRPr="009A7163">
        <w:rPr>
          <w:rFonts w:eastAsiaTheme="minorHAnsi"/>
          <w:lang w:eastAsia="en-GB"/>
        </w:rPr>
        <w:t xml:space="preserve">women acting as </w:t>
      </w:r>
      <w:r w:rsidR="00250728" w:rsidRPr="009A7163">
        <w:rPr>
          <w:rFonts w:eastAsiaTheme="minorHAnsi"/>
          <w:lang w:eastAsia="en-GB"/>
        </w:rPr>
        <w:t>“</w:t>
      </w:r>
      <w:r w:rsidRPr="009A7163">
        <w:rPr>
          <w:rFonts w:eastAsiaTheme="minorHAnsi"/>
          <w:lang w:eastAsia="en-GB"/>
        </w:rPr>
        <w:t>shock absorbers</w:t>
      </w:r>
      <w:r w:rsidR="00250728" w:rsidRPr="009A7163">
        <w:rPr>
          <w:rFonts w:eastAsiaTheme="minorHAnsi"/>
          <w:lang w:eastAsia="en-GB"/>
        </w:rPr>
        <w:t>”’</w:t>
      </w:r>
      <w:r w:rsidRPr="009A7163">
        <w:rPr>
          <w:rFonts w:eastAsiaTheme="minorHAnsi"/>
          <w:lang w:eastAsia="en-GB"/>
        </w:rPr>
        <w:t xml:space="preserve"> </w:t>
      </w:r>
      <w:r w:rsidR="00250728" w:rsidRPr="009A7163">
        <w:rPr>
          <w:rFonts w:eastAsiaTheme="minorHAnsi"/>
          <w:lang w:eastAsia="en-GB"/>
        </w:rPr>
        <w:t>(</w:t>
      </w:r>
      <w:r w:rsidRPr="009A7163">
        <w:rPr>
          <w:rFonts w:eastAsiaTheme="minorHAnsi"/>
          <w:lang w:eastAsia="en-GB"/>
        </w:rPr>
        <w:t>p.</w:t>
      </w:r>
      <w:r w:rsidR="00250728" w:rsidRPr="009A7163">
        <w:rPr>
          <w:rFonts w:eastAsiaTheme="minorHAnsi"/>
          <w:lang w:eastAsia="en-GB"/>
        </w:rPr>
        <w:t xml:space="preserve"> </w:t>
      </w:r>
      <w:r w:rsidRPr="009A7163">
        <w:rPr>
          <w:rFonts w:eastAsiaTheme="minorHAnsi"/>
          <w:lang w:eastAsia="en-GB"/>
        </w:rPr>
        <w:t>152). The women themselves alluded to their responsibility to ‘save’ for emergencies. Several participants from the focus groups explain:</w:t>
      </w:r>
    </w:p>
    <w:p w14:paraId="29DC1850"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With the money I earn, I buy all our necessities in order to help him. I also need to make sure I have some money saved for when he’s not working as well. (Women’s Focus Group, Achuapa, February 6, 2015)</w:t>
      </w:r>
    </w:p>
    <w:p w14:paraId="7B9D8109"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lastRenderedPageBreak/>
        <w:t>I save for emergencies. You need to be prepared, as you never know what’s around the corner and I have small children and I don’t want to be in the situation where we need to be borrowing. I don’t earn a lot. It’s actually a really small amount, but I save it just in case. He can’t complain about me especially as I take care of the house…he could help me but he doesn’t like too. (Women’s Focus Group, Achuapa, February 6, 2015)</w:t>
      </w:r>
    </w:p>
    <w:p w14:paraId="646C3D83" w14:textId="3A10BD21"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The quotes from the women above demonstrate this dimension of economic altruism whereby they use their money for household expenses and also, as described earlier, they see their responsibility to resolve whatever family crisis may occur. They have internalised the responsibility of being ‘shock absorbers’. This echoes Agarwal (1997) whereby she argue</w:t>
      </w:r>
      <w:r w:rsidR="00B56CDB" w:rsidRPr="009A7163">
        <w:rPr>
          <w:rFonts w:eastAsiaTheme="minorHAnsi"/>
          <w:lang w:eastAsia="en-GB"/>
        </w:rPr>
        <w:t>s</w:t>
      </w:r>
      <w:r w:rsidRPr="009A7163">
        <w:rPr>
          <w:rFonts w:eastAsiaTheme="minorHAnsi"/>
          <w:lang w:eastAsia="en-GB"/>
        </w:rPr>
        <w:t xml:space="preserve"> that altruism can affect bargaining outcomes. She further state</w:t>
      </w:r>
      <w:r w:rsidR="00B56CDB" w:rsidRPr="009A7163">
        <w:rPr>
          <w:rFonts w:eastAsiaTheme="minorHAnsi"/>
          <w:lang w:eastAsia="en-GB"/>
        </w:rPr>
        <w:t>s</w:t>
      </w:r>
      <w:r w:rsidRPr="009A7163">
        <w:rPr>
          <w:rFonts w:eastAsiaTheme="minorHAnsi"/>
          <w:lang w:eastAsia="en-GB"/>
        </w:rPr>
        <w:t xml:space="preserve"> that: ‘developing-country evidence shows that poor women spend the income they control largely on family needs rather than on personal needs’ (</w:t>
      </w:r>
      <w:r w:rsidR="00B56CDB" w:rsidRPr="009A7163">
        <w:rPr>
          <w:rFonts w:eastAsiaTheme="minorHAnsi"/>
          <w:lang w:eastAsia="en-GB"/>
        </w:rPr>
        <w:t xml:space="preserve">ibid, </w:t>
      </w:r>
      <w:r w:rsidRPr="009A7163">
        <w:rPr>
          <w:rFonts w:eastAsiaTheme="minorHAnsi"/>
          <w:lang w:eastAsia="en-GB"/>
        </w:rPr>
        <w:t xml:space="preserve">p. 25). </w:t>
      </w:r>
    </w:p>
    <w:p w14:paraId="2780C58D" w14:textId="77777777" w:rsidR="00C20FCD" w:rsidRPr="009A7163" w:rsidRDefault="00C20FCD">
      <w:pPr>
        <w:spacing w:line="360" w:lineRule="auto"/>
        <w:ind w:firstLine="720"/>
        <w:jc w:val="both"/>
        <w:rPr>
          <w:rFonts w:eastAsiaTheme="minorHAnsi"/>
          <w:lang w:eastAsia="en-GB"/>
        </w:rPr>
      </w:pPr>
      <w:r w:rsidRPr="009A7163">
        <w:rPr>
          <w:rFonts w:eastAsiaTheme="minorHAnsi"/>
          <w:lang w:eastAsia="en-GB"/>
        </w:rPr>
        <w:t>However, there were indications of changes and new behaviours with women and decision making. The Gender Coordinator of the CJFPS in Achuapa reported that:</w:t>
      </w:r>
    </w:p>
    <w:p w14:paraId="12276879"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They’ve changed and now have new understandings. They can now express themselves, whereas before the initiative they were so shy. They’ve also changed the way they behave in the family and in particular with decision making. In this aspect, there’s been change…before they were so shy they would have no position and would be obedient. Now with their own businesses, they feel slightly more independent and this has an influence. (Expert Interview, January 8, 2015)</w:t>
      </w:r>
    </w:p>
    <w:p w14:paraId="0CDFB0EB" w14:textId="140915D4"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Whilst the gender coordinator commented on these positive changes, there is a paradox as the majority of the businesses are based in the women’s households and whilst they may have more economic ‘independence’, in several cases the women commented that they are now more time poor. This is an issue raised by scholars who address the impact of economic empowerment initiatives. Chant (2014) state</w:t>
      </w:r>
      <w:r w:rsidR="00B56CDB" w:rsidRPr="009A7163">
        <w:rPr>
          <w:rFonts w:eastAsiaTheme="minorHAnsi"/>
          <w:lang w:eastAsia="en-GB"/>
        </w:rPr>
        <w:t>s</w:t>
      </w:r>
      <w:r w:rsidRPr="009A7163">
        <w:rPr>
          <w:rFonts w:eastAsiaTheme="minorHAnsi"/>
          <w:lang w:eastAsia="en-GB"/>
        </w:rPr>
        <w:t xml:space="preserve"> that while at one level the ‘economic empowerment’ such interventions nominally offer is positive, the result is often an intensification of the difficulties faced by women in reconciling unpaid reproductive work with economic contributions to household livelihoods</w:t>
      </w:r>
      <w:r w:rsidR="00B56CDB" w:rsidRPr="009A7163">
        <w:rPr>
          <w:rFonts w:eastAsiaTheme="minorHAnsi"/>
          <w:lang w:eastAsia="en-GB"/>
        </w:rPr>
        <w:t xml:space="preserve"> (p. 3)</w:t>
      </w:r>
      <w:r w:rsidRPr="009A7163">
        <w:rPr>
          <w:rFonts w:eastAsiaTheme="minorHAnsi"/>
          <w:lang w:eastAsia="en-GB"/>
        </w:rPr>
        <w:t xml:space="preserve">. </w:t>
      </w:r>
    </w:p>
    <w:p w14:paraId="7C92DB5E" w14:textId="3B97104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Regarding physical altruism, this was mostly captured by the pain and toll on women’s bodies from choices they make daily and this came up frequently in the interviews. There was a sense of physical altruism in order to prioritise others. In other words, </w:t>
      </w:r>
      <w:r w:rsidR="00B56CDB" w:rsidRPr="009A7163">
        <w:rPr>
          <w:rFonts w:eastAsiaTheme="minorHAnsi"/>
          <w:lang w:eastAsia="en-GB"/>
        </w:rPr>
        <w:t>w</w:t>
      </w:r>
      <w:r w:rsidRPr="009A7163">
        <w:rPr>
          <w:rFonts w:eastAsiaTheme="minorHAnsi"/>
          <w:lang w:eastAsia="en-GB"/>
        </w:rPr>
        <w:t xml:space="preserve">omen made decisions despite the physical consequences and toll on their bodies. For example, the work activities that occupy the most time are preparing and cooking meals, washing clothes, and making tortillas, with the latter two reported by </w:t>
      </w:r>
      <w:r w:rsidRPr="009A7163">
        <w:rPr>
          <w:rFonts w:eastAsiaTheme="minorHAnsi"/>
          <w:lang w:eastAsia="en-GB"/>
        </w:rPr>
        <w:lastRenderedPageBreak/>
        <w:t>the women in Achuapa and San Ramón as being the most tiring and physically difficult. In the focus group, the women mentioned feeling tired and, more specifically, discomfort in their backs and arms from making tortillas (Women’s Focus Group, Achuapa, February 6, 2015).</w:t>
      </w:r>
      <w:r w:rsidRPr="009A7163">
        <w:rPr>
          <w:rFonts w:eastAsiaTheme="minorHAnsi"/>
          <w:vertAlign w:val="superscript"/>
          <w:lang w:eastAsia="en-GB"/>
        </w:rPr>
        <w:footnoteReference w:id="120"/>
      </w:r>
      <w:r w:rsidRPr="009A7163">
        <w:rPr>
          <w:rFonts w:eastAsiaTheme="minorHAnsi"/>
          <w:lang w:eastAsia="en-GB"/>
        </w:rPr>
        <w:t xml:space="preserve"> During the focus group in La Pita, the women mentioned that they suffer from asthma and muscle pain and also explained that they wake up in pain, particularly with muscle pains and sometimes cramps (Women’s Focus Group, La Pita, February 20, 2015). Another comment regarding women’s health was related to food and lack of self-care, as one women explained: ‘I half eat’ (Women’s Focus Group, La Reina, March 5, 2015).  She chooses not to eat, sacrificing herself for her children and her family. </w:t>
      </w:r>
    </w:p>
    <w:p w14:paraId="28F6A79A" w14:textId="2C76B641"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Despite all the pain and physical ailments mentioned in the focus groups, in the individual interviews a common theme was mentioned whereby the women did not like to admit illness but rather talk about tolerating or enduring these pains. They also admitted in a number of individual interviews that they only look for help when it is very serious and they are unable to continue their routine (Field Notes, March 10, 2015). In the focus group, this issue was explored further and the women were asked about who took care of them when they were sick. The majority said another woman like a sister</w:t>
      </w:r>
      <w:r w:rsidR="00B56CDB" w:rsidRPr="009A7163">
        <w:rPr>
          <w:rFonts w:eastAsiaTheme="minorHAnsi"/>
          <w:lang w:eastAsia="en-GB"/>
        </w:rPr>
        <w:t>-</w:t>
      </w:r>
      <w:r w:rsidRPr="009A7163">
        <w:rPr>
          <w:rFonts w:eastAsiaTheme="minorHAnsi"/>
          <w:lang w:eastAsia="en-GB"/>
        </w:rPr>
        <w:t>in</w:t>
      </w:r>
      <w:r w:rsidR="00B56CDB" w:rsidRPr="009A7163">
        <w:rPr>
          <w:rFonts w:eastAsiaTheme="minorHAnsi"/>
          <w:lang w:eastAsia="en-GB"/>
        </w:rPr>
        <w:t>-</w:t>
      </w:r>
      <w:r w:rsidRPr="009A7163">
        <w:rPr>
          <w:rFonts w:eastAsiaTheme="minorHAnsi"/>
          <w:lang w:eastAsia="en-GB"/>
        </w:rPr>
        <w:t>law or a daughter who already helps in the house. Only a few mentioned their partners or husbands, and in one case, a woman highlighted that a husband pays for a cook (understanding that to care is to be responsible for assuring the household tasks are completed) (Women’s Focus Group, La Pita, March 4, 2015). So even in the case of sickness the care duties remain on the female side of the gender division of labour.</w:t>
      </w:r>
    </w:p>
    <w:p w14:paraId="19887B91" w14:textId="77777777" w:rsidR="00C20FCD" w:rsidRPr="009A7163" w:rsidRDefault="00C20FCD" w:rsidP="00293176">
      <w:pPr>
        <w:pStyle w:val="Heading4"/>
        <w:rPr>
          <w:rFonts w:eastAsiaTheme="minorHAnsi"/>
        </w:rPr>
      </w:pPr>
      <w:bookmarkStart w:id="150" w:name="_Toc526819349"/>
      <w:r w:rsidRPr="009A7163">
        <w:rPr>
          <w:rFonts w:eastAsiaTheme="minorHAnsi"/>
        </w:rPr>
        <w:t>7.2.2.3  Surveillance Practices</w:t>
      </w:r>
      <w:bookmarkEnd w:id="150"/>
    </w:p>
    <w:p w14:paraId="23F91B21" w14:textId="45C8928D"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In this area, surveillance practices reveal themselves in essentializing discourses of gender roles and particularly those related to decision making and capabilities. The internalised essentializing discourses around motherhood and women being better with </w:t>
      </w:r>
      <w:r w:rsidRPr="009A7163">
        <w:rPr>
          <w:rFonts w:eastAsiaTheme="minorHAnsi"/>
          <w:lang w:eastAsia="en-GB"/>
        </w:rPr>
        <w:lastRenderedPageBreak/>
        <w:t>money</w:t>
      </w:r>
      <w:r w:rsidR="00B56CDB" w:rsidRPr="009A7163">
        <w:rPr>
          <w:rFonts w:eastAsiaTheme="minorHAnsi"/>
          <w:lang w:eastAsia="en-GB"/>
        </w:rPr>
        <w:t xml:space="preserve">, </w:t>
      </w:r>
      <w:r w:rsidRPr="009A7163">
        <w:rPr>
          <w:rFonts w:eastAsiaTheme="minorHAnsi"/>
          <w:lang w:eastAsia="en-GB"/>
        </w:rPr>
        <w:t xml:space="preserve">echoing arguments of smart economics touched upon </w:t>
      </w:r>
      <w:r w:rsidR="00B56CDB" w:rsidRPr="009A7163">
        <w:rPr>
          <w:rFonts w:eastAsiaTheme="minorHAnsi"/>
          <w:lang w:eastAsia="en-GB"/>
        </w:rPr>
        <w:t>Chapter One of</w:t>
      </w:r>
      <w:r w:rsidRPr="009A7163">
        <w:rPr>
          <w:rFonts w:eastAsiaTheme="minorHAnsi"/>
          <w:lang w:eastAsia="en-GB"/>
        </w:rPr>
        <w:t xml:space="preserve"> this thesis has led to increasing work and decision-making responsibilities for women and an ‘ever expanding role of maternal obligations’ (</w:t>
      </w:r>
      <w:r w:rsidRPr="009A7163">
        <w:rPr>
          <w:rFonts w:eastAsiaTheme="minorHAnsi"/>
          <w:bCs/>
          <w:lang w:eastAsia="en-GB"/>
        </w:rPr>
        <w:t>Chant,</w:t>
      </w:r>
      <w:r w:rsidRPr="009A7163">
        <w:rPr>
          <w:rFonts w:eastAsiaTheme="minorHAnsi"/>
          <w:lang w:eastAsia="en-GB"/>
        </w:rPr>
        <w:t xml:space="preserve"> 2002, p. 552). Both female and male study participants reported believing women to be more ‘reliable’ (Men and Women’s Focus Group, Achuapa, February 6, 2015). This intensifies gender-differentiated altruism rather than addresses it (Chant, 2008) and leads to a ‘feminization of responsibility and obligation' (Chant, 2006, 2008). </w:t>
      </w:r>
      <w:r w:rsidRPr="009A7163">
        <w:rPr>
          <w:rFonts w:eastAsiaTheme="minorHAnsi"/>
          <w:i/>
          <w:lang w:eastAsia="en-GB"/>
        </w:rPr>
        <w:t xml:space="preserve"> </w:t>
      </w:r>
      <w:r w:rsidRPr="009A7163">
        <w:rPr>
          <w:rFonts w:eastAsiaTheme="minorHAnsi"/>
          <w:lang w:eastAsia="en-GB"/>
        </w:rPr>
        <w:t>As Kabeer (1999, p. 30) state</w:t>
      </w:r>
      <w:r w:rsidR="00B56CDB" w:rsidRPr="009A7163">
        <w:rPr>
          <w:rFonts w:eastAsiaTheme="minorHAnsi"/>
          <w:lang w:eastAsia="en-GB"/>
        </w:rPr>
        <w:t>s</w:t>
      </w:r>
      <w:r w:rsidRPr="009A7163">
        <w:rPr>
          <w:rFonts w:eastAsiaTheme="minorHAnsi"/>
          <w:lang w:eastAsia="en-GB"/>
        </w:rPr>
        <w:t xml:space="preserve">, selfishness within the household is much more likely to ‘reveal’ power just as apparent ‘selflessness’ is more intuitively indicative of powerlessness. This is of particular importance to the study and to understanding why the cooperative chose a </w:t>
      </w:r>
      <w:r w:rsidR="00B56CDB" w:rsidRPr="009A7163">
        <w:rPr>
          <w:rFonts w:eastAsiaTheme="minorHAnsi"/>
          <w:lang w:eastAsia="en-GB"/>
        </w:rPr>
        <w:t>WEE</w:t>
      </w:r>
      <w:r w:rsidRPr="009A7163">
        <w:rPr>
          <w:rFonts w:eastAsiaTheme="minorHAnsi"/>
          <w:lang w:eastAsia="en-GB"/>
        </w:rPr>
        <w:t xml:space="preserve"> fund as part of the initiative to recognise women’s unpaid work. In an interview, Edurne Larracoechea Bohigas</w:t>
      </w:r>
      <w:r w:rsidR="00B56CDB" w:rsidRPr="009A7163">
        <w:rPr>
          <w:rFonts w:eastAsiaTheme="minorHAnsi"/>
          <w:lang w:eastAsia="en-GB"/>
        </w:rPr>
        <w:t>,</w:t>
      </w:r>
      <w:r w:rsidRPr="009A7163">
        <w:rPr>
          <w:rFonts w:eastAsiaTheme="minorHAnsi"/>
          <w:lang w:eastAsia="en-GB"/>
        </w:rPr>
        <w:t xml:space="preserve"> a feminist researcher</w:t>
      </w:r>
      <w:r w:rsidR="00B56CDB" w:rsidRPr="009A7163">
        <w:rPr>
          <w:rFonts w:eastAsiaTheme="minorHAnsi"/>
          <w:lang w:eastAsia="en-GB"/>
        </w:rPr>
        <w:t>,</w:t>
      </w:r>
      <w:r w:rsidRPr="009A7163">
        <w:rPr>
          <w:rFonts w:eastAsiaTheme="minorHAnsi"/>
          <w:lang w:eastAsia="en-GB"/>
        </w:rPr>
        <w:t xml:space="preserve"> summarised the prominence of essentializing discourses, particularly around women and money, as well as highlighted the need for a discourse of rights and citizenship:</w:t>
      </w:r>
    </w:p>
    <w:p w14:paraId="26929655"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The government focus along with its social policy sells “women’s empowerment”, but really it just uses women to get to the family, and in this process, they completely invisibilise women’s needs and rights – and interests of women on the whole. However, this isn’t just particular to Nicaragua. If you study pro-poor social policies in Latin America, the majority have this same focus whereby these types of programmes don’t problematise the sexual division of labour. Rather, they use it to base their programmes on. The logic of such programmes sees women as responsible for care work and social reproduction and men for the productive work instead of breaking up this division and questioning the sexual division of labour. So, for example, projects will be developed and set up along these lines and so they’ll say, “Women are responsible for reproduction and are better administrators of money, and therefore, if we invest in them, we’ll get a better return as they’ll invest in the nutrition of their children and the family”. They end up giving more work to the women and the men are completely absent from the programme. There’s no real reason as to why the men are not included; however, what is apparent is that by making the women the protagonists it not only multiplies their work but continues to justify the division of labour, perpetuating and entrenching it further. So, within this, the discourse of being a good mother – the role completely defined by society – becomes essential… The good mother will worry about her children, her family, etc. The woman knows that if she continues to perform this role she’ll gain the right to receive something in return from the government. So, the government, instead of proposing a model of citizenship and within that a discourse of rights, meaning that as a citizen I have rights to access my rights and furthermore as a citizen I don’t have to show anything in order to receive government support and much less do I need to prove that I am a “good mother” or “good worker” or a “good/well behaved poor person”. This argument currently used by the government centres on who deserves to be helped and who does not – and the problem with this is, it has </w:t>
      </w:r>
      <w:r w:rsidRPr="009A7163">
        <w:rPr>
          <w:rFonts w:eastAsiaTheme="minorHAnsi"/>
          <w:lang w:eastAsia="en-GB"/>
        </w:rPr>
        <w:lastRenderedPageBreak/>
        <w:t>not even been framed in a discourse of rights (Expert Interview, February 19, 2016)</w:t>
      </w:r>
    </w:p>
    <w:p w14:paraId="609E1072" w14:textId="085758BA" w:rsidR="00C20FCD" w:rsidRPr="009A7163" w:rsidRDefault="00C20FCD" w:rsidP="007A3A29">
      <w:pPr>
        <w:spacing w:line="360" w:lineRule="auto"/>
        <w:ind w:firstLine="720"/>
        <w:jc w:val="both"/>
        <w:rPr>
          <w:rFonts w:eastAsiaTheme="minorHAnsi"/>
          <w:lang w:eastAsia="en-GB"/>
        </w:rPr>
      </w:pPr>
      <w:r w:rsidRPr="009A7163">
        <w:rPr>
          <w:rFonts w:eastAsiaTheme="minorHAnsi"/>
          <w:lang w:eastAsia="en-GB"/>
        </w:rPr>
        <w:t>This ring</w:t>
      </w:r>
      <w:r w:rsidR="00B56CDB" w:rsidRPr="009A7163">
        <w:rPr>
          <w:rFonts w:eastAsiaTheme="minorHAnsi"/>
          <w:lang w:eastAsia="en-GB"/>
        </w:rPr>
        <w:t>s</w:t>
      </w:r>
      <w:r w:rsidRPr="009A7163">
        <w:rPr>
          <w:rFonts w:eastAsiaTheme="minorHAnsi"/>
          <w:lang w:eastAsia="en-GB"/>
        </w:rPr>
        <w:t xml:space="preserve"> true with both cases studies and the initiatives with the cooperatives and the buyers where there is a parallel discourse going on between how they are arguing that investing in women is a good idea and inadvertently making women do more vs the ‘rights based’ and/or ‘social justice’ arguments that such buyers have and promote as part of their core principles and policies.</w:t>
      </w:r>
      <w:r w:rsidR="00AB5A61" w:rsidRPr="009A7163">
        <w:rPr>
          <w:rFonts w:eastAsiaTheme="minorHAnsi"/>
          <w:lang w:eastAsia="en-GB"/>
        </w:rPr>
        <w:t xml:space="preserve"> Holvoet</w:t>
      </w:r>
      <w:r w:rsidR="0066267B" w:rsidRPr="009A7163">
        <w:rPr>
          <w:rFonts w:eastAsiaTheme="minorHAnsi"/>
          <w:lang w:eastAsia="en-GB"/>
        </w:rPr>
        <w:t xml:space="preserve"> (2005)</w:t>
      </w:r>
      <w:r w:rsidR="00AB5A61" w:rsidRPr="009A7163">
        <w:rPr>
          <w:rFonts w:eastAsiaTheme="minorHAnsi"/>
          <w:lang w:eastAsia="en-GB"/>
        </w:rPr>
        <w:t xml:space="preserve"> states that: </w:t>
      </w:r>
      <w:r w:rsidR="0066267B" w:rsidRPr="009A7163">
        <w:rPr>
          <w:rFonts w:eastAsiaTheme="minorHAnsi"/>
          <w:lang w:eastAsia="en-GB"/>
        </w:rPr>
        <w:t>‘</w:t>
      </w:r>
      <w:r w:rsidR="00AB5A61" w:rsidRPr="009A7163">
        <w:rPr>
          <w:rFonts w:eastAsiaTheme="minorHAnsi"/>
          <w:lang w:val="en-US" w:eastAsia="en-GB"/>
        </w:rPr>
        <w:t>Evaluations of the effects of microfinance programs on women’s empowerment generate mixed results. While some are supportive of microfinance’s ability to induce a process of economic, social and political empowerment, others are more sceptical and even point to a deterioration of women’s overall well-being</w:t>
      </w:r>
      <w:r w:rsidR="0066267B" w:rsidRPr="009A7163">
        <w:rPr>
          <w:rFonts w:eastAsiaTheme="minorHAnsi"/>
          <w:lang w:val="en-US" w:eastAsia="en-GB"/>
        </w:rPr>
        <w:t>’</w:t>
      </w:r>
      <w:r w:rsidR="00AB5A61" w:rsidRPr="009A7163">
        <w:rPr>
          <w:rFonts w:eastAsiaTheme="minorHAnsi"/>
          <w:lang w:val="en-US" w:eastAsia="en-GB"/>
        </w:rPr>
        <w:t xml:space="preserve"> (p.75).</w:t>
      </w:r>
      <w:r w:rsidR="00AB5A61" w:rsidRPr="009A7163">
        <w:rPr>
          <w:rFonts w:eastAsiaTheme="minorHAnsi"/>
          <w:lang w:eastAsia="en-GB"/>
        </w:rPr>
        <w:t xml:space="preserve"> </w:t>
      </w:r>
      <w:r w:rsidR="009D5EDF" w:rsidRPr="009A7163">
        <w:rPr>
          <w:rFonts w:eastAsiaTheme="minorHAnsi"/>
          <w:lang w:eastAsia="en-GB"/>
        </w:rPr>
        <w:t xml:space="preserve">Bradshaw </w:t>
      </w:r>
      <w:r w:rsidR="0066267B" w:rsidRPr="009A7163">
        <w:rPr>
          <w:rFonts w:eastAsiaTheme="minorHAnsi"/>
          <w:lang w:eastAsia="en-GB"/>
        </w:rPr>
        <w:t xml:space="preserve">(2013) </w:t>
      </w:r>
      <w:r w:rsidR="008D2306" w:rsidRPr="009A7163">
        <w:rPr>
          <w:rFonts w:eastAsiaTheme="minorHAnsi"/>
          <w:lang w:eastAsia="en-GB"/>
        </w:rPr>
        <w:t xml:space="preserve">argues that investing in women is </w:t>
      </w:r>
      <w:r w:rsidR="0007201B" w:rsidRPr="009A7163">
        <w:rPr>
          <w:rFonts w:eastAsiaTheme="minorHAnsi"/>
          <w:lang w:eastAsia="en-GB"/>
        </w:rPr>
        <w:t xml:space="preserve">double edged and may not actually lead to great household prosperity: </w:t>
      </w:r>
    </w:p>
    <w:p w14:paraId="29F6139A" w14:textId="19F395C3" w:rsidR="0066267B" w:rsidRPr="009A7163" w:rsidRDefault="0007201B" w:rsidP="007A3A29">
      <w:pPr>
        <w:spacing w:after="180"/>
        <w:ind w:left="720"/>
        <w:jc w:val="both"/>
        <w:rPr>
          <w:rFonts w:cs="ITC Stone Serif Std Medium"/>
        </w:rPr>
      </w:pPr>
      <w:r w:rsidRPr="009A7163">
        <w:rPr>
          <w:rFonts w:cs="ITC Stone Serif Std Medium"/>
        </w:rPr>
        <w:t>In poorer households, the feeling among women was that men shared more and withheld less; with “prosperity” came greater use of male earnings for personal expenditure. This prosperity may be double-edged then, not least because among women who earned an income, 30 per cent thought their male partner used the money he earned on himself rather than on the family, compared to 11 per cent of non-earning women. If this is the case, women’s work will not necessarily add to household prosperity – when women earn an income, men may be more likely to withhold more of their income from the household, thus increasing their own prosperity rather than that of the family. (p.</w:t>
      </w:r>
      <w:r w:rsidR="0066267B" w:rsidRPr="009A7163">
        <w:rPr>
          <w:rFonts w:cs="ITC Stone Serif Std Medium"/>
        </w:rPr>
        <w:t xml:space="preserve"> </w:t>
      </w:r>
      <w:r w:rsidRPr="009A7163">
        <w:rPr>
          <w:rFonts w:cs="ITC Stone Serif Std Medium"/>
        </w:rPr>
        <w:t>90)</w:t>
      </w:r>
    </w:p>
    <w:p w14:paraId="69904AE3" w14:textId="16FDBBAA" w:rsidR="002629A5" w:rsidRPr="009A7163" w:rsidRDefault="00EC76B9" w:rsidP="004F4457">
      <w:pPr>
        <w:spacing w:after="240" w:line="360" w:lineRule="auto"/>
        <w:jc w:val="both"/>
        <w:rPr>
          <w:rFonts w:eastAsiaTheme="minorHAnsi"/>
          <w:lang w:val="en-US" w:eastAsia="en-GB"/>
        </w:rPr>
      </w:pPr>
      <w:r w:rsidRPr="009A7163">
        <w:rPr>
          <w:rFonts w:eastAsiaTheme="minorHAnsi"/>
          <w:lang w:eastAsia="en-GB"/>
        </w:rPr>
        <w:t>So,</w:t>
      </w:r>
      <w:r w:rsidR="00153D02" w:rsidRPr="009A7163">
        <w:rPr>
          <w:rFonts w:eastAsiaTheme="minorHAnsi"/>
          <w:lang w:eastAsia="en-GB"/>
        </w:rPr>
        <w:t xml:space="preserve"> </w:t>
      </w:r>
      <w:r w:rsidR="008D2306" w:rsidRPr="009A7163">
        <w:rPr>
          <w:rFonts w:eastAsiaTheme="minorHAnsi"/>
          <w:lang w:eastAsia="en-GB"/>
        </w:rPr>
        <w:t>whilst women may earn money</w:t>
      </w:r>
      <w:r w:rsidR="00077AC8" w:rsidRPr="009A7163">
        <w:rPr>
          <w:rFonts w:eastAsiaTheme="minorHAnsi"/>
          <w:lang w:eastAsia="en-GB"/>
        </w:rPr>
        <w:t xml:space="preserve"> or have increased access to resources</w:t>
      </w:r>
      <w:r w:rsidR="00153D02" w:rsidRPr="009A7163">
        <w:rPr>
          <w:rFonts w:eastAsiaTheme="minorHAnsi"/>
          <w:lang w:eastAsia="en-GB"/>
        </w:rPr>
        <w:t>,</w:t>
      </w:r>
      <w:r w:rsidR="00077AC8" w:rsidRPr="009A7163">
        <w:rPr>
          <w:rFonts w:eastAsiaTheme="minorHAnsi"/>
          <w:lang w:eastAsia="en-GB"/>
        </w:rPr>
        <w:t xml:space="preserve"> this does not always translate to more empowerment </w:t>
      </w:r>
      <w:r w:rsidR="00153D02" w:rsidRPr="009A7163">
        <w:rPr>
          <w:rFonts w:eastAsiaTheme="minorHAnsi"/>
          <w:lang w:eastAsia="en-GB"/>
        </w:rPr>
        <w:t>for women</w:t>
      </w:r>
      <w:r w:rsidR="00077AC8" w:rsidRPr="009A7163">
        <w:rPr>
          <w:rFonts w:eastAsiaTheme="minorHAnsi"/>
          <w:lang w:eastAsia="en-GB"/>
        </w:rPr>
        <w:t>.</w:t>
      </w:r>
      <w:r w:rsidR="00153D02" w:rsidRPr="009A7163">
        <w:rPr>
          <w:rFonts w:eastAsiaTheme="minorHAnsi"/>
          <w:lang w:eastAsia="en-GB"/>
        </w:rPr>
        <w:t xml:space="preserve"> </w:t>
      </w:r>
      <w:r w:rsidR="0066267B" w:rsidRPr="009A7163">
        <w:rPr>
          <w:rFonts w:eastAsiaTheme="minorHAnsi"/>
          <w:lang w:eastAsia="en-GB"/>
        </w:rPr>
        <w:t xml:space="preserve">Bradshaw’s </w:t>
      </w:r>
      <w:r w:rsidR="00153D02" w:rsidRPr="009A7163">
        <w:rPr>
          <w:rFonts w:eastAsiaTheme="minorHAnsi"/>
          <w:lang w:eastAsia="en-GB"/>
        </w:rPr>
        <w:t>article argues that understand</w:t>
      </w:r>
      <w:r w:rsidR="00352D66" w:rsidRPr="009A7163">
        <w:rPr>
          <w:rFonts w:eastAsiaTheme="minorHAnsi"/>
          <w:lang w:eastAsia="en-GB"/>
        </w:rPr>
        <w:t>ings o</w:t>
      </w:r>
      <w:r w:rsidR="00F01432" w:rsidRPr="009A7163">
        <w:rPr>
          <w:rFonts w:eastAsiaTheme="minorHAnsi"/>
          <w:lang w:eastAsia="en-GB"/>
        </w:rPr>
        <w:t>f</w:t>
      </w:r>
      <w:r w:rsidR="00352D66" w:rsidRPr="009A7163">
        <w:rPr>
          <w:rFonts w:eastAsiaTheme="minorHAnsi"/>
          <w:lang w:eastAsia="en-GB"/>
        </w:rPr>
        <w:t xml:space="preserve"> work and contribution are</w:t>
      </w:r>
      <w:r w:rsidR="00153D02" w:rsidRPr="009A7163">
        <w:rPr>
          <w:rFonts w:eastAsiaTheme="minorHAnsi"/>
          <w:lang w:eastAsia="en-GB"/>
        </w:rPr>
        <w:t xml:space="preserve"> more important than income in some cases</w:t>
      </w:r>
      <w:r w:rsidR="00352D66" w:rsidRPr="009A7163">
        <w:rPr>
          <w:rFonts w:eastAsiaTheme="minorHAnsi"/>
          <w:lang w:eastAsia="en-GB"/>
        </w:rPr>
        <w:t xml:space="preserve"> and that ideology matters in terms of how obligations to the household are understood and fulfilled (</w:t>
      </w:r>
      <w:r w:rsidR="0066267B" w:rsidRPr="009A7163">
        <w:rPr>
          <w:rFonts w:eastAsiaTheme="minorHAnsi"/>
          <w:lang w:eastAsia="en-GB"/>
        </w:rPr>
        <w:t>ibid</w:t>
      </w:r>
      <w:r w:rsidR="00352D66" w:rsidRPr="009A7163">
        <w:rPr>
          <w:rFonts w:eastAsiaTheme="minorHAnsi"/>
          <w:lang w:eastAsia="en-GB"/>
        </w:rPr>
        <w:t>, p.</w:t>
      </w:r>
      <w:r w:rsidR="0066267B" w:rsidRPr="009A7163">
        <w:rPr>
          <w:rFonts w:eastAsiaTheme="minorHAnsi"/>
          <w:lang w:eastAsia="en-GB"/>
        </w:rPr>
        <w:t xml:space="preserve"> </w:t>
      </w:r>
      <w:r w:rsidR="00352D66" w:rsidRPr="009A7163">
        <w:rPr>
          <w:rFonts w:eastAsiaTheme="minorHAnsi"/>
          <w:lang w:eastAsia="en-GB"/>
        </w:rPr>
        <w:t>81)</w:t>
      </w:r>
      <w:r w:rsidR="00153D02" w:rsidRPr="009A7163">
        <w:rPr>
          <w:rFonts w:eastAsiaTheme="minorHAnsi"/>
          <w:lang w:eastAsia="en-GB"/>
        </w:rPr>
        <w:t>. The next section will look more closely at gender norms and mobility.</w:t>
      </w:r>
    </w:p>
    <w:p w14:paraId="2AE9CFE4" w14:textId="07DC3445" w:rsidR="00C20FCD" w:rsidRPr="009A7163" w:rsidRDefault="00C20FCD" w:rsidP="00293176">
      <w:pPr>
        <w:pStyle w:val="Heading3"/>
        <w:rPr>
          <w:rFonts w:eastAsiaTheme="minorHAnsi"/>
        </w:rPr>
      </w:pPr>
      <w:bookmarkStart w:id="151" w:name="_Toc526819350"/>
      <w:r w:rsidRPr="009A7163">
        <w:rPr>
          <w:rFonts w:eastAsiaTheme="minorHAnsi"/>
        </w:rPr>
        <w:t xml:space="preserve">7.2.3  Norm 3: Social Norms </w:t>
      </w:r>
      <w:r w:rsidR="003F7611" w:rsidRPr="009A7163">
        <w:rPr>
          <w:rFonts w:eastAsiaTheme="minorHAnsi"/>
        </w:rPr>
        <w:t>o</w:t>
      </w:r>
      <w:r w:rsidRPr="009A7163">
        <w:rPr>
          <w:rFonts w:eastAsiaTheme="minorHAnsi"/>
        </w:rPr>
        <w:t>n Mobility and Gender</w:t>
      </w:r>
      <w:bookmarkEnd w:id="151"/>
      <w:r w:rsidRPr="009A7163">
        <w:rPr>
          <w:rFonts w:eastAsiaTheme="minorHAnsi"/>
        </w:rPr>
        <w:t xml:space="preserve"> </w:t>
      </w:r>
    </w:p>
    <w:p w14:paraId="66D91593" w14:textId="25CDE7F3"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 xml:space="preserve">Whilst women in the initiative are considered the principle participants they are faced with many norms which restrict mobility and participation. In particular, norms and laws related to landownership can act as obstacles to cooperative membership, more profitable income generating activities and food security. Violence, as detailed in </w:t>
      </w:r>
      <w:r w:rsidR="00B44AC2" w:rsidRPr="009A7163">
        <w:rPr>
          <w:rFonts w:eastAsiaTheme="minorHAnsi"/>
          <w:lang w:eastAsia="en-GB"/>
        </w:rPr>
        <w:t>Chapter One</w:t>
      </w:r>
      <w:r w:rsidRPr="009A7163">
        <w:rPr>
          <w:rFonts w:eastAsiaTheme="minorHAnsi"/>
          <w:lang w:eastAsia="en-GB"/>
        </w:rPr>
        <w:t>, has devastating effects on women’s lives and on national economies.</w:t>
      </w:r>
    </w:p>
    <w:p w14:paraId="311D87A3" w14:textId="77777777" w:rsidR="00C20FCD" w:rsidRPr="009A7163" w:rsidRDefault="00C20FCD" w:rsidP="00293176">
      <w:pPr>
        <w:pStyle w:val="Heading4"/>
        <w:rPr>
          <w:rFonts w:eastAsiaTheme="minorHAnsi"/>
        </w:rPr>
      </w:pPr>
      <w:bookmarkStart w:id="152" w:name="_Toc526819351"/>
      <w:r w:rsidRPr="009A7163">
        <w:rPr>
          <w:rFonts w:eastAsiaTheme="minorHAnsi"/>
        </w:rPr>
        <w:lastRenderedPageBreak/>
        <w:t>7.2.3.1  External Sanctions</w:t>
      </w:r>
      <w:bookmarkEnd w:id="152"/>
    </w:p>
    <w:p w14:paraId="54E94CE2" w14:textId="0872F544"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There was evidence of ownership over women’s bodies and lives in the fieldwork whereby some women shared that they do not often leave the house or feel reluctant to do so because of comments by their partners and others, as well as possessive attitudes of their spouses. Some of the women spoke of the challenges of going to meetings when they first started participating in the initiative. Men would say to them, ‘If you go, someone is bound to conquer you’ implying that they may run off with another man. Other men would belittle these spaces, afraid of the women’s independence. Men mocking the women’s workshops would say: ‘All you are is workshop, workshop, workshop – and my food?!’ Another focus group participant said her husband would get mad and shout: ‘All you care about is workshops’ (Women’s Focus Group Achuapa, February 6, 2015). This ridicule, anger and shouting is a form of sanctioning. In some cases, the women reported resisting these sanctions with one woman stating: </w:t>
      </w:r>
    </w:p>
    <w:p w14:paraId="15375DAF" w14:textId="3D37DEBC"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My husband has never liked that I participate in meetings. He says it’s a waste of time. I’ve never paid attention to him, I have always made sure I participate, as its important to be organised in a women’s group and so even though he said it was a waste of time and vagrancy – and even if we’d argue and fight, I’d go and still do (Female, 45-54, rural, non-producer of sesame, member and on Board of Directors, </w:t>
      </w:r>
      <w:r w:rsidR="0066267B" w:rsidRPr="009A7163">
        <w:rPr>
          <w:rFonts w:eastAsiaTheme="minorHAnsi"/>
          <w:lang w:eastAsia="en-GB"/>
        </w:rPr>
        <w:t>five</w:t>
      </w:r>
      <w:r w:rsidRPr="009A7163">
        <w:rPr>
          <w:rFonts w:eastAsiaTheme="minorHAnsi"/>
          <w:lang w:eastAsia="en-GB"/>
        </w:rPr>
        <w:t xml:space="preserve"> years in the initiative). </w:t>
      </w:r>
    </w:p>
    <w:p w14:paraId="0811C56A" w14:textId="77777777" w:rsidR="00C20FCD" w:rsidRPr="009A7163" w:rsidRDefault="00C20FCD" w:rsidP="00293176">
      <w:pPr>
        <w:spacing w:after="240" w:line="360" w:lineRule="auto"/>
        <w:jc w:val="both"/>
        <w:rPr>
          <w:rFonts w:eastAsiaTheme="minorHAnsi"/>
          <w:lang w:eastAsia="en-GB"/>
        </w:rPr>
      </w:pPr>
      <w:r w:rsidRPr="009A7163">
        <w:rPr>
          <w:rFonts w:eastAsiaTheme="minorHAnsi"/>
          <w:lang w:eastAsia="en-GB"/>
        </w:rPr>
        <w:t>Some of the women see it as a breakthrough or advancement that they leave their homes for meetings of the initiative. However, when this happens, their daughters or other women in the house are expected by the men to do the tasks left with the tasks and take over responsibility for unpaid work, which is problematic as care remains women specific.</w:t>
      </w:r>
    </w:p>
    <w:p w14:paraId="2CCF27E2" w14:textId="77777777" w:rsidR="00C20FCD" w:rsidRPr="009A7163" w:rsidRDefault="00C20FCD" w:rsidP="00293176">
      <w:pPr>
        <w:pStyle w:val="Heading4"/>
        <w:rPr>
          <w:rFonts w:eastAsiaTheme="minorHAnsi"/>
        </w:rPr>
      </w:pPr>
      <w:bookmarkStart w:id="153" w:name="_Toc526819352"/>
      <w:r w:rsidRPr="009A7163">
        <w:rPr>
          <w:rFonts w:eastAsiaTheme="minorHAnsi"/>
        </w:rPr>
        <w:t>7.2.3.2  Self-Sanctions</w:t>
      </w:r>
      <w:bookmarkEnd w:id="153"/>
    </w:p>
    <w:p w14:paraId="2239E1AB" w14:textId="0BE0870B"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In relation to the restriction of mobility and belonging to your partner, the women frequently cited that they do not go out because of work. The majority of the microenterprises are undertaken from the household space. The small credit and savings funds is for small enterprises and so whilst no one encourages the women to set these up from their houses due to their situations and constraints, this is what happens. It is accepted</w:t>
      </w:r>
      <w:r w:rsidRPr="009A7163" w:rsidDel="00365B98">
        <w:rPr>
          <w:rFonts w:eastAsiaTheme="minorHAnsi"/>
          <w:lang w:eastAsia="en-GB"/>
        </w:rPr>
        <w:t xml:space="preserve"> </w:t>
      </w:r>
      <w:r w:rsidRPr="009A7163">
        <w:rPr>
          <w:rFonts w:eastAsiaTheme="minorHAnsi"/>
          <w:lang w:eastAsia="en-GB"/>
        </w:rPr>
        <w:t xml:space="preserve">that the enterprises should be home based and also that women do not get to go out on Sundays when it is typical for male members of the household to go and play baseball. As a few men reported in a factual tone: ‘There is no Sunday for her’, meaning a day of rest. When women do go out, they justify it as having earnt it and, as a result, </w:t>
      </w:r>
      <w:r w:rsidRPr="009A7163">
        <w:rPr>
          <w:rFonts w:eastAsiaTheme="minorHAnsi"/>
          <w:lang w:eastAsia="en-GB"/>
        </w:rPr>
        <w:lastRenderedPageBreak/>
        <w:t>also have to deal with an accumulation of work the next day. The women reported that they work harder in order to earn the right to leave</w:t>
      </w:r>
      <w:r w:rsidR="0066267B" w:rsidRPr="009A7163">
        <w:rPr>
          <w:rFonts w:eastAsiaTheme="minorHAnsi"/>
          <w:lang w:eastAsia="en-GB"/>
        </w:rPr>
        <w:t>,</w:t>
      </w:r>
      <w:r w:rsidRPr="009A7163">
        <w:rPr>
          <w:rFonts w:eastAsiaTheme="minorHAnsi"/>
          <w:lang w:eastAsia="en-GB"/>
        </w:rPr>
        <w:t xml:space="preserve"> and the responsibility falls on them to make sure all care duties are finished or distributed. For example, when the women of the initiative go out to meet with their groups, other women in their homes (if there are any) assume the daily work tasks, or the women themselves have to get up earlier to be able to leave everything done. From the perspective of CJFPS in Achuapa, the change in the workload of women is the responsibility of the women, including the responsibility to resolve conflicts that may arise from such changes. The president and manager of CJFPS said: </w:t>
      </w:r>
    </w:p>
    <w:p w14:paraId="21932B6C" w14:textId="55B88B06"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So that women can participate in the initiative groups and go to meetings without being overloaded with work, they have to reorganise their family life. It’s up to them. Every family must agree. It is a problem that the women have to resolve and with their families. (Expert Interview, January 8, 2015) </w:t>
      </w:r>
    </w:p>
    <w:p w14:paraId="25F5A0F5" w14:textId="77777777"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The message here is that if the women are unable to manage the workloads then there is nothing that the cooperative can do and are unable to back the women against the demands of the men or the responsibilities and obligations that they are held accountable in the house.</w:t>
      </w:r>
    </w:p>
    <w:p w14:paraId="5B2C9EDC" w14:textId="77777777" w:rsidR="00C20FCD" w:rsidRPr="009A7163" w:rsidRDefault="00C20FCD" w:rsidP="00293176">
      <w:pPr>
        <w:pStyle w:val="Heading4"/>
        <w:rPr>
          <w:rFonts w:eastAsiaTheme="minorHAnsi"/>
        </w:rPr>
      </w:pPr>
      <w:bookmarkStart w:id="154" w:name="_Toc526819353"/>
      <w:r w:rsidRPr="009A7163">
        <w:rPr>
          <w:rFonts w:eastAsiaTheme="minorHAnsi"/>
        </w:rPr>
        <w:t>7.2.3.3  Surveillance Practices</w:t>
      </w:r>
      <w:bookmarkEnd w:id="154"/>
    </w:p>
    <w:p w14:paraId="59D73F2D" w14:textId="7F3608C6"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In relation to this common constraint of women’s mobility and security, this is related to cultural aspects of Nicaragua whereby women have historically been seen as men’s property. Here Azahalea Solis, a prominent Nicaraguan feminist and an attorney and member of MAM, alluded to this in further detail:</w:t>
      </w:r>
    </w:p>
    <w:p w14:paraId="319F98B6" w14:textId="21520839" w:rsidR="00C20FCD" w:rsidRPr="009A7163" w:rsidRDefault="00C20FCD" w:rsidP="00293176">
      <w:pPr>
        <w:spacing w:after="240"/>
        <w:ind w:left="720"/>
        <w:jc w:val="both"/>
        <w:rPr>
          <w:rFonts w:eastAsiaTheme="minorHAnsi"/>
          <w:lang w:eastAsia="en-GB"/>
        </w:rPr>
      </w:pPr>
      <w:r w:rsidRPr="009A7163">
        <w:rPr>
          <w:rFonts w:eastAsiaTheme="minorHAnsi"/>
          <w:lang w:eastAsia="en-GB"/>
        </w:rPr>
        <w:t>For centuries of the republican life of Nicaragua, the formal Republicans of Nicaragua installed the belief that the life of women is worthless. This was instilled in many ways. For example, the women’s address was that of her husbands and not hers in her own right. The women were made to write and refer to themselves as “de” after their names to show that they were possession of the men</w:t>
      </w:r>
      <w:r w:rsidRPr="009A7163">
        <w:rPr>
          <w:rFonts w:eastAsiaTheme="minorHAnsi"/>
          <w:vertAlign w:val="superscript"/>
          <w:lang w:eastAsia="en-GB"/>
        </w:rPr>
        <w:footnoteReference w:id="121"/>
      </w:r>
      <w:r w:rsidRPr="009A7163">
        <w:rPr>
          <w:rFonts w:eastAsiaTheme="minorHAnsi"/>
          <w:lang w:eastAsia="en-GB"/>
        </w:rPr>
        <w:t xml:space="preserve"> and so for a number of reasons this historical cultural context become our cultural fabric and remains this way. Furthermore, these messages continue to be distilled through the media and other institutions, and so they filter into our lives with no question and no discussion over women’s rights and the legitimacy of these beliefs. These cultural beliefs override women’s bodies and rights and lead to further denigration of the lives of women… If it was once hard to say women were humans in their own right, things don’t seem to have changed that much. (Expert Interview with attorney and a member of MAM, May 5, 2016)</w:t>
      </w:r>
    </w:p>
    <w:p w14:paraId="059E3244" w14:textId="6AE39185" w:rsidR="00BE0B4C" w:rsidRPr="009A7163" w:rsidRDefault="001420D6" w:rsidP="00712CDE">
      <w:pPr>
        <w:spacing w:after="240" w:line="360" w:lineRule="auto"/>
        <w:jc w:val="both"/>
        <w:rPr>
          <w:rFonts w:eastAsiaTheme="minorHAnsi"/>
          <w:lang w:eastAsia="en-GB"/>
        </w:rPr>
      </w:pPr>
      <w:r w:rsidRPr="009A7163">
        <w:rPr>
          <w:rFonts w:eastAsiaTheme="minorHAnsi"/>
          <w:lang w:eastAsia="en-GB"/>
        </w:rPr>
        <w:lastRenderedPageBreak/>
        <w:t>Whilst</w:t>
      </w:r>
      <w:r w:rsidR="007905A9" w:rsidRPr="009A7163">
        <w:rPr>
          <w:rFonts w:eastAsiaTheme="minorHAnsi"/>
          <w:lang w:eastAsia="en-GB"/>
        </w:rPr>
        <w:t xml:space="preserve"> Solis argument </w:t>
      </w:r>
      <w:r w:rsidR="00BE0B4C" w:rsidRPr="009A7163">
        <w:rPr>
          <w:rFonts w:eastAsiaTheme="minorHAnsi"/>
          <w:lang w:eastAsia="en-GB"/>
        </w:rPr>
        <w:t>of</w:t>
      </w:r>
      <w:r w:rsidR="007905A9" w:rsidRPr="009A7163">
        <w:rPr>
          <w:rFonts w:eastAsiaTheme="minorHAnsi"/>
          <w:lang w:eastAsia="en-GB"/>
        </w:rPr>
        <w:t xml:space="preserve"> centuries</w:t>
      </w:r>
      <w:r w:rsidR="0066267B" w:rsidRPr="009A7163">
        <w:rPr>
          <w:rFonts w:eastAsiaTheme="minorHAnsi"/>
          <w:lang w:eastAsia="en-GB"/>
        </w:rPr>
        <w:t>’</w:t>
      </w:r>
      <w:r w:rsidR="007905A9" w:rsidRPr="009A7163">
        <w:rPr>
          <w:rFonts w:eastAsiaTheme="minorHAnsi"/>
          <w:lang w:eastAsia="en-GB"/>
        </w:rPr>
        <w:t xml:space="preserve"> old repression </w:t>
      </w:r>
      <w:r w:rsidR="00BE0B4C" w:rsidRPr="009A7163">
        <w:rPr>
          <w:rFonts w:eastAsiaTheme="minorHAnsi"/>
          <w:lang w:eastAsia="en-GB"/>
        </w:rPr>
        <w:t>coinc</w:t>
      </w:r>
      <w:r w:rsidR="00B32CF7" w:rsidRPr="009A7163">
        <w:rPr>
          <w:rFonts w:eastAsiaTheme="minorHAnsi"/>
          <w:lang w:eastAsia="en-GB"/>
        </w:rPr>
        <w:t xml:space="preserve">ides with academic accounts </w:t>
      </w:r>
      <w:r w:rsidR="00BE0B4C" w:rsidRPr="009A7163">
        <w:rPr>
          <w:rFonts w:eastAsiaTheme="minorHAnsi"/>
          <w:lang w:val="en-US" w:eastAsia="en-GB"/>
        </w:rPr>
        <w:t>(see Dore, 1997, Montenegro, 2000)</w:t>
      </w:r>
      <w:r w:rsidR="0066267B" w:rsidRPr="009A7163">
        <w:rPr>
          <w:rFonts w:eastAsiaTheme="minorHAnsi"/>
          <w:lang w:val="en-US" w:eastAsia="en-GB"/>
        </w:rPr>
        <w:t>,</w:t>
      </w:r>
      <w:r w:rsidR="007905A9" w:rsidRPr="009A7163">
        <w:rPr>
          <w:rFonts w:eastAsiaTheme="minorHAnsi"/>
          <w:lang w:val="en-US" w:eastAsia="en-GB"/>
        </w:rPr>
        <w:t xml:space="preserve"> Cupples (2005) argues that: </w:t>
      </w:r>
      <w:r w:rsidR="0066267B" w:rsidRPr="009A7163">
        <w:rPr>
          <w:rFonts w:eastAsiaTheme="minorHAnsi"/>
          <w:lang w:eastAsia="en-GB"/>
        </w:rPr>
        <w:t>‘</w:t>
      </w:r>
      <w:r w:rsidR="00BE0B4C" w:rsidRPr="009A7163">
        <w:t>In the Nicaraguan case the promotion of fixed or traditional gender identities for women by the state clashes with discourses of globalisation, modernisation, and democratisation and these clashes create spaces in which normative understandings surrounding femininity and motherhood can be renegotiated</w:t>
      </w:r>
      <w:r w:rsidR="0066267B" w:rsidRPr="009A7163">
        <w:t xml:space="preserve">’ </w:t>
      </w:r>
      <w:r w:rsidR="00BE0B4C" w:rsidRPr="009A7163">
        <w:t>(p.</w:t>
      </w:r>
      <w:r w:rsidR="0066267B" w:rsidRPr="009A7163">
        <w:t xml:space="preserve"> </w:t>
      </w:r>
      <w:r w:rsidR="00BE0B4C" w:rsidRPr="009A7163">
        <w:t>306)</w:t>
      </w:r>
      <w:r w:rsidR="00B32CF7" w:rsidRPr="009A7163">
        <w:t>. Gender identities are moulded by social norms but are not fixed.</w:t>
      </w:r>
    </w:p>
    <w:p w14:paraId="428B936E" w14:textId="411A3673" w:rsidR="00C20FCD" w:rsidRPr="009A7163" w:rsidRDefault="00C20FCD" w:rsidP="00293176">
      <w:pPr>
        <w:pStyle w:val="Heading3"/>
        <w:rPr>
          <w:rFonts w:eastAsiaTheme="minorHAnsi"/>
          <w:lang w:eastAsia="en-GB"/>
        </w:rPr>
      </w:pPr>
      <w:bookmarkStart w:id="155" w:name="_Toc526819354"/>
      <w:r w:rsidRPr="009A7163">
        <w:rPr>
          <w:rFonts w:eastAsiaTheme="minorHAnsi"/>
          <w:lang w:eastAsia="en-GB"/>
        </w:rPr>
        <w:t>7.2.</w:t>
      </w:r>
      <w:r w:rsidR="003F7611" w:rsidRPr="009A7163">
        <w:rPr>
          <w:rFonts w:eastAsiaTheme="minorHAnsi"/>
          <w:lang w:eastAsia="en-GB"/>
        </w:rPr>
        <w:t>4</w:t>
      </w:r>
      <w:r w:rsidRPr="009A7163">
        <w:rPr>
          <w:rFonts w:eastAsiaTheme="minorHAnsi"/>
          <w:lang w:eastAsia="en-GB"/>
        </w:rPr>
        <w:t xml:space="preserve">  Norms 4: Gender-Based Violence and Restrictions on Landownership and Assets</w:t>
      </w:r>
      <w:bookmarkEnd w:id="155"/>
    </w:p>
    <w:p w14:paraId="4FAF7802" w14:textId="0A241C09" w:rsidR="006F2953" w:rsidRPr="009A7163" w:rsidRDefault="00C20FCD" w:rsidP="006F2953">
      <w:pPr>
        <w:spacing w:after="240" w:line="360" w:lineRule="auto"/>
        <w:ind w:firstLine="720"/>
        <w:jc w:val="both"/>
        <w:rPr>
          <w:rFonts w:eastAsiaTheme="minorHAnsi"/>
          <w:lang w:eastAsia="en-GB"/>
        </w:rPr>
      </w:pPr>
      <w:r w:rsidRPr="009A7163">
        <w:rPr>
          <w:rFonts w:eastAsiaTheme="minorHAnsi"/>
          <w:lang w:eastAsia="en-GB"/>
        </w:rPr>
        <w:t>That campaigns for gender violence has been part of BSI</w:t>
      </w:r>
      <w:r w:rsidR="0066267B" w:rsidRPr="009A7163">
        <w:rPr>
          <w:rFonts w:eastAsiaTheme="minorHAnsi"/>
          <w:lang w:eastAsia="en-GB"/>
        </w:rPr>
        <w:t>’s</w:t>
      </w:r>
      <w:r w:rsidR="00012297" w:rsidRPr="009A7163">
        <w:rPr>
          <w:rStyle w:val="FootnoteReference"/>
          <w:rFonts w:eastAsiaTheme="minorHAnsi"/>
          <w:lang w:eastAsia="en-GB"/>
        </w:rPr>
        <w:footnoteReference w:id="122"/>
      </w:r>
      <w:r w:rsidRPr="009A7163">
        <w:rPr>
          <w:rFonts w:eastAsiaTheme="minorHAnsi"/>
          <w:lang w:eastAsia="en-GB"/>
        </w:rPr>
        <w:t xml:space="preserve"> previous campaigns is acknowledgement of the widespread phenomenon of violence towards women also termed Gender</w:t>
      </w:r>
      <w:r w:rsidR="003F7611" w:rsidRPr="009A7163">
        <w:rPr>
          <w:rFonts w:eastAsiaTheme="minorHAnsi"/>
          <w:lang w:eastAsia="en-GB"/>
        </w:rPr>
        <w:t>-</w:t>
      </w:r>
      <w:r w:rsidRPr="009A7163">
        <w:rPr>
          <w:rFonts w:eastAsiaTheme="minorHAnsi"/>
          <w:lang w:eastAsia="en-GB"/>
        </w:rPr>
        <w:t xml:space="preserve">Based Violence (GBV). Nicaragua is no exception and whilst BSI has no explicit program or campaign focused on this in Nicaragua, the norms surround GBV and landownership do restrict women’s access to resources and pathways to empowerment. </w:t>
      </w:r>
      <w:r w:rsidR="006F2953" w:rsidRPr="009A7163">
        <w:rPr>
          <w:rFonts w:eastAsiaTheme="minorHAnsi"/>
          <w:lang w:eastAsia="en-GB"/>
        </w:rPr>
        <w:t xml:space="preserve">It also a very testing ground in which to get involved for a global brand like BSI. </w:t>
      </w:r>
      <w:r w:rsidRPr="009A7163">
        <w:rPr>
          <w:rFonts w:eastAsiaTheme="minorHAnsi"/>
          <w:lang w:eastAsia="en-GB"/>
        </w:rPr>
        <w:t>Whilst I didn’t explicitly ask about domestic violence, two cases</w:t>
      </w:r>
      <w:r w:rsidR="006F2953" w:rsidRPr="009A7163">
        <w:rPr>
          <w:rFonts w:eastAsiaTheme="minorHAnsi"/>
          <w:lang w:eastAsia="en-GB"/>
        </w:rPr>
        <w:t xml:space="preserve"> of physical</w:t>
      </w:r>
      <w:r w:rsidRPr="009A7163">
        <w:rPr>
          <w:rFonts w:eastAsiaTheme="minorHAnsi"/>
          <w:lang w:eastAsia="en-GB"/>
        </w:rPr>
        <w:t xml:space="preserve"> </w:t>
      </w:r>
      <w:r w:rsidR="0066267B" w:rsidRPr="009A7163">
        <w:rPr>
          <w:rFonts w:eastAsiaTheme="minorHAnsi"/>
          <w:lang w:eastAsia="en-GB"/>
        </w:rPr>
        <w:t xml:space="preserve">violence </w:t>
      </w:r>
      <w:r w:rsidRPr="009A7163">
        <w:rPr>
          <w:rFonts w:eastAsiaTheme="minorHAnsi"/>
          <w:lang w:eastAsia="en-GB"/>
        </w:rPr>
        <w:t>were mentioned</w:t>
      </w:r>
      <w:r w:rsidR="0066267B" w:rsidRPr="009A7163">
        <w:rPr>
          <w:rFonts w:eastAsiaTheme="minorHAnsi"/>
          <w:lang w:eastAsia="en-GB"/>
        </w:rPr>
        <w:t>.</w:t>
      </w:r>
      <w:r w:rsidRPr="009A7163">
        <w:rPr>
          <w:rFonts w:eastAsiaTheme="minorHAnsi"/>
          <w:lang w:eastAsia="en-GB"/>
        </w:rPr>
        <w:t xml:space="preserve"> </w:t>
      </w:r>
      <w:r w:rsidR="0066267B" w:rsidRPr="009A7163">
        <w:rPr>
          <w:rFonts w:eastAsiaTheme="minorHAnsi"/>
          <w:lang w:eastAsia="en-GB"/>
        </w:rPr>
        <w:t>A</w:t>
      </w:r>
      <w:r w:rsidRPr="009A7163">
        <w:rPr>
          <w:rFonts w:eastAsiaTheme="minorHAnsi"/>
          <w:lang w:eastAsia="en-GB"/>
        </w:rPr>
        <w:t>lthough I chose not to probe</w:t>
      </w:r>
      <w:r w:rsidR="0066267B" w:rsidRPr="009A7163">
        <w:rPr>
          <w:rFonts w:eastAsiaTheme="minorHAnsi"/>
          <w:lang w:eastAsia="en-GB"/>
        </w:rPr>
        <w:t>,</w:t>
      </w:r>
      <w:r w:rsidR="006F2953" w:rsidRPr="009A7163">
        <w:rPr>
          <w:rFonts w:eastAsiaTheme="minorHAnsi"/>
          <w:lang w:eastAsia="en-GB"/>
        </w:rPr>
        <w:t xml:space="preserve"> but</w:t>
      </w:r>
      <w:r w:rsidR="0066267B" w:rsidRPr="009A7163">
        <w:rPr>
          <w:rFonts w:eastAsiaTheme="minorHAnsi"/>
          <w:lang w:eastAsia="en-GB"/>
        </w:rPr>
        <w:t xml:space="preserve"> rather</w:t>
      </w:r>
      <w:r w:rsidR="006F2953" w:rsidRPr="009A7163">
        <w:rPr>
          <w:rFonts w:eastAsiaTheme="minorHAnsi"/>
          <w:lang w:eastAsia="en-GB"/>
        </w:rPr>
        <w:t xml:space="preserve"> offered to listen and provide information if they participants wanted.</w:t>
      </w:r>
      <w:r w:rsidR="00833E24" w:rsidRPr="009A7163">
        <w:rPr>
          <w:rFonts w:eastAsiaTheme="minorHAnsi"/>
          <w:lang w:eastAsia="en-GB"/>
        </w:rPr>
        <w:t xml:space="preserve"> </w:t>
      </w:r>
      <w:r w:rsidRPr="009A7163">
        <w:rPr>
          <w:rFonts w:eastAsiaTheme="minorHAnsi"/>
          <w:lang w:eastAsia="en-GB"/>
        </w:rPr>
        <w:t xml:space="preserve">This sections therein focuses more on norms and restrictions related to </w:t>
      </w:r>
      <w:r w:rsidR="0066267B" w:rsidRPr="009A7163">
        <w:rPr>
          <w:rFonts w:eastAsiaTheme="minorHAnsi"/>
          <w:lang w:eastAsia="en-GB"/>
        </w:rPr>
        <w:t>GBV</w:t>
      </w:r>
      <w:r w:rsidRPr="009A7163">
        <w:rPr>
          <w:rFonts w:eastAsiaTheme="minorHAnsi"/>
          <w:lang w:eastAsia="en-GB"/>
        </w:rPr>
        <w:t xml:space="preserve"> more broadly and restrictions to landownership and assets.</w:t>
      </w:r>
    </w:p>
    <w:p w14:paraId="447B3994" w14:textId="35C1B57D" w:rsidR="00C20FCD" w:rsidRPr="009A7163" w:rsidRDefault="00C20FCD" w:rsidP="00293176">
      <w:pPr>
        <w:pStyle w:val="Heading4"/>
        <w:rPr>
          <w:rFonts w:eastAsiaTheme="minorHAnsi"/>
        </w:rPr>
      </w:pPr>
      <w:bookmarkStart w:id="156" w:name="_Toc526819355"/>
      <w:r w:rsidRPr="009A7163">
        <w:rPr>
          <w:rFonts w:eastAsiaTheme="minorHAnsi"/>
        </w:rPr>
        <w:t>7.2.</w:t>
      </w:r>
      <w:r w:rsidR="003F7611" w:rsidRPr="009A7163">
        <w:rPr>
          <w:rFonts w:eastAsiaTheme="minorHAnsi"/>
        </w:rPr>
        <w:t>4</w:t>
      </w:r>
      <w:r w:rsidRPr="009A7163">
        <w:rPr>
          <w:rFonts w:eastAsiaTheme="minorHAnsi"/>
        </w:rPr>
        <w:t>.1  External Sanctions</w:t>
      </w:r>
      <w:bookmarkEnd w:id="156"/>
    </w:p>
    <w:p w14:paraId="5D1731E8" w14:textId="64ACFE71" w:rsidR="009C3BF4" w:rsidRPr="009A7163" w:rsidRDefault="00C20FCD" w:rsidP="007F0A91">
      <w:pPr>
        <w:spacing w:line="360" w:lineRule="auto"/>
        <w:ind w:firstLine="720"/>
        <w:jc w:val="both"/>
        <w:rPr>
          <w:rFonts w:eastAsiaTheme="minorHAnsi"/>
          <w:lang w:val="en-US" w:eastAsia="en-GB"/>
        </w:rPr>
      </w:pPr>
      <w:r w:rsidRPr="009A7163">
        <w:rPr>
          <w:rFonts w:eastAsiaTheme="minorHAnsi"/>
          <w:lang w:eastAsia="en-GB"/>
        </w:rPr>
        <w:t xml:space="preserve">Regarding the acceptance of </w:t>
      </w:r>
      <w:r w:rsidR="0066267B" w:rsidRPr="009A7163">
        <w:rPr>
          <w:rFonts w:eastAsiaTheme="minorHAnsi"/>
          <w:lang w:eastAsia="en-GB"/>
        </w:rPr>
        <w:t>GBV</w:t>
      </w:r>
      <w:r w:rsidRPr="009A7163">
        <w:rPr>
          <w:rFonts w:eastAsiaTheme="minorHAnsi"/>
          <w:lang w:eastAsia="en-GB"/>
        </w:rPr>
        <w:t>, there are a number of examples that were mentioned in the interviews and focus groups. One example that was mentioned that she always makes sure she complies with her roles and work in order to have a quiet life, free from violence (Women’s Focus Group, Achuapa, February 6, 2015). The women noted that violence, particularly psychological violence, is more likely to be exercised after alcohol consumption.</w:t>
      </w:r>
      <w:r w:rsidR="009C3BF4" w:rsidRPr="009A7163">
        <w:rPr>
          <w:rFonts w:eastAsiaTheme="minorHAnsi"/>
          <w:lang w:eastAsia="en-GB"/>
        </w:rPr>
        <w:t xml:space="preserve"> This is in line with global trends that </w:t>
      </w:r>
      <w:r w:rsidR="00574B1C" w:rsidRPr="009A7163">
        <w:rPr>
          <w:rFonts w:eastAsiaTheme="minorHAnsi"/>
          <w:lang w:eastAsia="en-GB"/>
        </w:rPr>
        <w:t xml:space="preserve">demonstrate that there </w:t>
      </w:r>
      <w:r w:rsidR="0022052F" w:rsidRPr="009A7163">
        <w:rPr>
          <w:rFonts w:eastAsiaTheme="minorHAnsi"/>
          <w:lang w:eastAsia="en-GB"/>
        </w:rPr>
        <w:t>is considerable</w:t>
      </w:r>
      <w:r w:rsidR="00574B1C" w:rsidRPr="009A7163">
        <w:rPr>
          <w:rFonts w:eastAsiaTheme="minorHAnsi"/>
          <w:lang w:eastAsia="en-GB"/>
        </w:rPr>
        <w:t xml:space="preserve"> evidence regarding the links between alcohol consumption </w:t>
      </w:r>
      <w:r w:rsidR="00574B1C" w:rsidRPr="009A7163">
        <w:rPr>
          <w:rFonts w:eastAsiaTheme="minorHAnsi"/>
          <w:lang w:eastAsia="en-GB"/>
        </w:rPr>
        <w:lastRenderedPageBreak/>
        <w:t>and men's abusive behaviour (Rao, 1997;</w:t>
      </w:r>
      <w:r w:rsidR="0022052F" w:rsidRPr="009A7163">
        <w:rPr>
          <w:rFonts w:eastAsiaTheme="minorHAnsi"/>
          <w:lang w:eastAsia="en-GB"/>
        </w:rPr>
        <w:t xml:space="preserve"> Hotaling </w:t>
      </w:r>
      <w:r w:rsidR="0066267B" w:rsidRPr="009A7163">
        <w:rPr>
          <w:rFonts w:eastAsiaTheme="minorHAnsi"/>
          <w:lang w:eastAsia="en-GB"/>
        </w:rPr>
        <w:t>and</w:t>
      </w:r>
      <w:r w:rsidR="0022052F" w:rsidRPr="009A7163">
        <w:rPr>
          <w:rFonts w:eastAsiaTheme="minorHAnsi"/>
          <w:lang w:eastAsia="en-GB"/>
        </w:rPr>
        <w:t xml:space="preserve"> Sugarman, 1986; Leo</w:t>
      </w:r>
      <w:r w:rsidR="00574B1C" w:rsidRPr="009A7163">
        <w:rPr>
          <w:rFonts w:eastAsiaTheme="minorHAnsi"/>
          <w:lang w:eastAsia="en-GB"/>
        </w:rPr>
        <w:t>nard, 1993).</w:t>
      </w:r>
    </w:p>
    <w:p w14:paraId="465CCCCA" w14:textId="44FDF119"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 In a few of the individual interviews, episodes of violence were associated with not fulfilling or abiding by gender-assigned roles. Women also felt that their work was recognised in exchange for positive response from her husband as opposed to insults and violence.  One participant said that in exchange for maintaining a clean and ordered house, her home is peaceful (Women’s Focus Group, Achuapa, Feb 6, 2017). Another mentioned that the home is peaceful when she complies with her housework and she feels there is recognition of her work by means of praise, or affection ‘at least’ (</w:t>
      </w:r>
      <w:r w:rsidRPr="009A7163">
        <w:rPr>
          <w:rFonts w:eastAsiaTheme="minorHAnsi"/>
          <w:i/>
          <w:lang w:eastAsia="en-GB"/>
        </w:rPr>
        <w:t>tan si quiera</w:t>
      </w:r>
      <w:r w:rsidRPr="009A7163">
        <w:rPr>
          <w:rFonts w:eastAsiaTheme="minorHAnsi"/>
          <w:lang w:eastAsia="en-GB"/>
        </w:rPr>
        <w:t>) (Women’s Focus Group, La Reina, March 5, 2015). Other women said that they take on other roles (sex and child bearing) in exchange for rest and help. One woman stated:</w:t>
      </w:r>
    </w:p>
    <w:p w14:paraId="71293C0B" w14:textId="5BAA2BA9" w:rsidR="00C20FCD" w:rsidRPr="009A7163" w:rsidRDefault="00C20FCD" w:rsidP="00293176">
      <w:pPr>
        <w:spacing w:after="180"/>
        <w:ind w:left="720"/>
        <w:jc w:val="both"/>
        <w:rPr>
          <w:rFonts w:eastAsiaTheme="minorHAnsi"/>
          <w:lang w:eastAsia="en-GB"/>
        </w:rPr>
      </w:pPr>
      <w:r w:rsidRPr="009A7163">
        <w:rPr>
          <w:rFonts w:eastAsiaTheme="minorHAnsi"/>
          <w:lang w:eastAsia="en-GB"/>
        </w:rPr>
        <w:t>When I first started working, I used to walk a lot selling my produce… I’d come home tired, really exhausted, and then I was made to work again…giving pleasure to my husband. (Focus Group Women, Achuapa, February 6, 2015)</w:t>
      </w:r>
    </w:p>
    <w:p w14:paraId="55F169F5" w14:textId="7777777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And another said:</w:t>
      </w:r>
    </w:p>
    <w:p w14:paraId="297AAE80"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He would say to me, “I will help you but you have to help me” and if you don’t it will be forced. I would tell him, “I don’t want to give you pleasure or have intercourse with you because I’m tired…” (Focus Group Women, Achuapa, February 6, 2015)</w:t>
      </w:r>
    </w:p>
    <w:p w14:paraId="62853DD0" w14:textId="2A59E0D7"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echoes Castells’ (2000) ideas of women workers’ four shifts whereby he discussed paid work in the office, household work, child care and the night shift, which implies the meeting of the husband’s sexual needs. </w:t>
      </w:r>
    </w:p>
    <w:p w14:paraId="2CA1422F" w14:textId="551367E7" w:rsidR="00C20FCD" w:rsidRPr="009A7163" w:rsidRDefault="00C20FCD">
      <w:pPr>
        <w:spacing w:line="360" w:lineRule="auto"/>
        <w:ind w:firstLine="720"/>
        <w:jc w:val="both"/>
        <w:rPr>
          <w:rFonts w:eastAsiaTheme="minorHAnsi"/>
          <w:lang w:eastAsia="en-GB"/>
        </w:rPr>
      </w:pPr>
      <w:r w:rsidRPr="009A7163">
        <w:rPr>
          <w:rFonts w:eastAsiaTheme="minorHAnsi"/>
          <w:lang w:eastAsia="en-GB"/>
        </w:rPr>
        <w:t>The leader of the women’s movement of the Asociación de Trabajadores del Campo (Rural Workers Association, or ATC) and the regional coordinator of the women’s commission for the Vía Campesina Central America, Yolanda Arias Blas</w:t>
      </w:r>
      <w:r w:rsidR="00E05944" w:rsidRPr="009A7163">
        <w:rPr>
          <w:rFonts w:eastAsiaTheme="minorHAnsi"/>
          <w:lang w:eastAsia="en-GB"/>
        </w:rPr>
        <w:t>s</w:t>
      </w:r>
      <w:r w:rsidRPr="009A7163">
        <w:rPr>
          <w:rFonts w:eastAsiaTheme="minorHAnsi"/>
          <w:lang w:eastAsia="en-GB"/>
        </w:rPr>
        <w:t>, spoke about the burden and toll of unpaid work, paid work and sexual harassment on the quality of lives that women can have in Nicaragua:</w:t>
      </w:r>
    </w:p>
    <w:p w14:paraId="4174D4F3" w14:textId="77777777"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The distribution of the unpaid work is such a heavy burden and women will tell you: “This burden is unbearable; my rest is limited to 4-5 hours a day and even less with small children because you have to be up in the night looking after them”. These women are not only living a life full of stress and, although this is reflected in the body, it is not just a product of all this work they have at home. It is also related to work and sexual harassment. Here [in Nicaragua] you have another layer which is the whole issue of workplace violence whereby women not only live violence in their family, but also in the area of ​​their work where they are sexually abused by the foreman of the factory, by the farm manager, etc. and offered work on the condition that they will sleep with the boss…so it’s </w:t>
      </w:r>
      <w:r w:rsidRPr="009A7163">
        <w:rPr>
          <w:rFonts w:eastAsiaTheme="minorHAnsi"/>
          <w:lang w:eastAsia="en-GB"/>
        </w:rPr>
        <w:lastRenderedPageBreak/>
        <w:t>all of these things – an accumulation of violence in many areas and not just the burden of housework but also the sexual harassment at work and in the streets – that really deteriorates the quality of life women can have here. (Expert Interview, May 9, 2016)</w:t>
      </w:r>
    </w:p>
    <w:p w14:paraId="77981930" w14:textId="39178A28" w:rsidR="00D90367" w:rsidRPr="009A7163" w:rsidRDefault="00D90367" w:rsidP="00712CDE">
      <w:pPr>
        <w:spacing w:line="360" w:lineRule="auto"/>
        <w:ind w:firstLine="720"/>
        <w:jc w:val="both"/>
        <w:rPr>
          <w:rFonts w:eastAsiaTheme="minorHAnsi"/>
          <w:lang w:eastAsia="en-GB"/>
        </w:rPr>
      </w:pPr>
      <w:r w:rsidRPr="009A7163">
        <w:rPr>
          <w:rFonts w:eastAsiaTheme="minorHAnsi"/>
          <w:lang w:eastAsia="en-GB"/>
        </w:rPr>
        <w:t xml:space="preserve">The reference to other types of violence that Blass highlights is </w:t>
      </w:r>
      <w:r w:rsidR="006E6EA2" w:rsidRPr="009A7163">
        <w:rPr>
          <w:rFonts w:eastAsiaTheme="minorHAnsi"/>
          <w:lang w:eastAsia="en-GB"/>
        </w:rPr>
        <w:t xml:space="preserve">important and not explored in traditional TUS methodology. This was an issue </w:t>
      </w:r>
      <w:r w:rsidR="002C37E1" w:rsidRPr="009A7163">
        <w:rPr>
          <w:rFonts w:eastAsiaTheme="minorHAnsi"/>
          <w:lang w:eastAsia="en-GB"/>
        </w:rPr>
        <w:t>that</w:t>
      </w:r>
      <w:r w:rsidR="006E6EA2" w:rsidRPr="009A7163">
        <w:rPr>
          <w:rFonts w:eastAsiaTheme="minorHAnsi"/>
          <w:lang w:eastAsia="en-GB"/>
        </w:rPr>
        <w:t xml:space="preserve"> was raised unprompted in the expert interviews, independent of TUS. Clearly, combining TUS with a systematic study of different forms of violence experienced by the women is an opportunity for future research (see Ch</w:t>
      </w:r>
      <w:r w:rsidR="002C37E1" w:rsidRPr="009A7163">
        <w:rPr>
          <w:rFonts w:eastAsiaTheme="minorHAnsi"/>
          <w:lang w:eastAsia="en-GB"/>
        </w:rPr>
        <w:t>apter Nine</w:t>
      </w:r>
      <w:r w:rsidR="006E6EA2" w:rsidRPr="009A7163">
        <w:rPr>
          <w:rFonts w:eastAsiaTheme="minorHAnsi"/>
          <w:lang w:eastAsia="en-GB"/>
        </w:rPr>
        <w:t xml:space="preserve">). </w:t>
      </w:r>
    </w:p>
    <w:p w14:paraId="67D4BB33" w14:textId="26AAC088" w:rsidR="00C20FCD" w:rsidRPr="009A7163" w:rsidRDefault="00712CDE" w:rsidP="002C37E1">
      <w:pPr>
        <w:spacing w:line="360" w:lineRule="auto"/>
        <w:ind w:firstLine="720"/>
        <w:jc w:val="both"/>
        <w:rPr>
          <w:rFonts w:eastAsiaTheme="minorHAnsi"/>
          <w:lang w:eastAsia="en-GB"/>
        </w:rPr>
      </w:pPr>
      <w:r w:rsidRPr="009A7163">
        <w:rPr>
          <w:rFonts w:eastAsiaTheme="minorHAnsi"/>
          <w:lang w:eastAsia="en-GB"/>
        </w:rPr>
        <w:t xml:space="preserve">Structural violence was something that Azahalea Solis, an attorney </w:t>
      </w:r>
      <w:r w:rsidR="00B32CF7" w:rsidRPr="009A7163">
        <w:rPr>
          <w:rFonts w:eastAsiaTheme="minorHAnsi"/>
          <w:lang w:eastAsia="en-GB"/>
        </w:rPr>
        <w:t>and member of MAM</w:t>
      </w:r>
      <w:r w:rsidR="002C37E1" w:rsidRPr="009A7163">
        <w:rPr>
          <w:rFonts w:eastAsiaTheme="minorHAnsi"/>
          <w:lang w:eastAsia="en-GB"/>
        </w:rPr>
        <w:t>,</w:t>
      </w:r>
      <w:r w:rsidR="00B32CF7" w:rsidRPr="009A7163">
        <w:rPr>
          <w:rFonts w:eastAsiaTheme="minorHAnsi"/>
          <w:lang w:eastAsia="en-GB"/>
        </w:rPr>
        <w:t xml:space="preserve"> mentioned </w:t>
      </w:r>
      <w:r w:rsidRPr="009A7163">
        <w:rPr>
          <w:rFonts w:eastAsiaTheme="minorHAnsi"/>
          <w:lang w:eastAsia="en-GB"/>
        </w:rPr>
        <w:t>and in particular in relation to women’s identity, violence and internalized messages and sanctions especially in relation to laws such as that of abortion.</w:t>
      </w:r>
      <w:r w:rsidR="00892AEA" w:rsidRPr="009A7163">
        <w:rPr>
          <w:rFonts w:eastAsiaTheme="minorHAnsi"/>
          <w:lang w:eastAsia="en-GB"/>
        </w:rPr>
        <w:t xml:space="preserve"> Azahalea Solis goes further to talk about how the general violence in Nicaragua at all levels seeps in the subconscious of both men and </w:t>
      </w:r>
      <w:r w:rsidR="00C20FCD" w:rsidRPr="009A7163">
        <w:rPr>
          <w:rFonts w:eastAsiaTheme="minorHAnsi"/>
          <w:lang w:eastAsia="en-GB"/>
        </w:rPr>
        <w:t>women:</w:t>
      </w:r>
    </w:p>
    <w:p w14:paraId="671E8DA9" w14:textId="654834B2"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[When you read about how high Nicaragua is in the gender rankings], I tell people these numbers are false and I invite feminist academics to analyse the case of Nicaragua. If you do, you’ll come to the conclusion that these numbers that report gender equality are insufficient because the reality in Nicaragua is a much bloodier one. It bleeds with injustice around women’s rights which is made clear through its laws. So I challenge people to look past the numbers and to consider Nicaragua from another perspective: We’ve had nearly nine years of a government run by a child molester, and so if you have a government which is run by a paedophile, this is the dominant model that the Nicaraguan population have and this model of masculinity becomes legitimate. Men can sexually abuse and put women in a disadvantageous position. A country that has a leader that is president and is a child molester – in whatever country – cannot provide and guarantee favourable positions for women because the message to doctors or taxi drivers is that you can get away with it…This is the model of masculinity that rules here…This doesn’t need to be verbalised out loud, neither does the situation need to be talked about or named. But it is verbalised in the subconscious and unconsciously…the doctor or taxi driver will think, ‘If he can do it, so can I’, and the message to women is as if it was verbalised, and that is </w:t>
      </w:r>
      <w:r w:rsidR="00E17A79" w:rsidRPr="009A7163">
        <w:rPr>
          <w:rFonts w:eastAsiaTheme="minorHAnsi"/>
          <w:lang w:eastAsia="en-GB"/>
        </w:rPr>
        <w:t xml:space="preserve">- </w:t>
      </w:r>
      <w:r w:rsidRPr="009A7163">
        <w:rPr>
          <w:rFonts w:eastAsiaTheme="minorHAnsi"/>
          <w:lang w:eastAsia="en-GB"/>
        </w:rPr>
        <w:t>if you try and denounce sexual abuse, don’t expect justice, and so what happens is this unsaid message quiets the voices of many women who have been abused in this country. (Expert Interview, May 5,</w:t>
      </w:r>
      <w:r w:rsidRPr="009A7163">
        <w:rPr>
          <w:rFonts w:eastAsiaTheme="minorHAnsi"/>
          <w:vertAlign w:val="superscript"/>
          <w:lang w:eastAsia="en-GB"/>
        </w:rPr>
        <w:t xml:space="preserve">, </w:t>
      </w:r>
      <w:r w:rsidRPr="009A7163">
        <w:rPr>
          <w:rFonts w:eastAsiaTheme="minorHAnsi"/>
          <w:lang w:eastAsia="en-GB"/>
        </w:rPr>
        <w:t>2016)</w:t>
      </w:r>
    </w:p>
    <w:p w14:paraId="1A2D6915" w14:textId="2D53CED4" w:rsidR="00C20FCD" w:rsidRPr="009A7163" w:rsidRDefault="00C20FCD" w:rsidP="007A3A29">
      <w:pPr>
        <w:spacing w:after="240" w:line="360" w:lineRule="auto"/>
        <w:ind w:firstLine="720"/>
        <w:jc w:val="both"/>
        <w:rPr>
          <w:rFonts w:eastAsiaTheme="minorHAnsi"/>
          <w:lang w:eastAsia="en-GB"/>
        </w:rPr>
      </w:pPr>
      <w:r w:rsidRPr="009A7163">
        <w:rPr>
          <w:rFonts w:eastAsiaTheme="minorHAnsi"/>
          <w:lang w:eastAsia="en-GB"/>
        </w:rPr>
        <w:t>Whilst Azahalea Solis provides a very clear picture of the reality of Nicaragua from her perspective</w:t>
      </w:r>
      <w:r w:rsidR="002C37E1" w:rsidRPr="009A7163">
        <w:rPr>
          <w:rFonts w:eastAsiaTheme="minorHAnsi"/>
          <w:lang w:eastAsia="en-GB"/>
        </w:rPr>
        <w:t>,</w:t>
      </w:r>
      <w:r w:rsidRPr="009A7163">
        <w:rPr>
          <w:rFonts w:eastAsiaTheme="minorHAnsi"/>
          <w:lang w:eastAsia="en-GB"/>
        </w:rPr>
        <w:t xml:space="preserve"> which is helpful for a feminist reading of the current situation in Nicaragua, this is only one reading albeit helpful of the surveillance practices that exist related to social norms and gender. </w:t>
      </w:r>
      <w:r w:rsidR="00892AEA" w:rsidRPr="009A7163">
        <w:rPr>
          <w:rFonts w:eastAsiaTheme="minorHAnsi"/>
          <w:lang w:eastAsia="en-GB"/>
        </w:rPr>
        <w:t>A</w:t>
      </w:r>
      <w:r w:rsidRPr="009A7163">
        <w:rPr>
          <w:rFonts w:eastAsiaTheme="minorHAnsi"/>
          <w:lang w:eastAsia="en-GB"/>
        </w:rPr>
        <w:t xml:space="preserve"> government member or a beneficiary </w:t>
      </w:r>
      <w:r w:rsidR="003F7611" w:rsidRPr="009A7163">
        <w:rPr>
          <w:rFonts w:eastAsiaTheme="minorHAnsi"/>
          <w:lang w:eastAsia="en-GB"/>
        </w:rPr>
        <w:t>of a</w:t>
      </w:r>
      <w:r w:rsidRPr="009A7163">
        <w:rPr>
          <w:rFonts w:eastAsiaTheme="minorHAnsi"/>
          <w:lang w:eastAsia="en-GB"/>
        </w:rPr>
        <w:t xml:space="preserve"> government run programme may have a very different reading of the current situation in Nicaragua.</w:t>
      </w:r>
    </w:p>
    <w:p w14:paraId="44E6E1B4" w14:textId="6987F9DC" w:rsidR="00C20FCD" w:rsidRPr="009A7163" w:rsidRDefault="00C20FCD" w:rsidP="00293176">
      <w:pPr>
        <w:spacing w:line="360" w:lineRule="auto"/>
        <w:jc w:val="both"/>
        <w:rPr>
          <w:rFonts w:eastAsiaTheme="minorHAnsi"/>
          <w:lang w:eastAsia="en-GB"/>
        </w:rPr>
      </w:pPr>
      <w:r w:rsidRPr="009A7163">
        <w:rPr>
          <w:rFonts w:eastAsiaTheme="minorHAnsi"/>
          <w:b/>
          <w:lang w:eastAsia="en-GB"/>
        </w:rPr>
        <w:lastRenderedPageBreak/>
        <w:t>7.2.</w:t>
      </w:r>
      <w:r w:rsidR="003F7611" w:rsidRPr="009A7163">
        <w:rPr>
          <w:rFonts w:eastAsiaTheme="minorHAnsi"/>
          <w:b/>
          <w:lang w:eastAsia="en-GB"/>
        </w:rPr>
        <w:t>4</w:t>
      </w:r>
      <w:r w:rsidRPr="009A7163">
        <w:rPr>
          <w:rFonts w:eastAsiaTheme="minorHAnsi"/>
          <w:b/>
          <w:lang w:eastAsia="en-GB"/>
        </w:rPr>
        <w:t>.2  Self-Sanctions</w:t>
      </w:r>
    </w:p>
    <w:p w14:paraId="686D98FE" w14:textId="4347202A"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In terms of self-sanctions and internalising of social norms related to ownership of assets and violence, the case study of La Pita is an interesting example and reflects the contradictions of these messages and internalised social norms. A development project, in some respects not dissimilar to that of BSI, was introduced by </w:t>
      </w:r>
      <w:r w:rsidR="002C37E1" w:rsidRPr="009A7163">
        <w:rPr>
          <w:rFonts w:eastAsiaTheme="minorHAnsi"/>
          <w:lang w:eastAsia="en-GB"/>
        </w:rPr>
        <w:t xml:space="preserve">the Community Agroecology Network (discussed in Chapter Four), </w:t>
      </w:r>
      <w:r w:rsidRPr="009A7163">
        <w:rPr>
          <w:rFonts w:eastAsiaTheme="minorHAnsi"/>
          <w:lang w:eastAsia="en-GB"/>
        </w:rPr>
        <w:t xml:space="preserve">a research network that also facilitates coffee contracts and to some degrees acts as an intermediary between buyer and cooperative. The project involved growing agro-ecological coffee for a buyer, which meant organic fertilisers would have to be produced as part of the quality requirements. The men turned down the opportunity citing it as too much work, which led the organization to offer the opportunity to the women. The men resisted the women going to meetings and leaving the house, and the women felt uncomfortable assuming a new role that labelled them ‘female growers/producers’. One woman explained: </w:t>
      </w:r>
    </w:p>
    <w:p w14:paraId="4F9349F9" w14:textId="77777777" w:rsidR="00C20FCD" w:rsidRPr="009A7163" w:rsidRDefault="00C20FCD" w:rsidP="007A3A29">
      <w:pPr>
        <w:spacing w:after="180"/>
        <w:ind w:left="720"/>
        <w:jc w:val="both"/>
        <w:rPr>
          <w:rFonts w:eastAsiaTheme="minorHAnsi"/>
          <w:lang w:eastAsia="en-GB"/>
        </w:rPr>
      </w:pPr>
      <w:r w:rsidRPr="009A7163">
        <w:rPr>
          <w:rFonts w:eastAsiaTheme="minorHAnsi"/>
          <w:lang w:eastAsia="en-GB"/>
        </w:rPr>
        <w:t>We’ve always been accustomed to working as a family, to making decisions together. We’re more used to telling our husbands that they shouldn’t be saying “I’m the boss here” rather than ourselves actually being the bosses. The men are used to being the ones in charge and telling us that they are the owners of everything and that they are going to leave all their inheritance to their sons. (Focus Group La Pita, March 4, 2015)</w:t>
      </w:r>
    </w:p>
    <w:p w14:paraId="6089BF67" w14:textId="4CA8A1F0" w:rsidR="00C20FCD" w:rsidRPr="009A7163" w:rsidRDefault="00C20FCD">
      <w:pPr>
        <w:spacing w:line="360" w:lineRule="auto"/>
        <w:ind w:firstLine="720"/>
        <w:jc w:val="both"/>
        <w:rPr>
          <w:rFonts w:eastAsiaTheme="minorHAnsi"/>
          <w:lang w:eastAsia="en-GB"/>
        </w:rPr>
      </w:pPr>
      <w:r w:rsidRPr="009A7163">
        <w:rPr>
          <w:rFonts w:eastAsiaTheme="minorHAnsi"/>
          <w:lang w:eastAsia="en-GB"/>
        </w:rPr>
        <w:t>Despite the women feeling uncomfortable about losing the ‘for the family’ identity that they said they are used to, they small group of women in La Pita took up the challenge to produce organic and agroecological coffee. When the men saw the women reap the rewards and money entering the household, there was a general consensus and as one man claimed he told his partner: ‘It’s up to you – it’s yours. I’m not getting involved’ (Men’s Focus Group, La Pita, March 4, 2015</w:t>
      </w:r>
      <w:r w:rsidR="002C37E1" w:rsidRPr="009A7163">
        <w:rPr>
          <w:rFonts w:eastAsiaTheme="minorHAnsi"/>
          <w:lang w:eastAsia="en-GB"/>
        </w:rPr>
        <w:t>)</w:t>
      </w:r>
      <w:r w:rsidRPr="009A7163">
        <w:rPr>
          <w:rFonts w:eastAsiaTheme="minorHAnsi"/>
          <w:lang w:eastAsia="en-GB"/>
        </w:rPr>
        <w:t>. However, in some cases later on, the men did undertake the coffee work or in some cases the women subcontracted the work to day labourers, preferring not to undertake the productive requirements of the project. In the interviews the women</w:t>
      </w:r>
      <w:r w:rsidR="002C37E1" w:rsidRPr="009A7163">
        <w:rPr>
          <w:rFonts w:eastAsiaTheme="minorHAnsi"/>
          <w:lang w:eastAsia="en-GB"/>
        </w:rPr>
        <w:t>,</w:t>
      </w:r>
      <w:r w:rsidRPr="009A7163">
        <w:rPr>
          <w:rFonts w:eastAsiaTheme="minorHAnsi"/>
          <w:lang w:eastAsia="en-GB"/>
        </w:rPr>
        <w:t xml:space="preserve"> however</w:t>
      </w:r>
      <w:r w:rsidR="002C37E1" w:rsidRPr="009A7163">
        <w:rPr>
          <w:rFonts w:eastAsiaTheme="minorHAnsi"/>
          <w:lang w:eastAsia="en-GB"/>
        </w:rPr>
        <w:t>,</w:t>
      </w:r>
      <w:r w:rsidRPr="009A7163">
        <w:rPr>
          <w:rFonts w:eastAsiaTheme="minorHAnsi"/>
          <w:lang w:eastAsia="en-GB"/>
        </w:rPr>
        <w:t xml:space="preserve"> spoke about how they used the money from the premium received for the recognition of their unpaid work to pay for others to do their work and/or in some instances their husbands did the work. </w:t>
      </w:r>
    </w:p>
    <w:p w14:paraId="1F80CC7A" w14:textId="4C26DA83" w:rsidR="00C20FCD" w:rsidRPr="009A7163" w:rsidRDefault="00C20FCD">
      <w:pPr>
        <w:spacing w:line="360" w:lineRule="auto"/>
        <w:ind w:firstLine="720"/>
        <w:jc w:val="both"/>
        <w:rPr>
          <w:rFonts w:eastAsiaTheme="minorHAnsi"/>
          <w:lang w:eastAsia="en-GB"/>
        </w:rPr>
      </w:pPr>
      <w:r w:rsidRPr="009A7163">
        <w:rPr>
          <w:rFonts w:eastAsiaTheme="minorHAnsi"/>
          <w:lang w:eastAsia="en-GB"/>
        </w:rPr>
        <w:t>The discourse from the Yadira Montenegro, the Gender Coordinator from the UCA San Ramón who manages this project</w:t>
      </w:r>
      <w:r w:rsidR="002C37E1" w:rsidRPr="009A7163">
        <w:rPr>
          <w:rFonts w:eastAsiaTheme="minorHAnsi"/>
          <w:lang w:eastAsia="en-GB"/>
        </w:rPr>
        <w:t>,</w:t>
      </w:r>
      <w:r w:rsidRPr="009A7163">
        <w:rPr>
          <w:rFonts w:eastAsiaTheme="minorHAnsi"/>
          <w:lang w:eastAsia="en-GB"/>
        </w:rPr>
        <w:t xml:space="preserve"> is interesting too, as through her language she also sanctions women into a role of not being able to do certain jobs (norms around </w:t>
      </w:r>
      <w:r w:rsidRPr="009A7163">
        <w:rPr>
          <w:rFonts w:eastAsiaTheme="minorHAnsi"/>
          <w:lang w:eastAsia="en-GB"/>
        </w:rPr>
        <w:lastRenderedPageBreak/>
        <w:t>gendered roles and tasks) despite recognising the need for their independence in order to be liberated:</w:t>
      </w:r>
    </w:p>
    <w:p w14:paraId="4EDD9917" w14:textId="109219BF" w:rsidR="00481A51" w:rsidRPr="009A7163" w:rsidRDefault="00C20FCD" w:rsidP="00481A51">
      <w:pPr>
        <w:ind w:left="720"/>
        <w:jc w:val="both"/>
        <w:rPr>
          <w:rFonts w:eastAsiaTheme="minorHAnsi"/>
          <w:lang w:eastAsia="en-GB"/>
        </w:rPr>
      </w:pPr>
      <w:r w:rsidRPr="009A7163">
        <w:rPr>
          <w:rFonts w:eastAsiaTheme="minorHAnsi"/>
          <w:lang w:eastAsia="en-GB"/>
        </w:rPr>
        <w:t>The women are transferring coffee bags from the nursery to the coffee farms at present...so they take out their loan and then go and plant coffee trees...ahhh those poor women have to make holes in the ground. They are going to make themselves sick! So now what they do is take the money, pay the day labourers so that they can do the work, and now they just give orders. Some women may do the practical work but any work that requires physical force, they use the money from the premium to pay for it. So really this fund [premium for the unpaid work of women] is an alternative resource for them that helps them to better themselves and so that they don’t just stay in the kitchen all day cooking.  It’s about them having an alternative source of income so that they don’t depend on the men because in general women who have money are liberated women…a woman who is free and no longer a prisoner to her husband, and able to make her own decisions. (Expert Interview, January 14, 2017)</w:t>
      </w:r>
    </w:p>
    <w:p w14:paraId="4FF267DD" w14:textId="77777777" w:rsidR="00481A51" w:rsidRPr="009A7163" w:rsidRDefault="00481A51" w:rsidP="00481A51">
      <w:pPr>
        <w:ind w:left="720"/>
        <w:jc w:val="both"/>
        <w:rPr>
          <w:rFonts w:eastAsiaTheme="minorHAnsi"/>
          <w:lang w:eastAsia="en-GB"/>
        </w:rPr>
      </w:pPr>
    </w:p>
    <w:p w14:paraId="1A8C63AF" w14:textId="1BB21BE9" w:rsidR="00C20FCD" w:rsidRPr="009A7163" w:rsidRDefault="00C20FCD" w:rsidP="00293176">
      <w:pPr>
        <w:spacing w:after="240" w:line="360" w:lineRule="auto"/>
        <w:ind w:firstLine="720"/>
        <w:jc w:val="both"/>
        <w:rPr>
          <w:rFonts w:eastAsiaTheme="minorHAnsi"/>
          <w:lang w:eastAsia="en-GB"/>
        </w:rPr>
      </w:pPr>
      <w:r w:rsidRPr="009A7163">
        <w:rPr>
          <w:rFonts w:eastAsiaTheme="minorHAnsi"/>
          <w:lang w:eastAsia="en-GB"/>
        </w:rPr>
        <w:t>Interestingly</w:t>
      </w:r>
      <w:r w:rsidR="002C37E1" w:rsidRPr="009A7163">
        <w:rPr>
          <w:rFonts w:eastAsiaTheme="minorHAnsi"/>
          <w:lang w:eastAsia="en-GB"/>
        </w:rPr>
        <w:t>,</w:t>
      </w:r>
      <w:r w:rsidRPr="009A7163">
        <w:rPr>
          <w:rFonts w:eastAsiaTheme="minorHAnsi"/>
          <w:lang w:eastAsia="en-GB"/>
        </w:rPr>
        <w:t xml:space="preserve"> the narrative about having ‘sweaty hands’ and their inability to do certain tasks is not mentioned</w:t>
      </w:r>
      <w:r w:rsidR="002C37E1" w:rsidRPr="009A7163">
        <w:rPr>
          <w:rFonts w:eastAsiaTheme="minorHAnsi"/>
          <w:lang w:eastAsia="en-GB"/>
        </w:rPr>
        <w:t>,</w:t>
      </w:r>
      <w:r w:rsidRPr="009A7163">
        <w:rPr>
          <w:rFonts w:eastAsiaTheme="minorHAnsi"/>
          <w:lang w:eastAsia="en-GB"/>
        </w:rPr>
        <w:t xml:space="preserve"> unlike with the men; rather</w:t>
      </w:r>
      <w:r w:rsidR="002C37E1" w:rsidRPr="009A7163">
        <w:rPr>
          <w:rFonts w:eastAsiaTheme="minorHAnsi"/>
          <w:lang w:eastAsia="en-GB"/>
        </w:rPr>
        <w:t>,</w:t>
      </w:r>
      <w:r w:rsidRPr="009A7163">
        <w:rPr>
          <w:rFonts w:eastAsiaTheme="minorHAnsi"/>
          <w:lang w:eastAsia="en-GB"/>
        </w:rPr>
        <w:t xml:space="preserve"> it is the discourse on physical strength and norms about that which conclude which work women should do.</w:t>
      </w:r>
    </w:p>
    <w:p w14:paraId="16D8E015" w14:textId="34FAAB29" w:rsidR="00C20FCD" w:rsidRPr="009A7163" w:rsidRDefault="00C20FCD" w:rsidP="00293176">
      <w:pPr>
        <w:pStyle w:val="Heading4"/>
        <w:rPr>
          <w:rFonts w:eastAsiaTheme="minorHAnsi"/>
        </w:rPr>
      </w:pPr>
      <w:bookmarkStart w:id="157" w:name="_Toc526819356"/>
      <w:r w:rsidRPr="009A7163">
        <w:rPr>
          <w:rFonts w:eastAsiaTheme="minorHAnsi"/>
        </w:rPr>
        <w:t>7.2.</w:t>
      </w:r>
      <w:r w:rsidR="003F7611" w:rsidRPr="009A7163">
        <w:rPr>
          <w:rFonts w:eastAsiaTheme="minorHAnsi"/>
        </w:rPr>
        <w:t>4</w:t>
      </w:r>
      <w:r w:rsidRPr="009A7163">
        <w:rPr>
          <w:rFonts w:eastAsiaTheme="minorHAnsi"/>
        </w:rPr>
        <w:t>.3  Surveillance Practices</w:t>
      </w:r>
      <w:bookmarkEnd w:id="157"/>
    </w:p>
    <w:p w14:paraId="19193F40" w14:textId="08723B76" w:rsidR="00C20FCD" w:rsidRPr="009A7163" w:rsidRDefault="009C4EB2" w:rsidP="008C041F">
      <w:pPr>
        <w:spacing w:line="360" w:lineRule="auto"/>
        <w:ind w:firstLine="720"/>
        <w:jc w:val="both"/>
        <w:rPr>
          <w:rFonts w:eastAsiaTheme="minorHAnsi"/>
          <w:lang w:eastAsia="en-GB"/>
        </w:rPr>
      </w:pPr>
      <w:r w:rsidRPr="009A7163">
        <w:rPr>
          <w:rFonts w:eastAsiaTheme="minorHAnsi"/>
          <w:lang w:eastAsia="en-GB"/>
        </w:rPr>
        <w:t xml:space="preserve">Surveillance practices are disseminated and internalised through different messages about what a family should be, family values and gender roles. Internalised discourses maintain the ecological violence of women in all spheres from the individual to society.  </w:t>
      </w:r>
      <w:r w:rsidR="00C20FCD" w:rsidRPr="009A7163">
        <w:rPr>
          <w:rFonts w:eastAsiaTheme="minorHAnsi"/>
          <w:lang w:eastAsia="en-GB"/>
        </w:rPr>
        <w:t>Bradshaw (2009) argue</w:t>
      </w:r>
      <w:r w:rsidR="002C37E1" w:rsidRPr="009A7163">
        <w:rPr>
          <w:rFonts w:eastAsiaTheme="minorHAnsi"/>
          <w:lang w:eastAsia="en-GB"/>
        </w:rPr>
        <w:t>s</w:t>
      </w:r>
      <w:r w:rsidR="00C20FCD" w:rsidRPr="009A7163">
        <w:rPr>
          <w:rFonts w:eastAsiaTheme="minorHAnsi"/>
          <w:lang w:eastAsia="en-GB"/>
        </w:rPr>
        <w:t xml:space="preserve"> that: </w:t>
      </w:r>
    </w:p>
    <w:p w14:paraId="789C47DF" w14:textId="490B6390" w:rsidR="00C20FCD" w:rsidRPr="009A7163" w:rsidRDefault="00C20FCD" w:rsidP="00293176">
      <w:pPr>
        <w:spacing w:after="180"/>
        <w:ind w:left="720"/>
        <w:jc w:val="both"/>
        <w:rPr>
          <w:rFonts w:eastAsiaTheme="minorHAnsi"/>
          <w:lang w:eastAsia="en-GB"/>
        </w:rPr>
      </w:pPr>
      <w:r w:rsidRPr="009A7163">
        <w:rPr>
          <w:rFonts w:eastAsiaTheme="minorHAnsi"/>
          <w:lang w:eastAsia="en-GB"/>
        </w:rPr>
        <w:t xml:space="preserve">Increasingly, the church, the state and international development banks share a similar discourse drawing on underlying notions of the family and family values. The associated policies, while seemingly promoting women’s role in society, aim to reinforce existing gender roles and relations and promote the primacy of heterosexual relations within marriage for either moral or economic gain, or both. The conservative discourse of ‘the right’ is increasingly presented in the language of rights and is a discourse that has the advantage of drawing on seemingly natural and ingrained ideas of women, men, and the family. Backed by both the moral weight of organised religion and the economic rationality of neoliberal actors, current policies concurrently threaten women’s sexual, reproductive, and economic rights. Alternative discourses find it difficult to compete in this context. The discourse of resistance in Nicaragua is further hampered by its own lack of coherence and the fact that counter-actions are often largely unconnected. </w:t>
      </w:r>
      <w:r w:rsidR="002C37E1" w:rsidRPr="009A7163">
        <w:rPr>
          <w:rFonts w:eastAsiaTheme="minorHAnsi"/>
          <w:lang w:eastAsia="en-GB"/>
        </w:rPr>
        <w:t>(p. 72)</w:t>
      </w:r>
    </w:p>
    <w:p w14:paraId="1C4DA6DF" w14:textId="43BDFB18" w:rsidR="00C20FCD" w:rsidRPr="009A7163" w:rsidRDefault="00C20FCD" w:rsidP="007A3A29">
      <w:pPr>
        <w:spacing w:after="240" w:line="360" w:lineRule="auto"/>
        <w:ind w:firstLine="720"/>
        <w:jc w:val="both"/>
        <w:rPr>
          <w:rFonts w:eastAsiaTheme="minorHAnsi"/>
          <w:lang w:eastAsia="en-GB"/>
        </w:rPr>
      </w:pPr>
      <w:r w:rsidRPr="009A7163">
        <w:rPr>
          <w:rFonts w:eastAsiaTheme="minorHAnsi"/>
          <w:lang w:eastAsia="en-GB"/>
        </w:rPr>
        <w:t xml:space="preserve">Women’s access to land, ownership of assets, and access to laws that protect them from violence have all been affected by the new marriage between the government and the church, and this has sent strong messages to the women and men about their position and self-worth. In terms of landownership, the 2012 annual report from the </w:t>
      </w:r>
      <w:r w:rsidRPr="009A7163">
        <w:rPr>
          <w:rFonts w:eastAsiaTheme="minorHAnsi"/>
          <w:lang w:eastAsia="en-GB"/>
        </w:rPr>
        <w:lastRenderedPageBreak/>
        <w:t>Nicaraguan Human Rights Centre also laments administrative decisions that strengthen violence and impunity, and it observes that there is a lack of access to justice for victims of gender-based violence and discrimination (CENIDH, 2012, p. 146). According to Grabe’s (2010) study on women’s land ownership and intra-household violence, the relatively low percentage of women landowners ‘reflects the reality that social constructions of gender, combined with cultural practices of restricting women’s access to land, have prohibited women from realising their legal rights’ (p. 153).</w:t>
      </w:r>
      <w:r w:rsidR="002C37E1" w:rsidRPr="009A7163">
        <w:rPr>
          <w:rFonts w:eastAsiaTheme="minorHAnsi"/>
          <w:lang w:eastAsia="en-GB"/>
        </w:rPr>
        <w:t xml:space="preserve"> </w:t>
      </w:r>
      <w:r w:rsidRPr="009A7163">
        <w:rPr>
          <w:rFonts w:eastAsiaTheme="minorHAnsi"/>
          <w:lang w:eastAsia="en-GB"/>
        </w:rPr>
        <w:t>Even though Nicaraguan Law 717 was especially created in Nicaragua to help women to obtain land, it has never been prioritised, which has sent a very clear message to women about their importance. One expert</w:t>
      </w:r>
      <w:r w:rsidR="002C37E1" w:rsidRPr="009A7163">
        <w:rPr>
          <w:rFonts w:eastAsiaTheme="minorHAnsi"/>
          <w:lang w:eastAsia="en-GB"/>
        </w:rPr>
        <w:t>,</w:t>
      </w:r>
      <w:r w:rsidR="00B72871" w:rsidRPr="009A7163">
        <w:rPr>
          <w:rFonts w:eastAsiaTheme="minorHAnsi"/>
          <w:lang w:eastAsia="en-GB"/>
        </w:rPr>
        <w:t xml:space="preserve"> Selmira Flores</w:t>
      </w:r>
      <w:r w:rsidR="002C37E1" w:rsidRPr="009A7163">
        <w:rPr>
          <w:rFonts w:eastAsiaTheme="minorHAnsi"/>
          <w:lang w:eastAsia="en-GB"/>
        </w:rPr>
        <w:t>,</w:t>
      </w:r>
      <w:r w:rsidRPr="009A7163">
        <w:rPr>
          <w:rFonts w:eastAsiaTheme="minorHAnsi"/>
          <w:lang w:eastAsia="en-GB"/>
        </w:rPr>
        <w:t xml:space="preserve"> explained further:</w:t>
      </w:r>
      <w:r w:rsidR="00697E93" w:rsidRPr="009A7163">
        <w:rPr>
          <w:rFonts w:eastAsiaTheme="minorHAnsi"/>
          <w:lang w:eastAsia="en-GB"/>
        </w:rPr>
        <w:t xml:space="preserve"> ‘The laws are put to one side and are eventually left out of the picture. They’re pushed to a forgotten territory and so the reality continues’</w:t>
      </w:r>
      <w:r w:rsidR="002C37E1" w:rsidRPr="009A7163">
        <w:rPr>
          <w:rFonts w:eastAsiaTheme="minorHAnsi"/>
          <w:lang w:eastAsia="en-GB"/>
        </w:rPr>
        <w:t xml:space="preserve"> (</w:t>
      </w:r>
      <w:r w:rsidRPr="009A7163">
        <w:rPr>
          <w:rFonts w:eastAsiaTheme="minorHAnsi"/>
          <w:lang w:eastAsia="en-GB"/>
        </w:rPr>
        <w:t>Expert Interview, May 19, 2016)</w:t>
      </w:r>
      <w:r w:rsidR="00697E93" w:rsidRPr="009A7163">
        <w:rPr>
          <w:rFonts w:eastAsiaTheme="minorHAnsi"/>
          <w:lang w:eastAsia="en-GB"/>
        </w:rPr>
        <w:t xml:space="preserve">. </w:t>
      </w:r>
      <w:r w:rsidRPr="009A7163">
        <w:rPr>
          <w:rFonts w:eastAsiaTheme="minorHAnsi"/>
          <w:lang w:eastAsia="en-GB"/>
        </w:rPr>
        <w:t xml:space="preserve">In this context, both the laws and social norms create restrictions on landownership, assets and access to resources </w:t>
      </w:r>
      <w:r w:rsidR="002C37E1" w:rsidRPr="009A7163">
        <w:rPr>
          <w:rFonts w:eastAsiaTheme="minorHAnsi"/>
          <w:lang w:eastAsia="en-GB"/>
        </w:rPr>
        <w:t xml:space="preserve">that </w:t>
      </w:r>
      <w:r w:rsidRPr="009A7163">
        <w:rPr>
          <w:rFonts w:eastAsiaTheme="minorHAnsi"/>
          <w:lang w:eastAsia="en-GB"/>
        </w:rPr>
        <w:t>perpetuate gender inequality and leave unchallenged the domestic space and women’s roles.</w:t>
      </w:r>
    </w:p>
    <w:p w14:paraId="6A077F5E" w14:textId="31A2C2C9" w:rsidR="00C20FCD" w:rsidRPr="009A7163" w:rsidRDefault="00C20FCD" w:rsidP="00293176">
      <w:pPr>
        <w:pStyle w:val="Heading2"/>
        <w:rPr>
          <w:rFonts w:eastAsiaTheme="minorHAnsi"/>
          <w:lang w:val="en-GB" w:eastAsia="en-GB"/>
        </w:rPr>
      </w:pPr>
      <w:bookmarkStart w:id="158" w:name="_Toc526819357"/>
      <w:r w:rsidRPr="009A7163">
        <w:rPr>
          <w:rFonts w:eastAsiaTheme="minorHAnsi"/>
          <w:lang w:val="en-GB" w:eastAsia="en-GB"/>
        </w:rPr>
        <w:t>7.3  Conclusion</w:t>
      </w:r>
      <w:bookmarkEnd w:id="158"/>
    </w:p>
    <w:p w14:paraId="3CAE287E" w14:textId="7F0189E2" w:rsidR="00C20FCD" w:rsidRPr="009A7163" w:rsidRDefault="00C20FCD" w:rsidP="008C041F">
      <w:pPr>
        <w:spacing w:line="360" w:lineRule="auto"/>
        <w:ind w:firstLine="720"/>
        <w:jc w:val="both"/>
        <w:rPr>
          <w:rFonts w:eastAsiaTheme="minorHAnsi"/>
          <w:lang w:eastAsia="en-GB"/>
        </w:rPr>
      </w:pPr>
      <w:r w:rsidRPr="009A7163">
        <w:rPr>
          <w:rFonts w:eastAsiaTheme="minorHAnsi"/>
          <w:lang w:eastAsia="en-GB"/>
        </w:rPr>
        <w:t xml:space="preserve">This chapter sought to show how social norms affect and shape the family distribution of labour and time use in the case studies and show how different narratives buried at the level of </w:t>
      </w:r>
      <w:r w:rsidR="002C37E1" w:rsidRPr="009A7163">
        <w:rPr>
          <w:rFonts w:eastAsiaTheme="minorHAnsi"/>
          <w:lang w:eastAsia="en-GB"/>
        </w:rPr>
        <w:t>‘</w:t>
      </w:r>
      <w:r w:rsidRPr="009A7163">
        <w:rPr>
          <w:rFonts w:eastAsiaTheme="minorHAnsi"/>
          <w:lang w:eastAsia="en-GB"/>
        </w:rPr>
        <w:t>doxa</w:t>
      </w:r>
      <w:r w:rsidR="002C37E1" w:rsidRPr="009A7163">
        <w:rPr>
          <w:rFonts w:eastAsiaTheme="minorHAnsi"/>
          <w:lang w:eastAsia="en-GB"/>
        </w:rPr>
        <w:t>’</w:t>
      </w:r>
      <w:r w:rsidRPr="009A7163">
        <w:rPr>
          <w:rFonts w:eastAsiaTheme="minorHAnsi"/>
          <w:lang w:eastAsia="en-GB"/>
        </w:rPr>
        <w:t xml:space="preserve"> still persist. Particular narratives around motherhood, the family and even cultural ideas around ‘sweaty hands’ and appropriate roles based on gender still dictate time and labour distribution. The initiative has begun in some instances to ignite processes of reflection where the men and women are beginning to question certain inequalities, but widespread GBV at different levels, including the state level, create a context that is not enabling to wider processes of empowerment. The household and family remain both an instrument for development program and a site of inequality and these inequalities are particularly accentuated with WEE endeavours. As Kabeer</w:t>
      </w:r>
      <w:r w:rsidR="002C37E1" w:rsidRPr="009A7163">
        <w:rPr>
          <w:rFonts w:eastAsiaTheme="minorHAnsi"/>
          <w:lang w:eastAsia="en-GB"/>
        </w:rPr>
        <w:t xml:space="preserve"> (1994)</w:t>
      </w:r>
      <w:r w:rsidRPr="009A7163">
        <w:rPr>
          <w:rFonts w:eastAsiaTheme="minorHAnsi"/>
          <w:lang w:eastAsia="en-GB"/>
        </w:rPr>
        <w:t xml:space="preserve"> argue</w:t>
      </w:r>
      <w:r w:rsidR="002C37E1" w:rsidRPr="009A7163">
        <w:rPr>
          <w:rFonts w:eastAsiaTheme="minorHAnsi"/>
          <w:lang w:eastAsia="en-GB"/>
        </w:rPr>
        <w:t>s</w:t>
      </w:r>
      <w:r w:rsidRPr="009A7163">
        <w:rPr>
          <w:rFonts w:eastAsiaTheme="minorHAnsi"/>
          <w:lang w:eastAsia="en-GB"/>
        </w:rPr>
        <w:t>: ‘Notwithstanding women’s increasing share of market earnings, persistent divisions of labour act as “brakes on the equilibrating process” with women’s efforts to generate income doing little to transform their position within households’ (p. 105). The next chapter delves deeper into the subject of empowerment and how the participants have navigated their own pathway to empowerment and in what conditions.</w:t>
      </w:r>
    </w:p>
    <w:p w14:paraId="22469767" w14:textId="77777777" w:rsidR="003F7611" w:rsidRPr="009A7163" w:rsidRDefault="003F7611" w:rsidP="00293176">
      <w:pPr>
        <w:spacing w:line="360" w:lineRule="auto"/>
        <w:jc w:val="both"/>
        <w:rPr>
          <w:rFonts w:eastAsiaTheme="minorHAnsi"/>
          <w:lang w:eastAsia="en-GB"/>
        </w:rPr>
      </w:pPr>
    </w:p>
    <w:p w14:paraId="5629EC31" w14:textId="77777777" w:rsidR="003F7611" w:rsidRPr="009A7163" w:rsidRDefault="003F7611" w:rsidP="003F7611">
      <w:pPr>
        <w:spacing w:line="360" w:lineRule="auto"/>
        <w:jc w:val="both"/>
        <w:rPr>
          <w:rFonts w:eastAsiaTheme="minorHAnsi"/>
          <w:lang w:eastAsia="en-GB"/>
        </w:rPr>
        <w:sectPr w:rsidR="003F7611" w:rsidRPr="009A7163" w:rsidSect="00171CF0">
          <w:footnotePr>
            <w:numRestart w:val="eachSect"/>
          </w:footnotePr>
          <w:pgSz w:w="11907" w:h="16839" w:code="9"/>
          <w:pgMar w:top="1440" w:right="1440" w:bottom="1440" w:left="2160" w:header="706" w:footer="706" w:gutter="0"/>
          <w:cols w:space="708"/>
          <w:docGrid w:linePitch="360"/>
        </w:sectPr>
      </w:pPr>
    </w:p>
    <w:p w14:paraId="5AD37621" w14:textId="4C1766A5" w:rsidR="00FD4ABA" w:rsidRPr="009A7163" w:rsidRDefault="003F7611" w:rsidP="00293176">
      <w:pPr>
        <w:pStyle w:val="Heading1"/>
        <w:tabs>
          <w:tab w:val="left" w:pos="1620"/>
        </w:tabs>
        <w:rPr>
          <w:sz w:val="28"/>
        </w:rPr>
      </w:pPr>
      <w:bookmarkStart w:id="159" w:name="_Toc526819358"/>
      <w:r w:rsidRPr="009A7163">
        <w:rPr>
          <w:sz w:val="28"/>
        </w:rPr>
        <w:lastRenderedPageBreak/>
        <w:t>Chapter Eight: Empowerment</w:t>
      </w:r>
      <w:bookmarkEnd w:id="159"/>
    </w:p>
    <w:p w14:paraId="7D67BCA2" w14:textId="77777777" w:rsidR="00FD4ABA" w:rsidRPr="009A7163" w:rsidRDefault="00FD4ABA" w:rsidP="00293176">
      <w:pPr>
        <w:pStyle w:val="NoSpacing"/>
        <w:rPr>
          <w:rFonts w:eastAsiaTheme="minorHAnsi"/>
          <w:lang w:val="en-GB" w:eastAsia="en-GB"/>
        </w:rPr>
      </w:pPr>
    </w:p>
    <w:p w14:paraId="482369AA" w14:textId="77777777" w:rsidR="003F7611" w:rsidRPr="009A7163" w:rsidRDefault="003F7611" w:rsidP="00293176">
      <w:pPr>
        <w:pStyle w:val="NoSpacing"/>
        <w:rPr>
          <w:rFonts w:eastAsiaTheme="minorHAnsi"/>
          <w:lang w:val="en-GB" w:eastAsia="en-GB"/>
        </w:rPr>
      </w:pPr>
    </w:p>
    <w:p w14:paraId="0FBC7B3B" w14:textId="195AB570" w:rsidR="00FD4ABA" w:rsidRPr="009A7163" w:rsidRDefault="003F7611" w:rsidP="00293176">
      <w:pPr>
        <w:pStyle w:val="Heading2"/>
        <w:rPr>
          <w:rFonts w:eastAsiaTheme="minorHAnsi"/>
          <w:lang w:val="en-GB" w:eastAsia="en-GB"/>
        </w:rPr>
      </w:pPr>
      <w:bookmarkStart w:id="160" w:name="_Toc526819359"/>
      <w:r w:rsidRPr="009A7163">
        <w:rPr>
          <w:rFonts w:eastAsiaTheme="minorHAnsi"/>
          <w:lang w:val="en-GB" w:eastAsia="en-GB"/>
        </w:rPr>
        <w:t xml:space="preserve">8.1  </w:t>
      </w:r>
      <w:r w:rsidR="00FD4ABA" w:rsidRPr="009A7163">
        <w:rPr>
          <w:rFonts w:eastAsiaTheme="minorHAnsi"/>
          <w:lang w:val="en-GB" w:eastAsia="en-GB"/>
        </w:rPr>
        <w:t>Introduction</w:t>
      </w:r>
      <w:bookmarkEnd w:id="160"/>
    </w:p>
    <w:p w14:paraId="4CD03AF5" w14:textId="299E47B0"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This chapter looks at whether the initiative’s model of recogni</w:t>
      </w:r>
      <w:r w:rsidR="006F00A0" w:rsidRPr="009A7163">
        <w:rPr>
          <w:rFonts w:eastAsiaTheme="minorHAnsi"/>
          <w:lang w:eastAsia="en-GB"/>
        </w:rPr>
        <w:t>s</w:t>
      </w:r>
      <w:r w:rsidRPr="009A7163">
        <w:rPr>
          <w:rFonts w:eastAsiaTheme="minorHAnsi"/>
          <w:lang w:eastAsia="en-GB"/>
        </w:rPr>
        <w:t xml:space="preserve">ing women’s </w:t>
      </w:r>
      <w:r w:rsidR="006F00A0" w:rsidRPr="009A7163">
        <w:rPr>
          <w:rFonts w:eastAsiaTheme="minorHAnsi"/>
          <w:lang w:eastAsia="en-GB"/>
        </w:rPr>
        <w:t xml:space="preserve">unpaid care work (UCW) </w:t>
      </w:r>
      <w:r w:rsidRPr="009A7163">
        <w:rPr>
          <w:rFonts w:eastAsiaTheme="minorHAnsi"/>
          <w:lang w:eastAsia="en-GB"/>
        </w:rPr>
        <w:t xml:space="preserve">contributes to empowerment, a key objective of this study. The chapter highlights issues that came to the foreground according to the data collected for this study. The chapter begins by introducing the study’s definition of empowerment and then it briefly describes the initial goals of the initiative in each case study in relation to empowerment. This is followed by a presentation of fieldwork data showing examples of where the goals have been met and then the issues and contentions in the implementation of the initiative vis-a-vis the wider goal of achieving empowerment. These will be summarised in key findings. The chapter then highlights key messages that came out of the research in relation to empowerment and which further highlights ‘power at work’, a term emphasising how power is enmeshed in all relations of power at all levels of society. In particular, a process approach to empowerment is taken here to interrogate not only what actions were taken (outcomes) but also how and by whom (nature of the action). In light of this I ‘used data freely to drive theory rather than using as a means of testing already formulated theory’ (Glaser and Strauss, 1967, </w:t>
      </w:r>
      <w:r w:rsidR="0063397C" w:rsidRPr="009A7163">
        <w:rPr>
          <w:rFonts w:eastAsiaTheme="minorHAnsi"/>
          <w:lang w:eastAsia="en-GB"/>
        </w:rPr>
        <w:t>p.</w:t>
      </w:r>
      <w:r w:rsidR="00250728" w:rsidRPr="009A7163">
        <w:rPr>
          <w:rFonts w:eastAsiaTheme="minorHAnsi"/>
          <w:lang w:eastAsia="en-GB"/>
        </w:rPr>
        <w:t xml:space="preserve"> </w:t>
      </w:r>
      <w:r w:rsidR="0063397C" w:rsidRPr="009A7163">
        <w:rPr>
          <w:rFonts w:eastAsiaTheme="minorHAnsi"/>
          <w:lang w:eastAsia="en-GB"/>
        </w:rPr>
        <w:t>171</w:t>
      </w:r>
      <w:r w:rsidRPr="009A7163">
        <w:rPr>
          <w:rFonts w:eastAsiaTheme="minorHAnsi"/>
          <w:lang w:eastAsia="en-GB"/>
        </w:rPr>
        <w:t xml:space="preserve">). </w:t>
      </w:r>
    </w:p>
    <w:p w14:paraId="6B72AF81" w14:textId="3830F411" w:rsidR="00FD4ABA" w:rsidRPr="009A7163" w:rsidRDefault="00FD4ABA" w:rsidP="007A3A29">
      <w:pPr>
        <w:spacing w:after="240" w:line="360" w:lineRule="auto"/>
        <w:ind w:firstLine="720"/>
        <w:jc w:val="both"/>
        <w:rPr>
          <w:rFonts w:eastAsiaTheme="minorHAnsi"/>
          <w:lang w:eastAsia="en-GB"/>
        </w:rPr>
      </w:pPr>
      <w:r w:rsidRPr="009A7163">
        <w:rPr>
          <w:rFonts w:eastAsiaTheme="minorHAnsi"/>
          <w:lang w:eastAsia="en-GB"/>
        </w:rPr>
        <w:t>The outcomes show that focusing on women’s economic empowerment (WEE) is not enough and that implementing projects that either focus on individual and/or collective empowerment are problematic if implemented in a top-down manner or without consideration of the interplay of power at different levels and the structures within which they are operating. Furthermore, there is a need to locate any understandings and measurements of empowerment in the local, national and global arena and in the context of the larger structural barriers as well as in the discourses that maintain social norms and constrain and enable empowerment initiatives.</w:t>
      </w:r>
    </w:p>
    <w:p w14:paraId="58B3C810" w14:textId="783BD343" w:rsidR="00FD4ABA" w:rsidRPr="009A7163" w:rsidRDefault="008C041F" w:rsidP="00293176">
      <w:pPr>
        <w:pStyle w:val="Heading2"/>
      </w:pPr>
      <w:bookmarkStart w:id="161" w:name="_Toc526819360"/>
      <w:r w:rsidRPr="009A7163">
        <w:rPr>
          <w:rFonts w:eastAsiaTheme="minorHAnsi"/>
          <w:lang w:val="en-GB" w:eastAsia="en-GB"/>
        </w:rPr>
        <w:t>8.2  Definition of Empowerment and Starting Point in Each Case Study</w:t>
      </w:r>
      <w:bookmarkEnd w:id="161"/>
    </w:p>
    <w:p w14:paraId="040EFBF6" w14:textId="74A92CCE"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This study understands empowerment as enmeshed in relations of power at all levels of society and it is a process that takes place within the structural constraints of institutions and discursive acts. Without such an analysis of ‘power at work’, an accumulation of accepted and/or dominant understandings of roles, relations and social spaces takes place, which can only contribute to the depoliticisation of the concept of empowerment. Empowerment includes both individual conscientization (‘</w:t>
      </w:r>
      <w:r w:rsidRPr="009A7163">
        <w:rPr>
          <w:rFonts w:eastAsiaTheme="minorHAnsi"/>
          <w:iCs/>
          <w:lang w:eastAsia="en-GB"/>
        </w:rPr>
        <w:t xml:space="preserve">power </w:t>
      </w:r>
      <w:r w:rsidRPr="009A7163">
        <w:rPr>
          <w:rFonts w:eastAsiaTheme="minorHAnsi"/>
          <w:iCs/>
          <w:lang w:eastAsia="en-GB"/>
        </w:rPr>
        <w:lastRenderedPageBreak/>
        <w:t>within’</w:t>
      </w:r>
      <w:r w:rsidRPr="009A7163">
        <w:rPr>
          <w:rFonts w:eastAsiaTheme="minorHAnsi"/>
          <w:lang w:eastAsia="en-GB"/>
        </w:rPr>
        <w:t>) as well as collective action, which can lead to politic</w:t>
      </w:r>
      <w:r w:rsidR="00C95A06" w:rsidRPr="009A7163">
        <w:rPr>
          <w:rFonts w:eastAsiaTheme="minorHAnsi"/>
          <w:lang w:eastAsia="en-GB"/>
        </w:rPr>
        <w:t>ise</w:t>
      </w:r>
      <w:r w:rsidRPr="009A7163">
        <w:rPr>
          <w:rFonts w:eastAsiaTheme="minorHAnsi"/>
          <w:lang w:eastAsia="en-GB"/>
        </w:rPr>
        <w:t>d ‘</w:t>
      </w:r>
      <w:r w:rsidRPr="009A7163">
        <w:rPr>
          <w:rFonts w:eastAsiaTheme="minorHAnsi"/>
          <w:iCs/>
          <w:lang w:eastAsia="en-GB"/>
        </w:rPr>
        <w:t>power with’</w:t>
      </w:r>
      <w:r w:rsidRPr="009A7163">
        <w:rPr>
          <w:rFonts w:eastAsiaTheme="minorHAnsi"/>
          <w:i/>
          <w:iCs/>
          <w:lang w:eastAsia="en-GB"/>
        </w:rPr>
        <w:t xml:space="preserve"> </w:t>
      </w:r>
      <w:r w:rsidRPr="009A7163">
        <w:rPr>
          <w:rFonts w:eastAsiaTheme="minorHAnsi"/>
          <w:lang w:eastAsia="en-GB"/>
        </w:rPr>
        <w:t xml:space="preserve">others </w:t>
      </w:r>
      <w:r w:rsidRPr="009A7163">
        <w:rPr>
          <w:rFonts w:eastAsiaTheme="minorHAnsi"/>
          <w:iCs/>
          <w:lang w:eastAsia="en-GB"/>
        </w:rPr>
        <w:t>to</w:t>
      </w:r>
      <w:r w:rsidRPr="009A7163">
        <w:rPr>
          <w:rFonts w:eastAsiaTheme="minorHAnsi"/>
          <w:i/>
          <w:iCs/>
          <w:lang w:eastAsia="en-GB"/>
        </w:rPr>
        <w:t xml:space="preserve"> </w:t>
      </w:r>
      <w:r w:rsidRPr="009A7163">
        <w:rPr>
          <w:rFonts w:eastAsiaTheme="minorHAnsi"/>
          <w:lang w:eastAsia="en-GB"/>
        </w:rPr>
        <w:t>bring about change</w:t>
      </w:r>
      <w:r w:rsidR="00D702E8" w:rsidRPr="009A7163">
        <w:rPr>
          <w:rFonts w:eastAsiaTheme="minorHAnsi"/>
          <w:lang w:eastAsia="en-GB"/>
        </w:rPr>
        <w:t xml:space="preserve"> as well as ‘power over’</w:t>
      </w:r>
      <w:r w:rsidRPr="009A7163">
        <w:rPr>
          <w:rFonts w:eastAsiaTheme="minorHAnsi"/>
          <w:lang w:eastAsia="en-GB"/>
        </w:rPr>
        <w:t>. Empowerment refers to the ability of individuals and groups to act on their own to achieve their self-defined goals</w:t>
      </w:r>
      <w:r w:rsidRPr="009A7163">
        <w:rPr>
          <w:rFonts w:eastAsiaTheme="minorHAnsi"/>
          <w:b/>
          <w:lang w:eastAsia="en-GB"/>
        </w:rPr>
        <w:t xml:space="preserve">. </w:t>
      </w:r>
      <w:r w:rsidRPr="009A7163">
        <w:rPr>
          <w:rFonts w:eastAsiaTheme="minorHAnsi"/>
          <w:lang w:eastAsia="en-GB"/>
        </w:rPr>
        <w:t>A process approach to empowerment interrogates not only what actions were taken (outcomes), but also how and by whom (nature of the action) (Zenz, 2000). </w:t>
      </w:r>
    </w:p>
    <w:p w14:paraId="4DE4C04B" w14:textId="7777777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Before reviewing the findings of the fieldwork with this empowerment framework, it is useful to explore how actors in each of the case studies defined their vision for the initiative. In the case of Achuapa, the cooperative’s vision states that: </w:t>
      </w:r>
    </w:p>
    <w:p w14:paraId="5BB1D25D" w14:textId="7856B303"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[T]he initiative brings together human, educational, and financial resources to improve the empowerment of women in Achuapa. The initiative uses the funds acquired in recognition of women's unpaid work initially in the sesame production chain and now extending into the coffee and other resources chain, promoted and supported by the Cooperativa Juan Francisco Paz Silva, </w:t>
      </w:r>
      <w:r w:rsidR="003F7611" w:rsidRPr="009A7163">
        <w:rPr>
          <w:rFonts w:eastAsiaTheme="minorHAnsi"/>
          <w:lang w:eastAsia="en-GB"/>
        </w:rPr>
        <w:t xml:space="preserve">Ético, </w:t>
      </w:r>
      <w:r w:rsidRPr="009A7163">
        <w:rPr>
          <w:rFonts w:eastAsiaTheme="minorHAnsi"/>
          <w:lang w:eastAsia="en-GB"/>
        </w:rPr>
        <w:t>and The Body Shop RALEIGH international. (CJFPS, 2013)</w:t>
      </w:r>
    </w:p>
    <w:p w14:paraId="4FE020D0" w14:textId="5517DD3F"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document lists 18 objectives created by the Board of Directors</w:t>
      </w:r>
      <w:r w:rsidR="00425B45" w:rsidRPr="009A7163">
        <w:rPr>
          <w:rFonts w:eastAsiaTheme="minorHAnsi"/>
          <w:lang w:eastAsia="en-GB"/>
        </w:rPr>
        <w:t xml:space="preserve"> (BOD)</w:t>
      </w:r>
      <w:r w:rsidRPr="009A7163">
        <w:rPr>
          <w:rFonts w:eastAsiaTheme="minorHAnsi"/>
          <w:lang w:eastAsia="en-GB"/>
        </w:rPr>
        <w:t xml:space="preserve"> of the Cooperative Juan Francisco Paz Silva (CJFPS), which are summarised into four overarching objectives later in the document by an external foreign intern that worked for </w:t>
      </w:r>
      <w:r w:rsidR="00425B45" w:rsidRPr="009A7163">
        <w:t>The Ethical Trade Company</w:t>
      </w:r>
      <w:r w:rsidR="00425B45" w:rsidRPr="009A7163" w:rsidDel="00425B45">
        <w:rPr>
          <w:rFonts w:eastAsiaTheme="minorHAnsi"/>
          <w:lang w:eastAsia="en-GB"/>
        </w:rPr>
        <w:t xml:space="preserve"> </w:t>
      </w:r>
      <w:r w:rsidR="00425B45" w:rsidRPr="009A7163">
        <w:rPr>
          <w:rFonts w:eastAsiaTheme="minorHAnsi"/>
          <w:lang w:eastAsia="en-GB"/>
        </w:rPr>
        <w:t>(Ético)</w:t>
      </w:r>
      <w:r w:rsidRPr="009A7163">
        <w:rPr>
          <w:rFonts w:eastAsiaTheme="minorHAnsi"/>
          <w:lang w:eastAsia="en-GB"/>
        </w:rPr>
        <w:t xml:space="preserve"> on marketing with the women (s</w:t>
      </w:r>
      <w:r w:rsidR="004D06D8" w:rsidRPr="009A7163">
        <w:rPr>
          <w:rFonts w:eastAsiaTheme="minorHAnsi"/>
          <w:lang w:eastAsia="en-GB"/>
        </w:rPr>
        <w:t>ee Appendix A</w:t>
      </w:r>
      <w:r w:rsidR="00425B45" w:rsidRPr="009A7163">
        <w:rPr>
          <w:rFonts w:eastAsiaTheme="minorHAnsi"/>
          <w:lang w:eastAsia="en-GB"/>
        </w:rPr>
        <w:t>).</w:t>
      </w:r>
      <w:r w:rsidRPr="009A7163">
        <w:rPr>
          <w:rFonts w:eastAsiaTheme="minorHAnsi"/>
          <w:lang w:eastAsia="en-GB"/>
        </w:rPr>
        <w:t xml:space="preserve"> Reflecting on the original goals of the initiative and how the decision around the price and initiative was decided upon, the head buyer in Latin America for </w:t>
      </w:r>
      <w:r w:rsidR="00425B45" w:rsidRPr="009A7163">
        <w:rPr>
          <w:rFonts w:eastAsiaTheme="minorHAnsi"/>
          <w:lang w:eastAsia="en-GB"/>
        </w:rPr>
        <w:t>The Body Shop International (</w:t>
      </w:r>
      <w:r w:rsidR="001B31D5" w:rsidRPr="009A7163">
        <w:rPr>
          <w:rFonts w:eastAsiaTheme="minorHAnsi"/>
          <w:lang w:eastAsia="en-GB"/>
        </w:rPr>
        <w:t>BSI</w:t>
      </w:r>
      <w:r w:rsidR="00425B45" w:rsidRPr="009A7163">
        <w:rPr>
          <w:rFonts w:eastAsiaTheme="minorHAnsi"/>
          <w:lang w:eastAsia="en-GB"/>
        </w:rPr>
        <w:t>)</w:t>
      </w:r>
      <w:r w:rsidRPr="009A7163">
        <w:rPr>
          <w:rFonts w:eastAsiaTheme="minorHAnsi"/>
          <w:lang w:eastAsia="en-GB"/>
        </w:rPr>
        <w:t xml:space="preserve"> at the time of this field work and key contact for the sesame supply chain said this:</w:t>
      </w:r>
    </w:p>
    <w:p w14:paraId="64579C09" w14:textId="12D2705B"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We don’t know. We know the concepts behind it but when we were looking at fair pricing and it’s a number on a spreadsheet that says women’s unpaid labour. We agreed to pay for women’s unpaid labour but we did not necessarily know what exactly that included. And again, as the money was not going to actually every individual woman to recompense for exact money paid. It was never a science. It was always recognition of the concept. Part of it was actually about getting that discussion going within the cooperative, community and the members…The coop had a discussion with </w:t>
      </w:r>
      <w:r w:rsidR="001B31D5" w:rsidRPr="009A7163">
        <w:rPr>
          <w:rFonts w:eastAsiaTheme="minorHAnsi"/>
          <w:lang w:eastAsia="en-GB"/>
        </w:rPr>
        <w:t>BSI</w:t>
      </w:r>
      <w:r w:rsidRPr="009A7163">
        <w:rPr>
          <w:rFonts w:eastAsiaTheme="minorHAnsi"/>
          <w:lang w:eastAsia="en-GB"/>
        </w:rPr>
        <w:t xml:space="preserve"> where they explained their proposal about having a fund that was available not only to members but also to wider community, the way it was present to us was that this was their proposal. So, we had a discussion about this and it seemed to be to be very fair. Smallholders have land, so already they’re better off than quite a lot of people So why should we be discriminating in terms of the premium fund allocation to only the people who have assets and then they get even more. So, I was ok with that and it fits in with </w:t>
      </w:r>
      <w:r w:rsidR="001B31D5" w:rsidRPr="009A7163">
        <w:rPr>
          <w:rFonts w:eastAsiaTheme="minorHAnsi"/>
          <w:lang w:eastAsia="en-GB"/>
        </w:rPr>
        <w:t>BSI</w:t>
      </w:r>
      <w:r w:rsidRPr="009A7163">
        <w:rPr>
          <w:rFonts w:eastAsiaTheme="minorHAnsi"/>
          <w:lang w:eastAsia="en-GB"/>
        </w:rPr>
        <w:t xml:space="preserve"> principle of the idea of Community trade.  So, the supply chain should hopefully benefit the community and this happens usually through the premium… (Expert Interview with former </w:t>
      </w:r>
      <w:r w:rsidR="00A22746" w:rsidRPr="009A7163">
        <w:rPr>
          <w:rFonts w:eastAsiaTheme="minorHAnsi"/>
          <w:lang w:eastAsia="en-GB"/>
        </w:rPr>
        <w:t>BSI</w:t>
      </w:r>
      <w:r w:rsidRPr="009A7163">
        <w:rPr>
          <w:rFonts w:eastAsiaTheme="minorHAnsi"/>
          <w:lang w:eastAsia="en-GB"/>
        </w:rPr>
        <w:t xml:space="preserve"> Head Buyer for Latin America, February 23, 2017) </w:t>
      </w:r>
    </w:p>
    <w:p w14:paraId="1009E242" w14:textId="2419EFC7" w:rsidR="00FD4ABA" w:rsidRPr="009A7163" w:rsidRDefault="00FD4ABA">
      <w:pPr>
        <w:spacing w:line="360" w:lineRule="auto"/>
        <w:ind w:firstLine="720"/>
        <w:jc w:val="both"/>
        <w:rPr>
          <w:rFonts w:eastAsiaTheme="minorHAnsi"/>
          <w:lang w:eastAsia="en-GB"/>
        </w:rPr>
      </w:pPr>
      <w:r w:rsidRPr="009A7163">
        <w:rPr>
          <w:rFonts w:eastAsiaTheme="minorHAnsi"/>
          <w:lang w:eastAsia="en-GB"/>
        </w:rPr>
        <w:lastRenderedPageBreak/>
        <w:t xml:space="preserve">The quote highlights two important points: </w:t>
      </w:r>
      <w:r w:rsidR="00425B45" w:rsidRPr="009A7163">
        <w:rPr>
          <w:rFonts w:eastAsiaTheme="minorHAnsi"/>
          <w:lang w:eastAsia="en-GB"/>
        </w:rPr>
        <w:t>F</w:t>
      </w:r>
      <w:r w:rsidRPr="009A7163">
        <w:rPr>
          <w:rFonts w:eastAsiaTheme="minorHAnsi"/>
          <w:lang w:eastAsia="en-GB"/>
        </w:rPr>
        <w:t xml:space="preserve">irst, the members of the cooperative defined their own goals both in the pricing structure, which was their idea, and the model of the initiative, i.e., it would be a revolving credit fund open to members, wives of members, and also the wider community. However, it is important to note that it was the cooperative along with the middleman </w:t>
      </w:r>
      <w:r w:rsidR="00425B45" w:rsidRPr="009A7163">
        <w:rPr>
          <w:rFonts w:eastAsiaTheme="minorHAnsi"/>
          <w:lang w:eastAsia="en-GB"/>
        </w:rPr>
        <w:t xml:space="preserve">Ético </w:t>
      </w:r>
      <w:r w:rsidRPr="009A7163">
        <w:rPr>
          <w:rFonts w:eastAsiaTheme="minorHAnsi"/>
          <w:lang w:eastAsia="en-GB"/>
        </w:rPr>
        <w:t>(not buyer) and not the intended women beneficiaries themselves that designed this. These actors also designed the model to have an individual and collective element and focused on collective empowerment (including others in the community with no link to the cooperative) as they wanted to be inclusive of community members who were not members of the cooperative and had less resources or limited access to resources.</w:t>
      </w:r>
      <w:r w:rsidR="00A22746" w:rsidRPr="009A7163">
        <w:rPr>
          <w:rFonts w:eastAsiaTheme="minorHAnsi"/>
          <w:lang w:eastAsia="en-GB"/>
        </w:rPr>
        <w:t xml:space="preserve"> </w:t>
      </w:r>
      <w:r w:rsidR="00F30CC1" w:rsidRPr="009A7163">
        <w:rPr>
          <w:rFonts w:eastAsiaTheme="minorHAnsi"/>
          <w:lang w:eastAsia="en-GB"/>
        </w:rPr>
        <w:t xml:space="preserve">The </w:t>
      </w:r>
      <w:r w:rsidR="00A22746" w:rsidRPr="009A7163">
        <w:rPr>
          <w:rFonts w:eastAsiaTheme="minorHAnsi"/>
          <w:lang w:eastAsia="en-GB"/>
        </w:rPr>
        <w:t xml:space="preserve">BSI </w:t>
      </w:r>
      <w:r w:rsidR="00F30CC1" w:rsidRPr="009A7163">
        <w:rPr>
          <w:rFonts w:eastAsiaTheme="minorHAnsi"/>
          <w:lang w:eastAsia="en-GB"/>
        </w:rPr>
        <w:t>Head B</w:t>
      </w:r>
      <w:r w:rsidR="00843D50" w:rsidRPr="009A7163">
        <w:rPr>
          <w:rFonts w:eastAsiaTheme="minorHAnsi"/>
          <w:lang w:eastAsia="en-GB"/>
        </w:rPr>
        <w:t>uyer also mentions an important point</w:t>
      </w:r>
      <w:r w:rsidR="00250728" w:rsidRPr="009A7163">
        <w:rPr>
          <w:rFonts w:eastAsiaTheme="minorHAnsi"/>
          <w:lang w:eastAsia="en-GB"/>
        </w:rPr>
        <w:t xml:space="preserve"> – fair pay for farm workers –</w:t>
      </w:r>
      <w:r w:rsidR="00843D50" w:rsidRPr="009A7163">
        <w:rPr>
          <w:rFonts w:eastAsiaTheme="minorHAnsi"/>
          <w:lang w:eastAsia="en-GB"/>
        </w:rPr>
        <w:t xml:space="preserve"> </w:t>
      </w:r>
      <w:r w:rsidR="00250728" w:rsidRPr="009A7163">
        <w:rPr>
          <w:rFonts w:eastAsiaTheme="minorHAnsi"/>
          <w:lang w:eastAsia="en-GB"/>
        </w:rPr>
        <w:t xml:space="preserve">that </w:t>
      </w:r>
      <w:r w:rsidR="00843D50" w:rsidRPr="009A7163">
        <w:rPr>
          <w:rFonts w:eastAsiaTheme="minorHAnsi"/>
          <w:lang w:eastAsia="en-GB"/>
        </w:rPr>
        <w:t xml:space="preserve">neither the study </w:t>
      </w:r>
      <w:r w:rsidR="00250728" w:rsidRPr="009A7163">
        <w:rPr>
          <w:rFonts w:eastAsiaTheme="minorHAnsi"/>
          <w:lang w:eastAsia="en-GB"/>
        </w:rPr>
        <w:t>n</w:t>
      </w:r>
      <w:r w:rsidR="00843D50" w:rsidRPr="009A7163">
        <w:rPr>
          <w:rFonts w:eastAsiaTheme="minorHAnsi"/>
          <w:lang w:eastAsia="en-GB"/>
        </w:rPr>
        <w:t>or pricin</w:t>
      </w:r>
      <w:r w:rsidR="001D0CA4" w:rsidRPr="009A7163">
        <w:rPr>
          <w:rFonts w:eastAsiaTheme="minorHAnsi"/>
          <w:lang w:eastAsia="en-GB"/>
        </w:rPr>
        <w:t xml:space="preserve">g initiative really </w:t>
      </w:r>
      <w:r w:rsidR="00250728" w:rsidRPr="009A7163">
        <w:rPr>
          <w:rFonts w:eastAsiaTheme="minorHAnsi"/>
          <w:lang w:eastAsia="en-GB"/>
        </w:rPr>
        <w:t>addresses</w:t>
      </w:r>
      <w:r w:rsidR="00843D50" w:rsidRPr="009A7163">
        <w:rPr>
          <w:rFonts w:eastAsiaTheme="minorHAnsi"/>
          <w:lang w:eastAsia="en-GB"/>
        </w:rPr>
        <w:t>.</w:t>
      </w:r>
    </w:p>
    <w:p w14:paraId="6639C169" w14:textId="6D0906A5"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However, it is important to note that the proposal was created largely by male board members along with the male director of</w:t>
      </w:r>
      <w:r w:rsidR="00425B45" w:rsidRPr="009A7163">
        <w:rPr>
          <w:rFonts w:eastAsiaTheme="minorHAnsi"/>
          <w:lang w:eastAsia="en-GB"/>
        </w:rPr>
        <w:t xml:space="preserve"> Ético</w:t>
      </w:r>
      <w:r w:rsidRPr="009A7163">
        <w:rPr>
          <w:rFonts w:eastAsiaTheme="minorHAnsi"/>
          <w:lang w:eastAsia="en-GB"/>
        </w:rPr>
        <w:t>. The women were not involved in the design, the creation of the fund or its management. The definition of empowerment refers to ‘the ability of individuals and groups to act on their own to achieve their self-defined goal’</w:t>
      </w:r>
      <w:r w:rsidR="00425B45" w:rsidRPr="009A7163">
        <w:rPr>
          <w:rFonts w:eastAsiaTheme="minorHAnsi"/>
          <w:lang w:eastAsia="en-GB"/>
        </w:rPr>
        <w:t>. I</w:t>
      </w:r>
      <w:r w:rsidRPr="009A7163">
        <w:rPr>
          <w:rFonts w:eastAsiaTheme="minorHAnsi"/>
          <w:lang w:eastAsia="en-GB"/>
        </w:rPr>
        <w:t>n this case this was the male leaders of the cooperative and not the women participants. In a number of interviews, the women asked why the money could not be paid to them individually since it was a recognition of their</w:t>
      </w:r>
      <w:r w:rsidRPr="009A7163">
        <w:rPr>
          <w:rFonts w:eastAsiaTheme="minorHAnsi"/>
          <w:i/>
          <w:lang w:eastAsia="en-GB"/>
        </w:rPr>
        <w:t xml:space="preserve"> </w:t>
      </w:r>
      <w:r w:rsidRPr="009A7163">
        <w:rPr>
          <w:rFonts w:eastAsiaTheme="minorHAnsi"/>
          <w:lang w:eastAsia="en-GB"/>
        </w:rPr>
        <w:t>work. This echoes a criticism by</w:t>
      </w:r>
      <w:r w:rsidR="00575926" w:rsidRPr="009A7163">
        <w:rPr>
          <w:rFonts w:eastAsiaTheme="minorHAnsi"/>
          <w:lang w:eastAsia="en-GB"/>
        </w:rPr>
        <w:t xml:space="preserve"> Geni Gomez,</w:t>
      </w:r>
      <w:r w:rsidRPr="009A7163">
        <w:rPr>
          <w:rFonts w:eastAsiaTheme="minorHAnsi"/>
          <w:lang w:eastAsia="en-GB"/>
        </w:rPr>
        <w:t xml:space="preserve"> a feminist activist and educator at Grupo Venancia, a nationally recogn</w:t>
      </w:r>
      <w:r w:rsidR="00C95A06" w:rsidRPr="009A7163">
        <w:rPr>
          <w:rFonts w:eastAsiaTheme="minorHAnsi"/>
          <w:lang w:eastAsia="en-GB"/>
        </w:rPr>
        <w:t>ise</w:t>
      </w:r>
      <w:r w:rsidRPr="009A7163">
        <w:rPr>
          <w:rFonts w:eastAsiaTheme="minorHAnsi"/>
          <w:lang w:eastAsia="en-GB"/>
        </w:rPr>
        <w:t xml:space="preserve">d feminist organization, who argued: </w:t>
      </w:r>
    </w:p>
    <w:p w14:paraId="50BDC544"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It would seem [from the name and message] that the fund is paying for the woman’s unpaid work but it’s not actually paying that person and furthermore there’s a condition that you have to work and do collective work to access the fund that’s being paid retrospectively for your work! If the fund was called a donation or something else, it would be much better and more transparent. However, if it’s a fund that’s comes from the women’s unpaid work and is meant to value this work, it seems like a potentially good idea that’s backfired (turns the tables on the women) (Expert Interview with feminist activist and educator at Grupo Venancia, March 19, 2016)</w:t>
      </w:r>
    </w:p>
    <w:p w14:paraId="2EF1B124" w14:textId="0E50CA67" w:rsidR="003F7611"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The head buyer for the initiative at the time argued (as quoted above) that although the payment mechanism from its inception was unclear, it generated discussions about unpaid work that most importantly brought about important shifts in the way that participants thought about their unpaid work and their participation in general. The women did report a certain amount of involvement in decision making when consulted on what they wanted to do with the premium payment. So, when extra </w:t>
      </w:r>
      <w:r w:rsidRPr="009A7163">
        <w:rPr>
          <w:rFonts w:eastAsiaTheme="minorHAnsi"/>
          <w:lang w:eastAsia="en-GB"/>
        </w:rPr>
        <w:lastRenderedPageBreak/>
        <w:t>funds were made available through funding from the British Embassy to support their economic endeavours, the women voted for certain types of vocational training in order to develop their own businesses.</w:t>
      </w:r>
      <w:r w:rsidRPr="009A7163">
        <w:rPr>
          <w:rFonts w:eastAsiaTheme="minorHAnsi"/>
          <w:vertAlign w:val="superscript"/>
          <w:lang w:eastAsia="en-GB"/>
        </w:rPr>
        <w:footnoteReference w:id="123"/>
      </w:r>
      <w:r w:rsidRPr="009A7163">
        <w:rPr>
          <w:rFonts w:eastAsiaTheme="minorHAnsi"/>
          <w:lang w:eastAsia="en-GB"/>
        </w:rPr>
        <w:t xml:space="preserve"> The funding was used to develop small businesses selling dairy products, cakes for special occasions, bread, handicrafts, natural medicines and to build eco-efficient ovens to bake goods for sale locally. Whilst these can be critiqued for entrenching gender roles and maintaining women in the realm of the house, the business choices were made by the women, even though again it could be argued that these choices were governed by social norms. (This complexity around choice and adaptive preferences will be discussed later in the chapter.) The representative of Grupo Venancia concluded that, </w:t>
      </w:r>
    </w:p>
    <w:p w14:paraId="7EDD5A67" w14:textId="56123C2A" w:rsidR="003F7611" w:rsidRPr="009A7163" w:rsidRDefault="00FD4ABA" w:rsidP="00293176">
      <w:pPr>
        <w:spacing w:after="180"/>
        <w:ind w:left="720"/>
        <w:jc w:val="both"/>
        <w:rPr>
          <w:rFonts w:eastAsiaTheme="minorHAnsi"/>
          <w:lang w:eastAsia="en-GB"/>
        </w:rPr>
      </w:pPr>
      <w:r w:rsidRPr="009A7163">
        <w:rPr>
          <w:rFonts w:eastAsiaTheme="minorHAnsi"/>
          <w:lang w:eastAsia="en-GB"/>
        </w:rPr>
        <w:t>It’s going back to the most traditional type of project…from an initiative that was innovative in its proposition it</w:t>
      </w:r>
      <w:r w:rsidR="003F7611" w:rsidRPr="009A7163">
        <w:rPr>
          <w:rFonts w:eastAsiaTheme="minorHAnsi"/>
          <w:lang w:eastAsia="en-GB"/>
        </w:rPr>
        <w:t>’</w:t>
      </w:r>
      <w:r w:rsidRPr="009A7163">
        <w:rPr>
          <w:rFonts w:eastAsiaTheme="minorHAnsi"/>
          <w:lang w:eastAsia="en-GB"/>
        </w:rPr>
        <w:t>s unfortunately being converted back to the most traditional in design and implementation with women undertaking house based typically ‘feminine’ enterprises and only being offered small loans for women</w:t>
      </w:r>
      <w:r w:rsidR="003F7611" w:rsidRPr="009A7163">
        <w:rPr>
          <w:rFonts w:eastAsiaTheme="minorHAnsi"/>
          <w:lang w:eastAsia="en-GB"/>
        </w:rPr>
        <w:t>.</w:t>
      </w:r>
      <w:r w:rsidRPr="009A7163">
        <w:rPr>
          <w:rFonts w:eastAsiaTheme="minorHAnsi"/>
          <w:lang w:eastAsia="en-GB"/>
        </w:rPr>
        <w:t xml:space="preserve"> (Expert Interview, March 19, 2016). </w:t>
      </w:r>
    </w:p>
    <w:p w14:paraId="1B459FAA" w14:textId="0CE22AEA" w:rsidR="00FD4ABA" w:rsidRPr="009A7163" w:rsidRDefault="00FD4ABA" w:rsidP="00293176">
      <w:pPr>
        <w:spacing w:line="360" w:lineRule="auto"/>
        <w:jc w:val="both"/>
        <w:rPr>
          <w:rFonts w:eastAsiaTheme="minorHAnsi"/>
          <w:lang w:eastAsia="en-GB"/>
        </w:rPr>
      </w:pPr>
      <w:r w:rsidRPr="009A7163">
        <w:rPr>
          <w:rFonts w:eastAsiaTheme="minorHAnsi"/>
          <w:lang w:eastAsia="en-GB"/>
        </w:rPr>
        <w:t>Even the manager of CJFPS in Achuapa agreed that reform was necessary, stating:</w:t>
      </w:r>
    </w:p>
    <w:p w14:paraId="590B0E0E"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I think we need to think more in the how the initiative is run. We have to evaluate the groups. Some are doing well and are really active and others not, and I think this has a lot to do with leadership. We need to do more developmental work with the group and do leadership training. I think we also need to think about bigger funds and enterprises…we’ve [the women] kept with </w:t>
      </w:r>
      <w:r w:rsidRPr="009A7163">
        <w:rPr>
          <w:rFonts w:eastAsiaTheme="minorHAnsi"/>
          <w:i/>
          <w:lang w:eastAsia="en-GB"/>
        </w:rPr>
        <w:t>las rosquiiltas</w:t>
      </w:r>
      <w:r w:rsidRPr="009A7163">
        <w:rPr>
          <w:rFonts w:eastAsiaTheme="minorHAnsi"/>
          <w:lang w:eastAsia="en-GB"/>
        </w:rPr>
        <w:t xml:space="preserve"> (biscuits), making soup, handicrafts, and it’s not offering much. It’s quite limiting and its always related to the typical work of women, the stereotypes. (Expert Interview, January 8, 2015)</w:t>
      </w:r>
    </w:p>
    <w:p w14:paraId="18270C00" w14:textId="7777777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One woman from the case study in Achuapa echoed this idea of thinking bigger and wanting more sizable loans, stating:</w:t>
      </w:r>
    </w:p>
    <w:p w14:paraId="2D041878"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God willing (</w:t>
      </w:r>
      <w:r w:rsidRPr="009A7163">
        <w:rPr>
          <w:rFonts w:eastAsiaTheme="minorHAnsi"/>
          <w:i/>
          <w:lang w:eastAsia="en-GB"/>
        </w:rPr>
        <w:t>si dios quiere</w:t>
      </w:r>
      <w:r w:rsidRPr="009A7163">
        <w:rPr>
          <w:rFonts w:eastAsiaTheme="minorHAnsi"/>
          <w:lang w:eastAsia="en-GB"/>
        </w:rPr>
        <w:t>)</w:t>
      </w:r>
      <w:r w:rsidRPr="009A7163">
        <w:rPr>
          <w:rFonts w:eastAsiaTheme="minorHAnsi"/>
          <w:vertAlign w:val="superscript"/>
          <w:lang w:eastAsia="en-GB"/>
        </w:rPr>
        <w:footnoteReference w:id="124"/>
      </w:r>
      <w:r w:rsidRPr="009A7163">
        <w:rPr>
          <w:rFonts w:eastAsiaTheme="minorHAnsi"/>
          <w:lang w:eastAsia="en-GB"/>
        </w:rPr>
        <w:t xml:space="preserve"> and if he gives me life, I imagine having our own money to work a collective fund for the women which we could eventually use as a guarantee to access large loans. I dream of us getting 50,000 cordobas and I tell the women in my group, if we work hard collectively, we can achieve this and then finally we will have our own fund that will be ours. (Interview, female, 45–54 years old, married, member, non-producer, 3–6 years in the initiative) </w:t>
      </w:r>
    </w:p>
    <w:p w14:paraId="112B7D7A" w14:textId="737F5C3F"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This quote demonstrates changes in the women and their ‘capacity to aspire’ Appadurai (2004), for their own fund. The ‘capacity to aspire’ is an important part of </w:t>
      </w:r>
      <w:r w:rsidRPr="009A7163">
        <w:rPr>
          <w:rFonts w:eastAsiaTheme="minorHAnsi"/>
          <w:lang w:eastAsia="en-GB"/>
        </w:rPr>
        <w:lastRenderedPageBreak/>
        <w:t>psychological dimension of empowerment that is the least studied in the empowerment literature.</w:t>
      </w:r>
      <w:r w:rsidRPr="009A7163">
        <w:rPr>
          <w:rFonts w:eastAsiaTheme="minorHAnsi"/>
          <w:vertAlign w:val="superscript"/>
          <w:lang w:eastAsia="en-GB"/>
        </w:rPr>
        <w:footnoteReference w:id="125"/>
      </w:r>
      <w:r w:rsidRPr="009A7163">
        <w:rPr>
          <w:rFonts w:eastAsiaTheme="minorHAnsi"/>
          <w:lang w:eastAsia="en-GB"/>
        </w:rPr>
        <w:t xml:space="preserve"> The ‘capacity to aspire’ is defined as the forward-looking capacity of individuals and groups to envision alternatives and to aspire to different and better futures (Narayan, 2005, p.</w:t>
      </w:r>
      <w:r w:rsidR="00477330" w:rsidRPr="009A7163">
        <w:rPr>
          <w:rFonts w:eastAsiaTheme="minorHAnsi"/>
          <w:lang w:eastAsia="en-GB"/>
        </w:rPr>
        <w:t xml:space="preserve"> </w:t>
      </w:r>
      <w:r w:rsidRPr="009A7163">
        <w:rPr>
          <w:rFonts w:eastAsiaTheme="minorHAnsi"/>
          <w:lang w:eastAsia="en-GB"/>
        </w:rPr>
        <w:t>21). If a person cannot conceive of better times, he or she is unlikely to take action toward that end. Generating the capacity to envision a different future is therefore an important part of interventions and solidarity movements. Martha Nussbaum’s (2000) term ‘adaptive preference’, which will be touched on later in the chapter, captures a similar phenomenon, one in which marginal</w:t>
      </w:r>
      <w:r w:rsidR="00C95A06" w:rsidRPr="009A7163">
        <w:rPr>
          <w:rFonts w:eastAsiaTheme="minorHAnsi"/>
          <w:lang w:eastAsia="en-GB"/>
        </w:rPr>
        <w:t>ise</w:t>
      </w:r>
      <w:r w:rsidRPr="009A7163">
        <w:rPr>
          <w:rFonts w:eastAsiaTheme="minorHAnsi"/>
          <w:lang w:eastAsia="en-GB"/>
        </w:rPr>
        <w:t>d groups internal</w:t>
      </w:r>
      <w:r w:rsidR="00C95A06" w:rsidRPr="009A7163">
        <w:rPr>
          <w:rFonts w:eastAsiaTheme="minorHAnsi"/>
          <w:lang w:eastAsia="en-GB"/>
        </w:rPr>
        <w:t>ise</w:t>
      </w:r>
      <w:r w:rsidRPr="009A7163">
        <w:rPr>
          <w:rFonts w:eastAsiaTheme="minorHAnsi"/>
          <w:lang w:eastAsia="en-GB"/>
        </w:rPr>
        <w:t xml:space="preserve"> low possibilities for themselves because of their life experiences (Narayan, 2005, p. 21). </w:t>
      </w:r>
    </w:p>
    <w:p w14:paraId="4C79688B" w14:textId="2C135AD2"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In the case of San Ramón, the situation was very different and there was no documentation to review. The model from Achuapa had been presented to the cooperatives in the San Ramón case study via </w:t>
      </w:r>
      <w:r w:rsidR="00477330" w:rsidRPr="009A7163">
        <w:rPr>
          <w:rFonts w:eastAsiaTheme="minorHAnsi"/>
          <w:lang w:eastAsia="en-GB"/>
        </w:rPr>
        <w:t>Ético</w:t>
      </w:r>
      <w:r w:rsidR="00477330" w:rsidRPr="009A7163" w:rsidDel="00477330">
        <w:rPr>
          <w:rFonts w:eastAsiaTheme="minorHAnsi"/>
          <w:lang w:eastAsia="en-GB"/>
        </w:rPr>
        <w:t xml:space="preserve"> </w:t>
      </w:r>
      <w:r w:rsidRPr="009A7163">
        <w:rPr>
          <w:rFonts w:eastAsiaTheme="minorHAnsi"/>
          <w:lang w:eastAsia="en-GB"/>
        </w:rPr>
        <w:t xml:space="preserve">(middleman) along with the Community Agroecology Network (CAN; </w:t>
      </w:r>
      <w:r w:rsidR="00477330" w:rsidRPr="009A7163">
        <w:rPr>
          <w:rFonts w:eastAsiaTheme="minorHAnsi"/>
          <w:lang w:eastAsia="en-GB"/>
        </w:rPr>
        <w:t>nongovernment organization</w:t>
      </w:r>
      <w:r w:rsidRPr="009A7163">
        <w:rPr>
          <w:rFonts w:eastAsiaTheme="minorHAnsi"/>
          <w:lang w:eastAsia="en-GB"/>
        </w:rPr>
        <w:t xml:space="preserve"> and supplier/middleman) who acts on behalf of a buyer in Santa Cruz.</w:t>
      </w:r>
      <w:r w:rsidRPr="009A7163">
        <w:rPr>
          <w:rFonts w:eastAsiaTheme="minorHAnsi"/>
          <w:vertAlign w:val="superscript"/>
          <w:lang w:eastAsia="en-GB"/>
        </w:rPr>
        <w:footnoteReference w:id="126"/>
      </w:r>
      <w:r w:rsidRPr="009A7163">
        <w:rPr>
          <w:rFonts w:eastAsiaTheme="minorHAnsi"/>
          <w:lang w:eastAsia="en-GB"/>
        </w:rPr>
        <w:t xml:space="preserve"> The model was offered to the cooperative in a sales meeting and agreed upon during a phone call in the cooperative manager’s office where </w:t>
      </w:r>
      <w:r w:rsidR="00477330" w:rsidRPr="009A7163">
        <w:rPr>
          <w:rFonts w:eastAsiaTheme="minorHAnsi"/>
          <w:lang w:eastAsia="en-GB"/>
        </w:rPr>
        <w:t>Ético</w:t>
      </w:r>
      <w:r w:rsidR="00477330" w:rsidRPr="009A7163" w:rsidDel="00477330">
        <w:rPr>
          <w:rFonts w:eastAsiaTheme="minorHAnsi"/>
          <w:lang w:eastAsia="en-GB"/>
        </w:rPr>
        <w:t xml:space="preserve"> </w:t>
      </w:r>
      <w:r w:rsidRPr="009A7163">
        <w:rPr>
          <w:rFonts w:eastAsiaTheme="minorHAnsi"/>
          <w:lang w:eastAsia="en-GB"/>
        </w:rPr>
        <w:t xml:space="preserve"> was acting as an intermediary and translator. In the phone call, </w:t>
      </w:r>
      <w:r w:rsidR="00477330" w:rsidRPr="009A7163">
        <w:rPr>
          <w:rFonts w:eastAsiaTheme="minorHAnsi"/>
          <w:lang w:eastAsia="en-GB"/>
        </w:rPr>
        <w:t>Ético</w:t>
      </w:r>
      <w:r w:rsidR="00477330" w:rsidRPr="009A7163" w:rsidDel="00477330">
        <w:rPr>
          <w:rFonts w:eastAsiaTheme="minorHAnsi"/>
          <w:lang w:eastAsia="en-GB"/>
        </w:rPr>
        <w:t xml:space="preserve"> </w:t>
      </w:r>
      <w:r w:rsidRPr="009A7163">
        <w:rPr>
          <w:rFonts w:eastAsiaTheme="minorHAnsi"/>
          <w:lang w:eastAsia="en-GB"/>
        </w:rPr>
        <w:t>founder and director sealed the deal for the contracts for the next harvest and secured a premium to pay for the recognition of women’s unpaid work based on the Achuapa model which he managed at the time of this research. The UCA San Ramón gender coordinator</w:t>
      </w:r>
      <w:r w:rsidR="00497235" w:rsidRPr="009A7163">
        <w:rPr>
          <w:rFonts w:eastAsiaTheme="minorHAnsi"/>
          <w:lang w:eastAsia="en-GB"/>
        </w:rPr>
        <w:t>, Yadira Montenegro</w:t>
      </w:r>
      <w:r w:rsidR="00477330" w:rsidRPr="009A7163">
        <w:rPr>
          <w:rFonts w:eastAsiaTheme="minorHAnsi"/>
          <w:lang w:eastAsia="en-GB"/>
        </w:rPr>
        <w:t>,</w:t>
      </w:r>
      <w:r w:rsidRPr="009A7163">
        <w:rPr>
          <w:rFonts w:eastAsiaTheme="minorHAnsi"/>
          <w:lang w:eastAsia="en-GB"/>
        </w:rPr>
        <w:t xml:space="preserve"> explained further:</w:t>
      </w:r>
    </w:p>
    <w:p w14:paraId="68AC7150"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This was a direct policy from the buyers. So, when CAN came to visit, we got all the women together and said this is the objective of unpaid work premium and presented the model, but it had already been decided upon from there [by the buyer]. So, when we had the discussion here to define and clarify how it was going to work, we had the buyer, our president and manager, and the cooperative altogether in the meeting with the women at the cooperative. However, prior to the meeting they had already spoken with the buyer. They had called the buyer in Santa Cruz and negotiated that they’d pay more for the coffee to recognise the women’s unpaid work, however, on the condition that </w:t>
      </w:r>
      <w:r w:rsidRPr="009A7163">
        <w:rPr>
          <w:rFonts w:eastAsiaTheme="minorHAnsi"/>
          <w:lang w:eastAsia="en-GB"/>
        </w:rPr>
        <w:lastRenderedPageBreak/>
        <w:t>the money would be used to empower women. So, the money was used for a collective fund. Why? Well if you give it directly to the women, they’ll take it and spend it on anything. They’ll use it to cover their necessities, the basic day to day costs, and well, if it’s used collectively, you can work with an idea and generate something and so they [the women] decided to use the money collectively. (Expert Interview, May 9, 2016).</w:t>
      </w:r>
    </w:p>
    <w:p w14:paraId="3A83FB94" w14:textId="7777777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Here the gender coordinator finished by saying that the women chose to use it collectively. In the interviews and focus groups, the women felt differently and some expressed the preference to receive the money individually and were frustrated and upset by how poorly managed the fund was in practice. In one of the focus groups in La Pita-San Ramón (March 4, 2015), the women stated that they felt the cooperative mistrusted them and did not support them to collectively manage their own funds. They had proposed to set up their own bank account in order to decide on the funds, but this had been met by constant opposition. They also reported that money was discharged to them late and they had been told ‘funds were not available’ at certain times. One women stated:</w:t>
      </w:r>
    </w:p>
    <w:p w14:paraId="74573DB8"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I want to ask you now that we’re here in this interview, I’ve got a doubt…we all want to know if this is fund for women, why can’t it be individual? We’ve had to take the money as a loan because the gender coordinator said if we just got paid [for our unpaid work], we’d spend it on shoes and we wouldn’t do anything and then the money would be gone. The problem is we receive a one-year loan for coffee that takes three years before its first harvest. We have to pay the loan at the end of this harvest, but our trees haven’t produced anything. I just think they’ve got it wrong…because even when we do pay, they [the cooperative] take a long to pay us the loan again and so we now there’s a lack of trust because for some we have had to pay our loan back with no guarantee of more because it always seems that they send our money elsewhere and that its given to other women so that they can work.  It’s not right. You see I may not have the money in the first place to pay back the original loan and may have taken out another loan from somewhere else to payback the cooperative and to receive what? Nothing in the end…they money is not to be seen. (Participant in La Pita Focus Group, March 4, 2015)</w:t>
      </w:r>
    </w:p>
    <w:p w14:paraId="3987E310" w14:textId="7D8FF823" w:rsidR="003F7611" w:rsidRPr="009A7163" w:rsidRDefault="00FD4ABA" w:rsidP="008C041F">
      <w:pPr>
        <w:spacing w:line="360" w:lineRule="auto"/>
        <w:ind w:firstLine="720"/>
        <w:jc w:val="both"/>
        <w:rPr>
          <w:rFonts w:eastAsiaTheme="minorHAnsi"/>
          <w:lang w:eastAsia="en-GB"/>
        </w:rPr>
      </w:pPr>
      <w:r w:rsidRPr="009A7163">
        <w:rPr>
          <w:rFonts w:eastAsiaTheme="minorHAnsi"/>
          <w:lang w:eastAsia="en-GB"/>
        </w:rPr>
        <w:t>In this same cooperative, the funds to recogn</w:t>
      </w:r>
      <w:r w:rsidR="00C95A06" w:rsidRPr="009A7163">
        <w:rPr>
          <w:rFonts w:eastAsiaTheme="minorHAnsi"/>
          <w:lang w:eastAsia="en-GB"/>
        </w:rPr>
        <w:t>ise</w:t>
      </w:r>
      <w:r w:rsidRPr="009A7163">
        <w:rPr>
          <w:rFonts w:eastAsiaTheme="minorHAnsi"/>
          <w:lang w:eastAsia="en-GB"/>
        </w:rPr>
        <w:t xml:space="preserve"> the women’s unpaid work had been made available for a project that CAN had suggested and which was to the buyer’s benefit. The women were encouraged to use funds to at first make organic fertil</w:t>
      </w:r>
      <w:r w:rsidR="00C95A06" w:rsidRPr="009A7163">
        <w:rPr>
          <w:rFonts w:eastAsiaTheme="minorHAnsi"/>
          <w:lang w:eastAsia="en-GB"/>
        </w:rPr>
        <w:t>ise</w:t>
      </w:r>
      <w:r w:rsidRPr="009A7163">
        <w:rPr>
          <w:rFonts w:eastAsiaTheme="minorHAnsi"/>
          <w:lang w:eastAsia="en-GB"/>
        </w:rPr>
        <w:t xml:space="preserve">rs and later grow organic coffee, which was a buyer-driven goal and not something that the women had defined themselves. The buyer and counterpart, CAN, have noted the women’s involvement in the branded coffee as an achievement and indicator of </w:t>
      </w:r>
      <w:r w:rsidRPr="009A7163">
        <w:rPr>
          <w:rFonts w:eastAsiaTheme="minorHAnsi"/>
          <w:lang w:eastAsia="en-GB"/>
        </w:rPr>
        <w:lastRenderedPageBreak/>
        <w:t>success.</w:t>
      </w:r>
      <w:r w:rsidRPr="009A7163">
        <w:rPr>
          <w:rFonts w:eastAsiaTheme="minorHAnsi"/>
          <w:vertAlign w:val="superscript"/>
          <w:lang w:eastAsia="en-GB"/>
        </w:rPr>
        <w:footnoteReference w:id="127"/>
      </w:r>
      <w:r w:rsidRPr="009A7163">
        <w:rPr>
          <w:rFonts w:eastAsiaTheme="minorHAnsi"/>
          <w:lang w:eastAsia="en-GB"/>
        </w:rPr>
        <w:t xml:space="preserve"> The UCA San Ramón gender coordinator also made an interesting point about the revolving credit fund, stating that, </w:t>
      </w:r>
    </w:p>
    <w:p w14:paraId="51E7BDB2" w14:textId="38FFF27E"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[T]he men would never agree to be in a small fund and project like this. They’re used to working big…they want money to work on 2–3 </w:t>
      </w:r>
      <w:r w:rsidRPr="009A7163">
        <w:rPr>
          <w:rFonts w:eastAsiaTheme="minorHAnsi"/>
          <w:i/>
          <w:lang w:eastAsia="en-GB"/>
        </w:rPr>
        <w:t>manzanas</w:t>
      </w:r>
      <w:r w:rsidRPr="009A7163">
        <w:rPr>
          <w:rFonts w:eastAsiaTheme="minorHAnsi"/>
          <w:lang w:eastAsia="en-GB"/>
        </w:rPr>
        <w:t xml:space="preserve"> of land. That’s why we started working with the women initially on the organic fertil</w:t>
      </w:r>
      <w:r w:rsidR="00C95A06" w:rsidRPr="009A7163">
        <w:rPr>
          <w:rFonts w:eastAsiaTheme="minorHAnsi"/>
          <w:lang w:eastAsia="en-GB"/>
        </w:rPr>
        <w:t>ise</w:t>
      </w:r>
      <w:r w:rsidRPr="009A7163">
        <w:rPr>
          <w:rFonts w:eastAsiaTheme="minorHAnsi"/>
          <w:lang w:eastAsia="en-GB"/>
        </w:rPr>
        <w:t>rs as the men were not interested</w:t>
      </w:r>
      <w:r w:rsidR="003F7611" w:rsidRPr="009A7163">
        <w:rPr>
          <w:rFonts w:eastAsiaTheme="minorHAnsi"/>
          <w:lang w:eastAsia="en-GB"/>
        </w:rPr>
        <w:t>.</w:t>
      </w:r>
      <w:r w:rsidRPr="009A7163">
        <w:rPr>
          <w:rFonts w:eastAsiaTheme="minorHAnsi"/>
          <w:lang w:eastAsia="en-GB"/>
        </w:rPr>
        <w:t xml:space="preserve"> (Expert Interview, January 14, 2016)</w:t>
      </w:r>
    </w:p>
    <w:p w14:paraId="42652743" w14:textId="7777777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In the case of the other cooperative that forms part of the San Ramón case study, after three years since its inception, the cooperative and women have still not come to a consensus on how to use the fund. The UCA San Ramón gender coordinator explained:</w:t>
      </w:r>
    </w:p>
    <w:p w14:paraId="3DA007C3" w14:textId="4E06AB62"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In the case of the cooperative in La Reina, they’ve been discussing and analysing and we’re still looking at what we’ll do with the fund because we don’t exactly know what collective activity the women will do. They’ve made a proposal to work with basic grains. They want us to individually finance them for a </w:t>
      </w:r>
      <w:r w:rsidRPr="009A7163">
        <w:rPr>
          <w:rFonts w:eastAsiaTheme="minorHAnsi"/>
          <w:i/>
          <w:lang w:eastAsia="en-GB"/>
        </w:rPr>
        <w:t>manzana</w:t>
      </w:r>
      <w:r w:rsidRPr="009A7163">
        <w:rPr>
          <w:rFonts w:eastAsiaTheme="minorHAnsi"/>
          <w:lang w:eastAsia="en-GB"/>
        </w:rPr>
        <w:t xml:space="preserve"> [1.74 acres] of land, but this is not the objective of the fund. Its objective is that it has to be collective, that it generates money for the women, and that they become empowered. If you finance each woman to work on a plot of land to grow basic grains, you’re not going to empower the women in any way because it’s too risky because of climate change and so on. And anyway, women will always find a way to grow corn with financing or not because it’s part of their subsistence.  So, what’s the point of giving them corn, financing corn – plus it’s not something that is going to be profitable?! If they said, “We want to install a corn processor to make corn based drinks to sell” that would be different. So until they sort out their ideas and come up with something that is convincing to us, that will empower them, that will help them financially, and help them to stay organ</w:t>
      </w:r>
      <w:r w:rsidR="00C95A06" w:rsidRPr="009A7163">
        <w:rPr>
          <w:rFonts w:eastAsiaTheme="minorHAnsi"/>
          <w:lang w:eastAsia="en-GB"/>
        </w:rPr>
        <w:t>ise</w:t>
      </w:r>
      <w:r w:rsidRPr="009A7163">
        <w:rPr>
          <w:rFonts w:eastAsiaTheme="minorHAnsi"/>
          <w:lang w:eastAsia="en-GB"/>
        </w:rPr>
        <w:t>d as a group, we’re not going to agree to anything or take any steps forward. (Expert Interview, January 14, 2016)</w:t>
      </w:r>
    </w:p>
    <w:p w14:paraId="3F569630" w14:textId="172F4C5B"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Later it was reported that the premium for the first harvest was used to fund a women-run coffee shop,</w:t>
      </w:r>
      <w:r w:rsidRPr="009A7163">
        <w:rPr>
          <w:rFonts w:eastAsiaTheme="minorHAnsi"/>
          <w:vertAlign w:val="superscript"/>
          <w:lang w:eastAsia="en-GB"/>
        </w:rPr>
        <w:footnoteReference w:id="128"/>
      </w:r>
      <w:r w:rsidRPr="009A7163">
        <w:rPr>
          <w:rFonts w:eastAsiaTheme="minorHAnsi"/>
          <w:lang w:eastAsia="en-GB"/>
        </w:rPr>
        <w:t xml:space="preserve"> a project managed by CAN (and in part funded by the same buyer in Santa Cruz), but since then no further decisions have been made about how to use the funds. The UCA San Ramón gender coordinator also reported that no payments have been made in the last two years due to low coffee sales because of the coffee rust crisis</w:t>
      </w:r>
      <w:r w:rsidR="009A0D48" w:rsidRPr="009A7163">
        <w:rPr>
          <w:rFonts w:eastAsiaTheme="minorHAnsi"/>
          <w:lang w:eastAsia="en-GB"/>
        </w:rPr>
        <w:t>.</w:t>
      </w:r>
      <w:r w:rsidR="00B72871" w:rsidRPr="009A7163">
        <w:rPr>
          <w:rFonts w:eastAsiaTheme="minorHAnsi"/>
          <w:lang w:eastAsia="en-GB"/>
        </w:rPr>
        <w:t xml:space="preserve"> so there was no premium</w:t>
      </w:r>
      <w:r w:rsidRPr="009A7163">
        <w:rPr>
          <w:rFonts w:eastAsiaTheme="minorHAnsi"/>
          <w:lang w:eastAsia="en-GB"/>
        </w:rPr>
        <w:t xml:space="preserve">. Furthermore, in the case of La Reina, in the focus groups and interviews it became apparent that the women did not know very much </w:t>
      </w:r>
      <w:r w:rsidRPr="009A7163">
        <w:rPr>
          <w:rFonts w:eastAsiaTheme="minorHAnsi"/>
          <w:lang w:eastAsia="en-GB"/>
        </w:rPr>
        <w:lastRenderedPageBreak/>
        <w:t xml:space="preserve">about the initiative and were very unclear about its functioning. One women, when asked if the initiative had any impact, she answered: ‘No, I’ve only just heard about it!’ (Individual interview, female producer, 18–24 years old, single, coop member, not part of the initiative). Additionally, in the household surveys, some of the data had to be eliminated as the women answered questions on the initiative in relation to an eco-tourism project that they are part of, i.e. the initiative is almost non-existent in its functioning to the point of being mistaken with another project. This contrasts to the view of CAN, expressed </w:t>
      </w:r>
      <w:r w:rsidR="00D702E8" w:rsidRPr="009A7163">
        <w:rPr>
          <w:rFonts w:eastAsiaTheme="minorHAnsi"/>
          <w:lang w:eastAsia="en-GB"/>
        </w:rPr>
        <w:t>in their annual report</w:t>
      </w:r>
      <w:r w:rsidRPr="009A7163">
        <w:rPr>
          <w:rFonts w:eastAsiaTheme="minorHAnsi"/>
          <w:lang w:eastAsia="en-GB"/>
        </w:rPr>
        <w:t>, which stated that the women manage the fund and issue loans to themselves:</w:t>
      </w:r>
    </w:p>
    <w:p w14:paraId="77CC7AD0" w14:textId="4DA257B9" w:rsidR="00FD4ABA" w:rsidRPr="009A7163" w:rsidRDefault="00FD4ABA" w:rsidP="00293176">
      <w:pPr>
        <w:spacing w:after="180"/>
        <w:ind w:left="720"/>
        <w:jc w:val="both"/>
        <w:rPr>
          <w:rFonts w:eastAsiaTheme="minorHAnsi"/>
          <w:lang w:eastAsia="en-GB"/>
        </w:rPr>
      </w:pPr>
      <w:r w:rsidRPr="009A7163">
        <w:rPr>
          <w:rFonts w:eastAsiaTheme="minorHAnsi"/>
          <w:lang w:eastAsia="en-GB"/>
        </w:rPr>
        <w:t>We also addressed the overall lack of access to credit among cooperative members, but in particular the lack of women’s access to credit to fund start up home businesses, which would increase their access to and control over household income. CAN accessed various sources of funding to make credit available to women in the project. A small amount of funding was made available from the sale of CAN’s AgroEco® Coffee sourced from UCA San Ramón cooperatives, which includes 10 cents per pound to be invested in a cooperative-managed Sustainable Agriculture Fund and 10 cents per pound for the Women’s Unpaid Labour Fund. This last fund is managed by the group of women producing AgroEco® Coffee in each cooperative. The two cooperatives producing AgroEco® Coffee decided to manage the fund as a revolving fund, issuing loans to themselves at no interest to invest in their own coffee renovation efforts in one cooperative, and as funding for the women-run café in the second cooperative. CAN also secured small revolving funds from private donors, which were then disbursed to women organ</w:t>
      </w:r>
      <w:r w:rsidR="00C95A06" w:rsidRPr="009A7163">
        <w:rPr>
          <w:rFonts w:eastAsiaTheme="minorHAnsi"/>
          <w:lang w:eastAsia="en-GB"/>
        </w:rPr>
        <w:t>ise</w:t>
      </w:r>
      <w:r w:rsidRPr="009A7163">
        <w:rPr>
          <w:rFonts w:eastAsiaTheme="minorHAnsi"/>
          <w:lang w:eastAsia="en-GB"/>
        </w:rPr>
        <w:t>d in the project to fund other rural enterprises. These women would most likely not have found funding otherwise to fund their endeavours. (Putnam, 2015, p. 9)</w:t>
      </w:r>
    </w:p>
    <w:p w14:paraId="7A90736C" w14:textId="34A0E6BB"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coordinator for CAN also stated that the fund would increase women’s access to and control over household income. This will be discussed in more detail in the section that follows, but suffice it to say here that this goes back to the definition of seeing empowerment as a process approach to empowerment and the need to interrogate not only what actions were taken (outcomes) but also how and by whom (nature of the action).  Clearly in both case studies the initial actions were not taken by the women themselves.</w:t>
      </w:r>
    </w:p>
    <w:p w14:paraId="12A8EBCD" w14:textId="0C90F96E"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 xml:space="preserve">This is not to say that the initiative has not been empowering in some respects. Positive changes were noted in how the women view themselves, which will be discussed in the next section. As per the chosen definition, empowerment requires a change in the perception of the empowered person in the sense that it is not only a question of participating in decision making, but also includes the process that leads people to perceive themselves as capable and right to make decisions (Craske, 1999, p.  </w:t>
      </w:r>
      <w:r w:rsidRPr="009A7163">
        <w:rPr>
          <w:rFonts w:eastAsiaTheme="minorHAnsi"/>
          <w:lang w:eastAsia="en-GB"/>
        </w:rPr>
        <w:lastRenderedPageBreak/>
        <w:t>23; Rowlands, 1997, p. 14). In particular, the importance of subjective changes, such as an increase in the levels of critical understanding, self-esteem and self-confidence (Stromquist, 2002, p. 36). As well in this sense, Rowlands (1997) understands that an essential part of the empowerment has to do with an increase in self-confidence, self-esteem and a sense of dignity (pp. 129–30).</w:t>
      </w:r>
    </w:p>
    <w:p w14:paraId="1CF2DE36" w14:textId="1C5B5254" w:rsidR="00FD4ABA" w:rsidRPr="009A7163" w:rsidRDefault="003F7611" w:rsidP="00293176">
      <w:pPr>
        <w:pStyle w:val="Heading2"/>
        <w:rPr>
          <w:rFonts w:eastAsiaTheme="minorHAnsi"/>
          <w:lang w:val="en-GB" w:eastAsia="en-GB"/>
        </w:rPr>
      </w:pPr>
      <w:bookmarkStart w:id="162" w:name="_Toc526819361"/>
      <w:r w:rsidRPr="009A7163">
        <w:rPr>
          <w:rFonts w:eastAsiaTheme="minorHAnsi"/>
          <w:lang w:val="en-GB" w:eastAsia="en-GB"/>
        </w:rPr>
        <w:t xml:space="preserve">8.3  </w:t>
      </w:r>
      <w:r w:rsidR="00FD4ABA" w:rsidRPr="009A7163">
        <w:rPr>
          <w:rFonts w:eastAsiaTheme="minorHAnsi"/>
          <w:lang w:val="en-GB" w:eastAsia="en-GB"/>
        </w:rPr>
        <w:t>From the Framework to Reality</w:t>
      </w:r>
      <w:bookmarkEnd w:id="162"/>
    </w:p>
    <w:p w14:paraId="2C4378E3" w14:textId="79372D61"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There were several key messages that came out of the research in relation to empowerment and which further highlights ‘power at work’ (which emphasises as per definition how power is enmeshed in all relations of power at all levels of society because without such an accumulation of accepted</w:t>
      </w:r>
      <w:r w:rsidR="009A0D48" w:rsidRPr="009A7163">
        <w:rPr>
          <w:rFonts w:eastAsiaTheme="minorHAnsi"/>
          <w:lang w:eastAsia="en-GB"/>
        </w:rPr>
        <w:t xml:space="preserve"> and </w:t>
      </w:r>
      <w:r w:rsidRPr="009A7163">
        <w:rPr>
          <w:rFonts w:eastAsiaTheme="minorHAnsi"/>
          <w:lang w:eastAsia="en-GB"/>
        </w:rPr>
        <w:t>dominant understandings of roles, relations and social spaces take place which can contribute to the depolitization of empowerment) and also point to the role of supply chains, governments in shaping empowerment and exert power over different subjects. In particular, I will look at a process approach to empowerment which interrogates not only what actions were taken (outcomes)</w:t>
      </w:r>
      <w:r w:rsidR="009A0D48" w:rsidRPr="009A7163">
        <w:rPr>
          <w:rFonts w:eastAsiaTheme="minorHAnsi"/>
          <w:lang w:eastAsia="en-GB"/>
        </w:rPr>
        <w:t>,</w:t>
      </w:r>
      <w:r w:rsidRPr="009A7163">
        <w:rPr>
          <w:rFonts w:eastAsiaTheme="minorHAnsi"/>
          <w:lang w:eastAsia="en-GB"/>
        </w:rPr>
        <w:t xml:space="preserve"> but also how and by whom (nature of the action). This section will briefly touch on changes in the way women see themselves, in particular concerning confidence and self-esteem, echoing Kabeer (2008):</w:t>
      </w:r>
    </w:p>
    <w:p w14:paraId="338169F1" w14:textId="658B9FFE" w:rsidR="00FD4ABA" w:rsidRPr="009A7163" w:rsidRDefault="00FD4ABA" w:rsidP="00293176">
      <w:pPr>
        <w:spacing w:after="180"/>
        <w:ind w:left="720"/>
        <w:jc w:val="both"/>
        <w:rPr>
          <w:rFonts w:eastAsiaTheme="minorHAnsi"/>
          <w:lang w:eastAsia="en-GB"/>
        </w:rPr>
      </w:pPr>
      <w:r w:rsidRPr="009A7163">
        <w:rPr>
          <w:rFonts w:eastAsiaTheme="minorHAnsi"/>
          <w:lang w:eastAsia="en-GB"/>
        </w:rPr>
        <w:t>[T]he conceptualisation of empowerment that informs this (research) touches on many different aspects of change in women’s lives, each important in themselves, but also in their inter-relationships with other aspects. It touches on women’s sense of self-worth and social identity; their willingness and ability to question their subordinate status and identity; their capacity to exercise strategic control over their own lives and to renegotiate their relationships with others who matter to them; and their ability to participate on equal terms with men in reshaping the societies in which they live in ways that contribute to a more just and democratic distribution of power and possibilities.</w:t>
      </w:r>
      <w:r w:rsidR="009A0D48" w:rsidRPr="009A7163">
        <w:rPr>
          <w:rFonts w:eastAsiaTheme="minorHAnsi"/>
          <w:lang w:eastAsia="en-GB"/>
        </w:rPr>
        <w:t xml:space="preserve"> (p. 27)</w:t>
      </w:r>
    </w:p>
    <w:p w14:paraId="06CA155A" w14:textId="2FD02C47"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Some positive changes were noted in the women’s self-worth, identity and capacity to aspire</w:t>
      </w:r>
      <w:r w:rsidR="009A0D48" w:rsidRPr="009A7163">
        <w:rPr>
          <w:rFonts w:eastAsiaTheme="minorHAnsi"/>
          <w:lang w:eastAsia="en-GB"/>
        </w:rPr>
        <w:t>,</w:t>
      </w:r>
      <w:r w:rsidRPr="009A7163">
        <w:rPr>
          <w:rFonts w:eastAsiaTheme="minorHAnsi"/>
          <w:lang w:eastAsia="en-GB"/>
        </w:rPr>
        <w:t xml:space="preserve"> and these will be dealt with in the following section.</w:t>
      </w:r>
    </w:p>
    <w:p w14:paraId="11A1C629" w14:textId="672EB6F8" w:rsidR="00FD4ABA" w:rsidRPr="009A7163" w:rsidRDefault="003F7611" w:rsidP="00293176">
      <w:pPr>
        <w:pStyle w:val="Heading3"/>
        <w:rPr>
          <w:rFonts w:eastAsiaTheme="minorHAnsi"/>
          <w:lang w:eastAsia="en-GB"/>
        </w:rPr>
      </w:pPr>
      <w:bookmarkStart w:id="163" w:name="_Toc526819362"/>
      <w:r w:rsidRPr="009A7163">
        <w:rPr>
          <w:rFonts w:eastAsiaTheme="minorHAnsi"/>
          <w:lang w:eastAsia="en-GB"/>
        </w:rPr>
        <w:t xml:space="preserve">8.3.1  </w:t>
      </w:r>
      <w:r w:rsidR="00FD4ABA" w:rsidRPr="009A7163">
        <w:rPr>
          <w:rFonts w:eastAsiaTheme="minorHAnsi"/>
          <w:lang w:eastAsia="en-GB"/>
        </w:rPr>
        <w:t>Changes in Identity and Capacity to Aspire: ‘Power Within’</w:t>
      </w:r>
      <w:bookmarkEnd w:id="163"/>
    </w:p>
    <w:p w14:paraId="063BC9AC" w14:textId="54D4D2EE" w:rsidR="00FD4ABA" w:rsidRPr="009A7163" w:rsidRDefault="00FD4ABA" w:rsidP="008C041F">
      <w:pPr>
        <w:spacing w:line="360" w:lineRule="auto"/>
        <w:ind w:firstLine="720"/>
        <w:jc w:val="both"/>
        <w:rPr>
          <w:rFonts w:eastAsiaTheme="minorHAnsi"/>
          <w:b/>
          <w:i/>
          <w:lang w:eastAsia="en-GB"/>
        </w:rPr>
      </w:pPr>
      <w:r w:rsidRPr="009A7163">
        <w:rPr>
          <w:rFonts w:eastAsiaTheme="minorHAnsi"/>
          <w:lang w:eastAsia="en-GB"/>
        </w:rPr>
        <w:t xml:space="preserve">In Achuapa a number of positive changes were noted. In individual interviews with women participants in the </w:t>
      </w:r>
      <w:r w:rsidR="001B31D5" w:rsidRPr="009A7163">
        <w:rPr>
          <w:rFonts w:eastAsiaTheme="minorHAnsi"/>
          <w:lang w:eastAsia="en-GB"/>
        </w:rPr>
        <w:t>BSI</w:t>
      </w:r>
      <w:r w:rsidRPr="009A7163">
        <w:rPr>
          <w:rFonts w:eastAsiaTheme="minorHAnsi"/>
          <w:lang w:eastAsia="en-GB"/>
        </w:rPr>
        <w:t xml:space="preserve"> initiative, 17 out of 18 noted positive changes in their lives, and this was also underscored in the focus group with the women. What follows are a few exce</w:t>
      </w:r>
      <w:r w:rsidR="003F7611" w:rsidRPr="009A7163">
        <w:rPr>
          <w:rFonts w:eastAsiaTheme="minorHAnsi"/>
          <w:lang w:eastAsia="en-GB"/>
        </w:rPr>
        <w:t>r</w:t>
      </w:r>
      <w:r w:rsidRPr="009A7163">
        <w:rPr>
          <w:rFonts w:eastAsiaTheme="minorHAnsi"/>
          <w:lang w:eastAsia="en-GB"/>
        </w:rPr>
        <w:t>pts from focus groups and individual interviews:</w:t>
      </w:r>
    </w:p>
    <w:p w14:paraId="3EB4767E"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Well what I do is mine now, what I earn is mine, and I administer my money. </w:t>
      </w:r>
    </w:p>
    <w:p w14:paraId="2C32A3A8"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lastRenderedPageBreak/>
        <w:t>‘It makes me feel good to know that they trust us enough to loan us money without a guarantee and loaned us money for our business. (Focus group Women, Achuapa, February 6, 2015)</w:t>
      </w:r>
    </w:p>
    <w:p w14:paraId="489A3871" w14:textId="77777777" w:rsidR="009A0D48" w:rsidRPr="009A7163" w:rsidRDefault="00FD4ABA" w:rsidP="00293176">
      <w:pPr>
        <w:spacing w:after="180"/>
        <w:ind w:left="720"/>
        <w:jc w:val="both"/>
        <w:rPr>
          <w:rFonts w:eastAsiaTheme="minorHAnsi"/>
          <w:lang w:eastAsia="en-GB"/>
        </w:rPr>
      </w:pPr>
      <w:r w:rsidRPr="009A7163">
        <w:rPr>
          <w:rFonts w:eastAsiaTheme="minorHAnsi"/>
          <w:lang w:eastAsia="en-GB"/>
        </w:rPr>
        <w:t>I feel much more calm and secure. I’ve learnt to work and I know that my unpaid work has a value and thank God (</w:t>
      </w:r>
      <w:r w:rsidRPr="009A7163">
        <w:rPr>
          <w:rFonts w:eastAsiaTheme="minorHAnsi"/>
          <w:i/>
          <w:lang w:eastAsia="en-GB"/>
        </w:rPr>
        <w:t>gracias a dios</w:t>
      </w:r>
      <w:r w:rsidRPr="009A7163">
        <w:rPr>
          <w:rFonts w:eastAsiaTheme="minorHAnsi"/>
          <w:lang w:eastAsia="en-GB"/>
        </w:rPr>
        <w:t xml:space="preserve">) with the money I make we’ve started to build our own house. (Interview, 45–54 years old, married, member, not a producer, 3 years in the initiative). </w:t>
      </w:r>
    </w:p>
    <w:p w14:paraId="2DBD1C61" w14:textId="1A04E38C" w:rsidR="00FD4ABA" w:rsidRPr="009A7163" w:rsidRDefault="00FD4ABA" w:rsidP="00293176">
      <w:pPr>
        <w:spacing w:after="180"/>
        <w:ind w:left="720"/>
        <w:jc w:val="both"/>
        <w:rPr>
          <w:rFonts w:eastAsiaTheme="minorHAnsi"/>
          <w:lang w:eastAsia="en-GB"/>
        </w:rPr>
      </w:pPr>
      <w:r w:rsidRPr="009A7163">
        <w:rPr>
          <w:rFonts w:eastAsiaTheme="minorHAnsi"/>
          <w:lang w:eastAsia="en-GB"/>
        </w:rPr>
        <w:t>Working together has allowed us to get out more and social</w:t>
      </w:r>
      <w:r w:rsidR="00C95A06" w:rsidRPr="009A7163">
        <w:rPr>
          <w:rFonts w:eastAsiaTheme="minorHAnsi"/>
          <w:lang w:eastAsia="en-GB"/>
        </w:rPr>
        <w:t>ise</w:t>
      </w:r>
      <w:r w:rsidRPr="009A7163">
        <w:rPr>
          <w:rFonts w:eastAsiaTheme="minorHAnsi"/>
          <w:lang w:eastAsia="en-GB"/>
        </w:rPr>
        <w:t>. We meet up and talk and before we didn’t do this. (Focus Group Women, Achuapa, February 5, 2015)</w:t>
      </w:r>
      <w:r w:rsidRPr="009A7163" w:rsidDel="00C910AE">
        <w:rPr>
          <w:rFonts w:eastAsiaTheme="minorHAnsi"/>
          <w:lang w:eastAsia="en-GB"/>
        </w:rPr>
        <w:t xml:space="preserve"> </w:t>
      </w:r>
    </w:p>
    <w:p w14:paraId="4AF67F7E"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We meet up and then go home refreshed and with a different perspective (Focus Group Women, Achuapa, February 6, 2015)</w:t>
      </w:r>
    </w:p>
    <w:p w14:paraId="6D85DED6" w14:textId="72B23B84" w:rsidR="00FD4ABA" w:rsidRPr="009A7163" w:rsidRDefault="00FD4ABA" w:rsidP="00293176">
      <w:pPr>
        <w:spacing w:after="180"/>
        <w:ind w:left="720"/>
        <w:jc w:val="both"/>
        <w:rPr>
          <w:rFonts w:eastAsiaTheme="minorHAnsi"/>
          <w:lang w:eastAsia="en-GB"/>
        </w:rPr>
      </w:pPr>
      <w:r w:rsidRPr="009A7163">
        <w:rPr>
          <w:rFonts w:eastAsiaTheme="minorHAnsi"/>
          <w:lang w:eastAsia="en-GB"/>
        </w:rPr>
        <w:t>I like to work together, to be organ</w:t>
      </w:r>
      <w:r w:rsidR="00C95A06" w:rsidRPr="009A7163">
        <w:rPr>
          <w:rFonts w:eastAsiaTheme="minorHAnsi"/>
          <w:lang w:eastAsia="en-GB"/>
        </w:rPr>
        <w:t>ise</w:t>
      </w:r>
      <w:r w:rsidRPr="009A7163">
        <w:rPr>
          <w:rFonts w:eastAsiaTheme="minorHAnsi"/>
          <w:lang w:eastAsia="en-GB"/>
        </w:rPr>
        <w:t>d in the collective, to be taken into account, and this motivates me to get on in life. Now I know anything is possible in life and so if god doesn’t take my life, it’s all about thinking about the next step and not letting anything get in the way. (Focus Group Women, Achuapa, February 6, 2015)</w:t>
      </w:r>
    </w:p>
    <w:p w14:paraId="43C29E52"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I feel like I’ve become a better person because with the initiative we’ve been able to work and get ourselves out of this extreme poverty because with so many children to bring up, it’s just too hard to survive especially in such poverty.  (Interview, 35–44 years old, married, not a member, producer, less than 3 years in the cooperative)</w:t>
      </w:r>
    </w:p>
    <w:p w14:paraId="1C407CE5"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I have so many more friends now. I have more possibilities of connecting with others. This has been a real achievement…before I didn’t like to go out and now it’s the opposite. I hurry to leave so that I don’t miss the bus. My husband likes it that I spend time with the other women now too</w:t>
      </w:r>
      <w:r w:rsidRPr="009A7163">
        <w:rPr>
          <w:rFonts w:eastAsiaTheme="minorHAnsi"/>
          <w:i/>
          <w:lang w:eastAsia="en-GB"/>
        </w:rPr>
        <w:t xml:space="preserve">. </w:t>
      </w:r>
      <w:r w:rsidRPr="009A7163">
        <w:rPr>
          <w:rFonts w:eastAsiaTheme="minorHAnsi"/>
          <w:lang w:eastAsia="en-GB"/>
        </w:rPr>
        <w:t>He thinks that I am a different person and also someone with more respect from the community. I’m more important in the eyes of society. (Individual interview, 45–54 years old, married, member, producer, 3–6 years in the initiative)</w:t>
      </w:r>
    </w:p>
    <w:p w14:paraId="71040D25" w14:textId="77777777" w:rsidR="00FD4ABA" w:rsidRPr="009A7163" w:rsidRDefault="00FD4ABA" w:rsidP="007A3A29">
      <w:pPr>
        <w:spacing w:line="360" w:lineRule="auto"/>
        <w:jc w:val="both"/>
        <w:rPr>
          <w:rFonts w:eastAsiaTheme="minorHAnsi"/>
          <w:lang w:eastAsia="en-GB"/>
        </w:rPr>
      </w:pPr>
      <w:r w:rsidRPr="009A7163">
        <w:rPr>
          <w:rFonts w:eastAsiaTheme="minorHAnsi"/>
          <w:lang w:eastAsia="en-GB"/>
        </w:rPr>
        <w:t xml:space="preserve">The CJFPS gender coordinator also said: </w:t>
      </w:r>
    </w:p>
    <w:p w14:paraId="437927DF"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The women have changed their knowledge and ideas about themselves. They now know how to express themselves and relate to others. Before they were so timid. Their way of being in the family has also changed. They’ve been able to influence decision making…before when they were so timid they gave no opinions – they just obeyed. But now it’s different, they have their own businesses, they feel a bit more independent, they’ve got their own money…they feel a change. (Interview, January 8, 2015)</w:t>
      </w:r>
    </w:p>
    <w:p w14:paraId="19FB715A" w14:textId="33D814F0"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In San Ramón, 10 women cited positive changes in their lives both in the individual interviews as well as in the </w:t>
      </w:r>
      <w:r w:rsidR="00AD0B1F" w:rsidRPr="009A7163">
        <w:rPr>
          <w:rFonts w:eastAsiaTheme="minorHAnsi"/>
          <w:lang w:eastAsia="en-GB"/>
        </w:rPr>
        <w:t>two focus groups. Half of the women’s</w:t>
      </w:r>
      <w:r w:rsidRPr="009A7163">
        <w:rPr>
          <w:rFonts w:eastAsiaTheme="minorHAnsi"/>
          <w:lang w:eastAsia="en-GB"/>
        </w:rPr>
        <w:t xml:space="preserve"> answers from the cooperative in La Reina are questionable due to the fact that the only project that they perceived as happening was that of the agro-ecotourism project. What follows are some excerpts of these positive changes that women from both cooperatives in the </w:t>
      </w:r>
      <w:r w:rsidRPr="009A7163">
        <w:rPr>
          <w:rFonts w:eastAsiaTheme="minorHAnsi"/>
          <w:lang w:eastAsia="en-GB"/>
        </w:rPr>
        <w:lastRenderedPageBreak/>
        <w:t>San Ramón case study cited. Some of the quotes clearly demonstrate the changes and new ‘capacity to aspire’:</w:t>
      </w:r>
    </w:p>
    <w:p w14:paraId="5E384D47" w14:textId="7B339666" w:rsidR="00FD4ABA" w:rsidRPr="009A7163" w:rsidRDefault="00FD4ABA" w:rsidP="00293176">
      <w:pPr>
        <w:spacing w:after="180"/>
        <w:ind w:left="720"/>
        <w:jc w:val="both"/>
        <w:rPr>
          <w:rFonts w:eastAsiaTheme="minorHAnsi"/>
          <w:lang w:eastAsia="en-GB"/>
        </w:rPr>
      </w:pPr>
      <w:r w:rsidRPr="009A7163">
        <w:rPr>
          <w:rFonts w:eastAsiaTheme="minorHAnsi"/>
          <w:lang w:eastAsia="en-GB"/>
        </w:rPr>
        <w:t>I live to earn money, I like to be independent, I like to social</w:t>
      </w:r>
      <w:r w:rsidR="00C95A06" w:rsidRPr="009A7163">
        <w:rPr>
          <w:rFonts w:eastAsiaTheme="minorHAnsi"/>
          <w:lang w:eastAsia="en-GB"/>
        </w:rPr>
        <w:t>ise</w:t>
      </w:r>
      <w:r w:rsidRPr="009A7163">
        <w:rPr>
          <w:rFonts w:eastAsiaTheme="minorHAnsi"/>
          <w:lang w:eastAsia="en-GB"/>
        </w:rPr>
        <w:t xml:space="preserve"> with different people. I value myself and everything I achieved because I have worked hard. I know I may have to take risks in the future to have a better life, but I am willing to do this in order to achieve my own objectives for me…I like to feel important, be someone, be independent, and not depend on anyone. (Interview, 25–34 years old, married, cooperative member, non-producer, not part of the initiative)</w:t>
      </w:r>
    </w:p>
    <w:p w14:paraId="30F996DA" w14:textId="051DB08F"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Yes, there’s been changes. I have half a </w:t>
      </w:r>
      <w:r w:rsidRPr="009A7163">
        <w:rPr>
          <w:rFonts w:eastAsiaTheme="minorHAnsi"/>
          <w:i/>
          <w:lang w:eastAsia="en-GB"/>
        </w:rPr>
        <w:t>manzana</w:t>
      </w:r>
      <w:r w:rsidRPr="009A7163">
        <w:rPr>
          <w:rFonts w:eastAsiaTheme="minorHAnsi"/>
          <w:lang w:eastAsia="en-GB"/>
        </w:rPr>
        <w:t xml:space="preserve"> of coffee and it’s my property in my name. My partner helps me but he always says at the end. “It’s your coffee” and something has changed within me – now I am thinking of the future. I think I want to do this, I want this…you could say my whole mentality has changed. I now think, “I can be independent”, and this is partly because I participate in the activities with other women and when we have visitors and we are called on to demonstrate how we make our organic fertil</w:t>
      </w:r>
      <w:r w:rsidR="00C95A06" w:rsidRPr="009A7163">
        <w:rPr>
          <w:rFonts w:eastAsiaTheme="minorHAnsi"/>
          <w:lang w:eastAsia="en-GB"/>
        </w:rPr>
        <w:t>ise</w:t>
      </w:r>
      <w:r w:rsidRPr="009A7163">
        <w:rPr>
          <w:rFonts w:eastAsiaTheme="minorHAnsi"/>
          <w:lang w:eastAsia="en-GB"/>
        </w:rPr>
        <w:t>rs, I participate…and so all of this has helped me in my social relations and ability to communicate which before was so hard for me. (Interview, 25–34 years old, married, wife of member, producer, less than three years participating in the initiative)</w:t>
      </w:r>
    </w:p>
    <w:p w14:paraId="721CFEE9" w14:textId="5F0B07D5" w:rsidR="00FD4ABA" w:rsidRPr="009A7163" w:rsidRDefault="00FD4ABA" w:rsidP="00293176">
      <w:pPr>
        <w:spacing w:after="180"/>
        <w:ind w:left="720"/>
        <w:jc w:val="both"/>
        <w:rPr>
          <w:rFonts w:eastAsiaTheme="minorHAnsi"/>
          <w:lang w:eastAsia="en-GB"/>
        </w:rPr>
      </w:pPr>
      <w:r w:rsidRPr="009A7163">
        <w:rPr>
          <w:rFonts w:eastAsiaTheme="minorHAnsi"/>
          <w:lang w:eastAsia="en-GB"/>
        </w:rPr>
        <w:t>Now I am able to talk with others and I feel good about being organ</w:t>
      </w:r>
      <w:r w:rsidR="00C95A06" w:rsidRPr="009A7163">
        <w:rPr>
          <w:rFonts w:eastAsiaTheme="minorHAnsi"/>
          <w:lang w:eastAsia="en-GB"/>
        </w:rPr>
        <w:t>ise</w:t>
      </w:r>
      <w:r w:rsidRPr="009A7163">
        <w:rPr>
          <w:rFonts w:eastAsiaTheme="minorHAnsi"/>
          <w:lang w:eastAsia="en-GB"/>
        </w:rPr>
        <w:t>d in a group, I can go out to wherever they invite me and I go out and I get to participate in projects. (Focus group Women, La Pita-San Ramón, March 4, 2015)</w:t>
      </w:r>
    </w:p>
    <w:p w14:paraId="5D6C290E" w14:textId="20E4964F" w:rsidR="00FD4ABA" w:rsidRPr="009A7163" w:rsidRDefault="008C041F" w:rsidP="00293176">
      <w:pPr>
        <w:pStyle w:val="Heading3"/>
        <w:rPr>
          <w:rFonts w:eastAsiaTheme="minorHAnsi"/>
          <w:lang w:eastAsia="en-GB"/>
        </w:rPr>
      </w:pPr>
      <w:bookmarkStart w:id="164" w:name="_Toc526819363"/>
      <w:r w:rsidRPr="009A7163">
        <w:rPr>
          <w:rFonts w:eastAsiaTheme="minorHAnsi"/>
          <w:lang w:eastAsia="en-GB"/>
        </w:rPr>
        <w:t>8.3.2</w:t>
      </w:r>
      <w:r w:rsidR="003F7611" w:rsidRPr="009A7163">
        <w:rPr>
          <w:rFonts w:eastAsiaTheme="minorHAnsi"/>
          <w:lang w:eastAsia="en-GB"/>
        </w:rPr>
        <w:t xml:space="preserve">  </w:t>
      </w:r>
      <w:r w:rsidR="00FD4ABA" w:rsidRPr="009A7163">
        <w:rPr>
          <w:rFonts w:eastAsiaTheme="minorHAnsi"/>
          <w:lang w:eastAsia="en-GB"/>
        </w:rPr>
        <w:t>Women Participating: ‘Power To’</w:t>
      </w:r>
      <w:bookmarkEnd w:id="164"/>
      <w:r w:rsidR="00FD4ABA" w:rsidRPr="009A7163">
        <w:rPr>
          <w:rFonts w:eastAsiaTheme="minorHAnsi"/>
          <w:lang w:eastAsia="en-GB"/>
        </w:rPr>
        <w:t xml:space="preserve"> </w:t>
      </w:r>
    </w:p>
    <w:p w14:paraId="196FD408" w14:textId="4C786CDB"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definition of empowerment used in this study includes both individual conscientization (‘</w:t>
      </w:r>
      <w:r w:rsidRPr="009A7163">
        <w:rPr>
          <w:rFonts w:eastAsiaTheme="minorHAnsi"/>
          <w:iCs/>
          <w:lang w:eastAsia="en-GB"/>
        </w:rPr>
        <w:t>power within’</w:t>
      </w:r>
      <w:r w:rsidRPr="009A7163">
        <w:rPr>
          <w:rFonts w:eastAsiaTheme="minorHAnsi"/>
          <w:lang w:eastAsia="en-GB"/>
        </w:rPr>
        <w:t>) as well as collective action, which can lead to politic</w:t>
      </w:r>
      <w:r w:rsidR="00C95A06" w:rsidRPr="009A7163">
        <w:rPr>
          <w:rFonts w:eastAsiaTheme="minorHAnsi"/>
          <w:lang w:eastAsia="en-GB"/>
        </w:rPr>
        <w:t>ise</w:t>
      </w:r>
      <w:r w:rsidRPr="009A7163">
        <w:rPr>
          <w:rFonts w:eastAsiaTheme="minorHAnsi"/>
          <w:lang w:eastAsia="en-GB"/>
        </w:rPr>
        <w:t>d ‘</w:t>
      </w:r>
      <w:r w:rsidRPr="009A7163">
        <w:rPr>
          <w:rFonts w:eastAsiaTheme="minorHAnsi"/>
          <w:iCs/>
          <w:lang w:eastAsia="en-GB"/>
        </w:rPr>
        <w:t xml:space="preserve">power with’ </w:t>
      </w:r>
      <w:r w:rsidRPr="009A7163">
        <w:rPr>
          <w:rFonts w:eastAsiaTheme="minorHAnsi"/>
          <w:lang w:eastAsia="en-GB"/>
        </w:rPr>
        <w:t xml:space="preserve">others </w:t>
      </w:r>
      <w:r w:rsidRPr="009A7163">
        <w:rPr>
          <w:rFonts w:eastAsiaTheme="minorHAnsi"/>
          <w:iCs/>
          <w:lang w:eastAsia="en-GB"/>
        </w:rPr>
        <w:t>to</w:t>
      </w:r>
      <w:r w:rsidRPr="009A7163">
        <w:rPr>
          <w:rFonts w:eastAsiaTheme="minorHAnsi"/>
          <w:i/>
          <w:iCs/>
          <w:lang w:eastAsia="en-GB"/>
        </w:rPr>
        <w:t xml:space="preserve"> </w:t>
      </w:r>
      <w:r w:rsidRPr="009A7163">
        <w:rPr>
          <w:rFonts w:eastAsiaTheme="minorHAnsi"/>
          <w:lang w:eastAsia="en-GB"/>
        </w:rPr>
        <w:t xml:space="preserve">bring about change. Both case studies show that whilst the women were formed into women’s groups and had to undertake collective action, they did not gain access to the political spaces and leadership roles partly through choice and partly because of the gendered nature of the cooperative and constraints. </w:t>
      </w:r>
    </w:p>
    <w:p w14:paraId="7225F77E" w14:textId="1887253B"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The nature of the initiative obliges women to save and start a business both individually and collectively. This has meant that women have to participate in a group and take on a role even though it may not be </w:t>
      </w:r>
      <w:r w:rsidR="003357AA" w:rsidRPr="009A7163">
        <w:rPr>
          <w:rFonts w:eastAsiaTheme="minorHAnsi"/>
          <w:lang w:eastAsia="en-GB"/>
        </w:rPr>
        <w:t>convenient,</w:t>
      </w:r>
      <w:r w:rsidRPr="009A7163">
        <w:rPr>
          <w:rFonts w:eastAsiaTheme="minorHAnsi"/>
          <w:lang w:eastAsia="en-GB"/>
        </w:rPr>
        <w:t xml:space="preserve"> or they do not want to participate in a group activity. Other women cited violence (threat or actual) from their partners as a constraint to their participation. In the case of Achuapa, many reported holding positions in the group (e.g., president, secretary, treasurer and group coordinator) and fewer had roles directly related to the cooperative (e.g., initiative promoter, board of directors and/or delegate member). Three women (of the 18 </w:t>
      </w:r>
      <w:r w:rsidRPr="009A7163">
        <w:rPr>
          <w:rFonts w:eastAsiaTheme="minorHAnsi"/>
          <w:lang w:eastAsia="en-GB"/>
        </w:rPr>
        <w:lastRenderedPageBreak/>
        <w:t xml:space="preserve">interviewed) cited that they aspire to have positions at the cooperative level. Not all members of the initiatives are cooperative members; a couple said they would like to join. However, it is important to note that since the initiative’s inception, women have outnumbered men in applications to be a cooperative member at the last few general assemblies. However, in the collective group work, not all had been able to participate regularly in the meetings or group business activities, nor have they all been able to save or take out loans individually. One women explained some constraints: </w:t>
      </w:r>
    </w:p>
    <w:p w14:paraId="35948CA4"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You see what happens is that the women who are already members of the cooperative are those that have more opportunities to participate and those that aren’t involved, this is because they live really far away and even though they may want to join, they can’t…and the women that have a lot of experience want to work in the cooperative office or shop and earn money. They’re not interested in giving their time to be a board member and receiving no remuneration and so that’s where the weakness and contradictions are... (Individual interview, female, 45–54 years old, married, member, not a producer, 3–6 years in the initiative)</w:t>
      </w:r>
    </w:p>
    <w:p w14:paraId="6A175BB9" w14:textId="42F4F170" w:rsidR="003F7611"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Another woman mentioned the feeling of unease related to being on a board of directors with primarily men: </w:t>
      </w:r>
    </w:p>
    <w:p w14:paraId="7333DDB4" w14:textId="49DF3466" w:rsidR="003F7611" w:rsidRPr="009A7163" w:rsidRDefault="00FD4ABA" w:rsidP="00293176">
      <w:pPr>
        <w:spacing w:after="180"/>
        <w:ind w:left="720"/>
        <w:jc w:val="both"/>
        <w:rPr>
          <w:rFonts w:eastAsiaTheme="minorHAnsi"/>
          <w:lang w:eastAsia="en-GB"/>
        </w:rPr>
      </w:pPr>
      <w:r w:rsidRPr="009A7163">
        <w:rPr>
          <w:rFonts w:eastAsiaTheme="minorHAnsi"/>
          <w:lang w:eastAsia="en-GB"/>
        </w:rPr>
        <w:t xml:space="preserve">The majority are men and because of it there’s a sense of coldness and disinterest…it wouldn’t be the same if there were five women and just one man (Individual interview, female, 35–44 years old, married, not a member, producer, less than 3 years in the initiative). </w:t>
      </w:r>
    </w:p>
    <w:p w14:paraId="1EE450C3" w14:textId="058BFD05"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Others cited a lack of money as a reason why they were not members of the cooperative. The manager of CJFPS</w:t>
      </w:r>
      <w:r w:rsidR="00497235" w:rsidRPr="009A7163">
        <w:rPr>
          <w:rFonts w:eastAsiaTheme="minorHAnsi"/>
          <w:lang w:eastAsia="en-GB"/>
        </w:rPr>
        <w:t xml:space="preserve"> Juan Bravo</w:t>
      </w:r>
      <w:r w:rsidRPr="009A7163">
        <w:rPr>
          <w:rFonts w:eastAsiaTheme="minorHAnsi"/>
          <w:lang w:eastAsia="en-GB"/>
        </w:rPr>
        <w:t xml:space="preserve"> reflected on the issue of leadership saying: </w:t>
      </w:r>
    </w:p>
    <w:p w14:paraId="37FB12DF" w14:textId="4BCE7E92" w:rsidR="00FD4ABA" w:rsidRPr="009A7163" w:rsidRDefault="00FD4ABA" w:rsidP="00293176">
      <w:pPr>
        <w:spacing w:after="180"/>
        <w:ind w:left="720"/>
        <w:jc w:val="both"/>
        <w:rPr>
          <w:rFonts w:eastAsiaTheme="minorHAnsi"/>
          <w:lang w:eastAsia="en-GB"/>
        </w:rPr>
      </w:pPr>
      <w:r w:rsidRPr="009A7163">
        <w:rPr>
          <w:rFonts w:eastAsiaTheme="minorHAnsi"/>
          <w:lang w:eastAsia="en-GB"/>
        </w:rPr>
        <w:t>In the last 2–3 boards of directors, we’ve had at least two women on the board, but at the last general assembly, only one was left, so it’s like we’re going backwards...we always try to promote 50–50 [participation] but not in an authoritative way and we always try to encourage taking into consideration the women’s opinions in decision making. The problem is that there’s not many women in the group/initiative and the majority are already members, and of those they are women with many limitations. They’re single women who have difficulty participating and who are very likely to have limited opportunity to develop as leaders in the cooperative, so there’s a lot of limitations which makes me think we’re going backwards…It’s hard for us to believe that women should have a role, or even a position… (Expert Interview, January 8, 2015)</w:t>
      </w:r>
    </w:p>
    <w:p w14:paraId="22D11EA4" w14:textId="4BDA79FC" w:rsidR="003F7611"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This excerpt from the CJFPS manager highlights several issues: </w:t>
      </w:r>
      <w:r w:rsidR="009A0D48" w:rsidRPr="009A7163">
        <w:rPr>
          <w:rFonts w:eastAsiaTheme="minorHAnsi"/>
          <w:lang w:eastAsia="en-GB"/>
        </w:rPr>
        <w:t>F</w:t>
      </w:r>
      <w:r w:rsidRPr="009A7163">
        <w:rPr>
          <w:rFonts w:eastAsiaTheme="minorHAnsi"/>
          <w:lang w:eastAsia="en-GB"/>
        </w:rPr>
        <w:t xml:space="preserve">irst, he acknowledges the risk of using language like a boss, thus acknowledging an interplay of power; second, he talks of women’s problems as separate from that of the collective and cooperative; and third, he ends saying it’s hard for us to believe that women should </w:t>
      </w:r>
      <w:r w:rsidRPr="009A7163">
        <w:rPr>
          <w:rFonts w:eastAsiaTheme="minorHAnsi"/>
          <w:lang w:eastAsia="en-GB"/>
        </w:rPr>
        <w:lastRenderedPageBreak/>
        <w:t>actively participate, which points to the internal</w:t>
      </w:r>
      <w:r w:rsidR="00C95A06" w:rsidRPr="009A7163">
        <w:rPr>
          <w:rFonts w:eastAsiaTheme="minorHAnsi"/>
          <w:lang w:eastAsia="en-GB"/>
        </w:rPr>
        <w:t>ise</w:t>
      </w:r>
      <w:r w:rsidRPr="009A7163">
        <w:rPr>
          <w:rFonts w:eastAsiaTheme="minorHAnsi"/>
          <w:lang w:eastAsia="en-GB"/>
        </w:rPr>
        <w:t xml:space="preserve">d norms and acceptance of roles and relations. So, whilst in his corrected language, he – and perhaps the cooperative by extension – appear to want to ‘include’ the women, they see the issue of a lack of participation by women as due to issues at home (e.g., single parenthood, care work) and also as a lack of commitment and willingness to spend time by the women. However, in reality, in many cases the issue for the women is the impossibility and impracticality of giving up certain household tasks. One women in Achuapa stated: </w:t>
      </w:r>
    </w:p>
    <w:p w14:paraId="209908CA" w14:textId="7B4FFE6A" w:rsidR="003F7611" w:rsidRPr="009A7163" w:rsidRDefault="00FD4ABA" w:rsidP="00293176">
      <w:pPr>
        <w:spacing w:after="180"/>
        <w:ind w:left="720"/>
        <w:jc w:val="both"/>
        <w:rPr>
          <w:rFonts w:eastAsiaTheme="minorHAnsi"/>
          <w:lang w:eastAsia="en-GB"/>
        </w:rPr>
      </w:pPr>
      <w:r w:rsidRPr="009A7163">
        <w:rPr>
          <w:rFonts w:eastAsiaTheme="minorHAnsi"/>
          <w:lang w:eastAsia="en-GB"/>
        </w:rPr>
        <w:t>I don’t think I can work with the women and join in the group activities. It’s too complicated. I have to always find some older girl to look after the youngest so that I can work with them. This is an obstacle and it stops me being able to work with the women</w:t>
      </w:r>
      <w:r w:rsidR="003F7611" w:rsidRPr="009A7163">
        <w:rPr>
          <w:rFonts w:eastAsiaTheme="minorHAnsi"/>
          <w:lang w:eastAsia="en-GB"/>
        </w:rPr>
        <w:t>.</w:t>
      </w:r>
      <w:r w:rsidRPr="009A7163">
        <w:rPr>
          <w:rFonts w:eastAsiaTheme="minorHAnsi"/>
          <w:lang w:eastAsia="en-GB"/>
        </w:rPr>
        <w:t xml:space="preserve"> (Interview, female, 45–54 years old, married, not a member, producer, less than three years in the initiative). </w:t>
      </w:r>
    </w:p>
    <w:p w14:paraId="360FBA2C" w14:textId="6836F4D5" w:rsidR="00FD4ABA" w:rsidRPr="009A7163" w:rsidRDefault="00FD4ABA" w:rsidP="00293176">
      <w:pPr>
        <w:spacing w:line="360" w:lineRule="auto"/>
        <w:jc w:val="both"/>
        <w:rPr>
          <w:rFonts w:eastAsiaTheme="minorHAnsi"/>
          <w:lang w:eastAsia="en-GB"/>
        </w:rPr>
      </w:pPr>
      <w:r w:rsidRPr="009A7163">
        <w:rPr>
          <w:rFonts w:eastAsiaTheme="minorHAnsi"/>
          <w:lang w:eastAsia="en-GB"/>
        </w:rPr>
        <w:t xml:space="preserve">Therein, all of the responsibility of participation is left to the women and none is located in the cooperative. For example what has or can the cooperative do to help the women participate? Throughout the fieldwork it became apparent that the </w:t>
      </w:r>
      <w:r w:rsidRPr="009A7163">
        <w:rPr>
          <w:rFonts w:eastAsiaTheme="minorHAnsi"/>
          <w:lang w:val="en" w:eastAsia="en-GB"/>
        </w:rPr>
        <w:t>conditions of participation of women in the cooperative should be reviewed. The cooperative should stimulate women's real access to decision-making spaces, taking into account factors that limit their participation (e.g., distance, time, expressive abilities, illiteracy</w:t>
      </w:r>
      <w:r w:rsidR="009A0D48" w:rsidRPr="009A7163">
        <w:rPr>
          <w:rFonts w:eastAsiaTheme="minorHAnsi"/>
          <w:lang w:val="en" w:eastAsia="en-GB"/>
        </w:rPr>
        <w:t>).</w:t>
      </w:r>
    </w:p>
    <w:p w14:paraId="12D32B05" w14:textId="77777777" w:rsidR="003F7611" w:rsidRPr="009A7163" w:rsidRDefault="00FD4ABA" w:rsidP="008C041F">
      <w:pPr>
        <w:spacing w:line="360" w:lineRule="auto"/>
        <w:ind w:firstLine="720"/>
        <w:jc w:val="both"/>
        <w:rPr>
          <w:rFonts w:eastAsiaTheme="minorHAnsi"/>
          <w:lang w:eastAsia="en-GB"/>
        </w:rPr>
      </w:pPr>
      <w:r w:rsidRPr="009A7163">
        <w:rPr>
          <w:rFonts w:eastAsiaTheme="minorHAnsi"/>
          <w:lang w:eastAsia="en-GB"/>
        </w:rPr>
        <w:t>In the case of San Ramón, a few women said they have no aspirations to take a leadership role and be part of the cooperative as, according to one interview and focus group participant, ‘there’s too many problems and I don’t like it’ (Interview, female, 35–44 years old, married, member, not part of the initiative</w:t>
      </w:r>
      <w:r w:rsidRPr="009A7163">
        <w:rPr>
          <w:rFonts w:eastAsiaTheme="minorHAnsi"/>
          <w:vertAlign w:val="superscript"/>
          <w:lang w:eastAsia="en-GB"/>
        </w:rPr>
        <w:footnoteReference w:id="129"/>
      </w:r>
      <w:r w:rsidRPr="009A7163">
        <w:rPr>
          <w:rFonts w:eastAsiaTheme="minorHAnsi"/>
          <w:lang w:eastAsia="en-GB"/>
        </w:rPr>
        <w:t xml:space="preserve">). </w:t>
      </w:r>
    </w:p>
    <w:p w14:paraId="26B0BE37" w14:textId="46E01BE6" w:rsidR="00FD4ABA" w:rsidRPr="009A7163" w:rsidRDefault="00FD4ABA" w:rsidP="00293176">
      <w:pPr>
        <w:spacing w:after="240" w:line="360" w:lineRule="auto"/>
        <w:ind w:firstLine="720"/>
        <w:jc w:val="both"/>
        <w:rPr>
          <w:rFonts w:eastAsiaTheme="minorHAnsi"/>
          <w:lang w:val="en" w:eastAsia="en-GB"/>
        </w:rPr>
      </w:pPr>
      <w:r w:rsidRPr="009A7163">
        <w:rPr>
          <w:rFonts w:eastAsiaTheme="minorHAnsi"/>
          <w:lang w:val="en" w:eastAsia="en-GB"/>
        </w:rPr>
        <w:t>Whilst it’s clear that each person has a responsibility and right to change, such change is possible within a framework of possibilities that the environment allows. A single person will struggle to expand this framework. This is where the collective must support the empowerment process at the individual level. For example, the cooperative should not assume that women do not participate ‘because they do not want to’ or ‘because they are not sufficiently empowered’ (Fieldwork notes, January 2015). The cooperative must also consider the obstacles the women have to face in order to effectively participate in cooperative and other community activities, as well as the active role that men and other women as well as the cooperative can take to diminish the effect of these barriers.</w:t>
      </w:r>
    </w:p>
    <w:p w14:paraId="324DB2D5" w14:textId="1B96F1BA" w:rsidR="00FD4ABA" w:rsidRPr="009A7163" w:rsidRDefault="003F7611" w:rsidP="007A3A29">
      <w:pPr>
        <w:pStyle w:val="Heading2"/>
        <w:spacing w:after="240" w:line="240" w:lineRule="auto"/>
        <w:rPr>
          <w:rFonts w:eastAsiaTheme="minorHAnsi"/>
          <w:lang w:val="en-GB" w:eastAsia="en-GB"/>
        </w:rPr>
      </w:pPr>
      <w:bookmarkStart w:id="165" w:name="_Toc526819364"/>
      <w:r w:rsidRPr="009A7163">
        <w:rPr>
          <w:rFonts w:eastAsiaTheme="minorHAnsi"/>
          <w:lang w:val="en-GB" w:eastAsia="en-GB"/>
        </w:rPr>
        <w:lastRenderedPageBreak/>
        <w:t xml:space="preserve">8.4  </w:t>
      </w:r>
      <w:r w:rsidR="00FD4ABA" w:rsidRPr="009A7163">
        <w:rPr>
          <w:rFonts w:eastAsiaTheme="minorHAnsi"/>
          <w:lang w:val="en-GB" w:eastAsia="en-GB"/>
        </w:rPr>
        <w:t>Key Messages</w:t>
      </w:r>
      <w:bookmarkEnd w:id="165"/>
    </w:p>
    <w:p w14:paraId="69D26AA5" w14:textId="008009F1" w:rsidR="00FD4ABA" w:rsidRPr="009A7163" w:rsidRDefault="003F7611" w:rsidP="00293176">
      <w:pPr>
        <w:pStyle w:val="Heading3"/>
        <w:rPr>
          <w:rFonts w:eastAsiaTheme="minorHAnsi"/>
          <w:lang w:eastAsia="en-GB"/>
        </w:rPr>
      </w:pPr>
      <w:bookmarkStart w:id="166" w:name="_Toc526819365"/>
      <w:r w:rsidRPr="009A7163">
        <w:rPr>
          <w:rFonts w:eastAsiaTheme="minorHAnsi"/>
          <w:lang w:eastAsia="en-GB"/>
        </w:rPr>
        <w:t xml:space="preserve">8.4.1  </w:t>
      </w:r>
      <w:r w:rsidR="00FD4ABA" w:rsidRPr="009A7163">
        <w:rPr>
          <w:rFonts w:eastAsiaTheme="minorHAnsi"/>
          <w:lang w:eastAsia="en-GB"/>
        </w:rPr>
        <w:t>Women’s Economic Empowerment</w:t>
      </w:r>
      <w:r w:rsidR="00F63FC4" w:rsidRPr="009A7163">
        <w:rPr>
          <w:rFonts w:eastAsiaTheme="minorHAnsi"/>
          <w:lang w:eastAsia="en-GB"/>
        </w:rPr>
        <w:t xml:space="preserve"> </w:t>
      </w:r>
      <w:r w:rsidR="00FD4ABA" w:rsidRPr="009A7163">
        <w:rPr>
          <w:rFonts w:eastAsiaTheme="minorHAnsi"/>
          <w:lang w:eastAsia="en-GB"/>
        </w:rPr>
        <w:t>Is Not Enough</w:t>
      </w:r>
      <w:bookmarkEnd w:id="166"/>
    </w:p>
    <w:p w14:paraId="485230E7" w14:textId="43E3BF0C"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WEE does not lead to overall empowerment and not all forms of economic activity are equally empowering. Economic activity within household spaces can entrench roles and particularly in the case of the initiative whereby the women have taken on traditional small business that are limiting to their empowerment and also have limited growth. The premise of creating a small-scale credit fund with the women because they are better and more responsible (echoes of smart economics and neo liberal empowerment narratives touched upon in the literature review) puts pressure on the women to maintain the house, which does not always lead to empowerment.  Kabeer (1998) state</w:t>
      </w:r>
      <w:r w:rsidR="000B244E" w:rsidRPr="009A7163">
        <w:rPr>
          <w:rFonts w:eastAsiaTheme="minorHAnsi"/>
          <w:lang w:eastAsia="en-GB"/>
        </w:rPr>
        <w:t>s</w:t>
      </w:r>
      <w:r w:rsidRPr="009A7163">
        <w:rPr>
          <w:rFonts w:eastAsiaTheme="minorHAnsi"/>
          <w:lang w:eastAsia="en-GB"/>
        </w:rPr>
        <w:t xml:space="preserve"> that a large number of studies have shown that economic activity within the confines of family relations, particularly unpaid productive work in farm and family enterprises, hold out the weakest transformative potential for women’s lives (p. 18).</w:t>
      </w:r>
      <w:r w:rsidRPr="009A7163">
        <w:rPr>
          <w:rFonts w:eastAsiaTheme="minorHAnsi"/>
          <w:vertAlign w:val="superscript"/>
          <w:lang w:eastAsia="en-GB"/>
        </w:rPr>
        <w:footnoteReference w:id="130"/>
      </w:r>
      <w:r w:rsidRPr="009A7163">
        <w:rPr>
          <w:rFonts w:eastAsiaTheme="minorHAnsi"/>
          <w:lang w:eastAsia="en-GB"/>
        </w:rPr>
        <w:t xml:space="preserve"> Studies suggest that formal regular wage work has the greatest transformative potential, although paid work outside the domestic domain can also have positive impacts on women’s lives, but work performed within the home is the least likely to be transformative (Kabeer, 1998). The International Labor Organization (ILO) classifies both own account work and unwaged family labour as ‘vulnerable’ work, offering little or no remuneration, characterised by risk and uncertainty, and outside the remit of legal and social protection. For women in particular, participation as unwaged family labour does little to challenge their subordinate position within the family or expand their social networks beyond it (Kabeer, 1998). </w:t>
      </w:r>
    </w:p>
    <w:p w14:paraId="142AFC84" w14:textId="0CFBD0EE"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Whilst the initiative has done something to address the transformative limitation of household labour by visualising the contribution women make to their households through the recognition of their work, and it can be argued that this puts the women in a position to negotiate with men, this did not always happen. In some instances, the women said involvement in the initiative sparked conversations with their partners about the division of labour, but in most instances their workload remained the same or increased. Many women reported that in order for them to attend meetings they had to get up earlier and go to bed later, and often left a younger female member in charge of the house. So, the </w:t>
      </w:r>
      <w:r w:rsidR="003A2C87" w:rsidRPr="009A7163">
        <w:rPr>
          <w:rFonts w:eastAsiaTheme="minorHAnsi"/>
          <w:lang w:eastAsia="en-GB"/>
        </w:rPr>
        <w:t>UCW</w:t>
      </w:r>
      <w:r w:rsidRPr="009A7163">
        <w:rPr>
          <w:rFonts w:eastAsiaTheme="minorHAnsi"/>
          <w:lang w:eastAsia="en-GB"/>
        </w:rPr>
        <w:t xml:space="preserve"> falls to adolescents and sometimes young girls and never to </w:t>
      </w:r>
      <w:r w:rsidRPr="009A7163">
        <w:rPr>
          <w:rFonts w:eastAsiaTheme="minorHAnsi"/>
          <w:lang w:eastAsia="en-GB"/>
        </w:rPr>
        <w:lastRenderedPageBreak/>
        <w:t xml:space="preserve">men or boys. So, whilst, for example, in Achuapa, the initiative has encouraged the women </w:t>
      </w:r>
      <w:r w:rsidRPr="009A7163">
        <w:rPr>
          <w:rFonts w:eastAsiaTheme="minorHAnsi"/>
          <w:lang w:val="en" w:eastAsia="en-GB"/>
        </w:rPr>
        <w:t>to articulate, collectiv</w:t>
      </w:r>
      <w:r w:rsidR="00C95A06" w:rsidRPr="009A7163">
        <w:rPr>
          <w:rFonts w:eastAsiaTheme="minorHAnsi"/>
          <w:lang w:val="en" w:eastAsia="en-GB"/>
        </w:rPr>
        <w:t>ise</w:t>
      </w:r>
      <w:r w:rsidRPr="009A7163">
        <w:rPr>
          <w:rFonts w:eastAsiaTheme="minorHAnsi"/>
          <w:lang w:val="en" w:eastAsia="en-GB"/>
        </w:rPr>
        <w:t xml:space="preserve"> and multiply their resources, the women reported that they greatly appreciated having a space where their voice is heard and where they can leave their homes and go to. However, in many cases, fatigue was a higher cost because the families have not redistributed the work.</w:t>
      </w:r>
      <w:r w:rsidRPr="009A7163">
        <w:rPr>
          <w:rFonts w:eastAsiaTheme="minorHAnsi"/>
          <w:lang w:eastAsia="en-GB"/>
        </w:rPr>
        <w:t xml:space="preserve"> This echoes Kabeer (2012b) who argues that economic activities do not always lead to empowerment and can exasperate it. As one key informant, a feminist researcher, said:</w:t>
      </w:r>
    </w:p>
    <w:p w14:paraId="50260B53" w14:textId="77777777" w:rsidR="00FD4ABA" w:rsidRPr="009A7163" w:rsidRDefault="00FD4ABA" w:rsidP="007A3A29">
      <w:pPr>
        <w:spacing w:after="180"/>
        <w:ind w:left="720"/>
        <w:jc w:val="both"/>
        <w:rPr>
          <w:rFonts w:eastAsiaTheme="minorHAnsi"/>
          <w:lang w:eastAsia="en-GB"/>
        </w:rPr>
      </w:pPr>
      <w:r w:rsidRPr="009A7163">
        <w:rPr>
          <w:rFonts w:eastAsiaTheme="minorHAnsi"/>
          <w:lang w:eastAsia="en-GB"/>
        </w:rPr>
        <w:t xml:space="preserve">Prioritizing women does not always mean that you have a vision that is committed to gender equality. If you work with women but do not accompany this work with support and work on multiple levels and with different actors to eliminate the obstacles that stop women from living a full life, projects will not lead to autonomy but rather reinforce the inequality that exists and the roles that women have been assigned – which is in most cases – is a disproportionate workload in relation to the rest of the people in the household (Interview, March 3, 2016). </w:t>
      </w:r>
    </w:p>
    <w:p w14:paraId="5E8D51E8" w14:textId="338AEF49" w:rsidR="00FD4ABA" w:rsidRPr="009A7163" w:rsidRDefault="00FD4ABA">
      <w:pPr>
        <w:spacing w:line="360" w:lineRule="auto"/>
        <w:ind w:firstLine="720"/>
        <w:jc w:val="both"/>
        <w:rPr>
          <w:rFonts w:eastAsiaTheme="minorHAnsi"/>
          <w:lang w:eastAsia="en-GB"/>
        </w:rPr>
      </w:pPr>
      <w:r w:rsidRPr="009A7163">
        <w:rPr>
          <w:rFonts w:eastAsiaTheme="minorHAnsi"/>
          <w:lang w:eastAsia="en-GB"/>
        </w:rPr>
        <w:t>This is also something Mason (2005) said when summarising research in five countries:</w:t>
      </w:r>
    </w:p>
    <w:p w14:paraId="6E8C1A8E" w14:textId="794A577C"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Studies show that engaging in remunerative work is no guarantee of [women] having a say in important household decisions or being able to pursue one’s interests if community norms and the actions of the powerful determine otherwise. Individual traits and experiences such as education, health, or paid employment may influence women’s empowerment, but they do not automatically determine it (Kabeer 1998; Malhotra, Pande, and Grown 2003). Rather, the impact of individual capabilities and assets is mediated by community norms and ideologies that define the rights of women and men. </w:t>
      </w:r>
      <w:r w:rsidR="00CB5EDE" w:rsidRPr="009A7163">
        <w:rPr>
          <w:rFonts w:eastAsiaTheme="minorHAnsi"/>
          <w:lang w:eastAsia="en-GB"/>
        </w:rPr>
        <w:t>(p. 94)</w:t>
      </w:r>
    </w:p>
    <w:p w14:paraId="0FE39B4C" w14:textId="740A9F8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In order for empowerment to occur, gendered structures that constrain need to be tackled (e.g., distributions of rules, norms, resources and identities which ensure that these inequalities are reproduced over time). Gender injustice takes place at all levels of the social structure, including family, community, markets and state (Kabeer, 1994, 1999). Furthermore, supply chains are ‘gender bearers’ (Whitehead, 1979) and ‘markets are not impersonal areas’ (Kabeer, 2012b, p. 50). Gender prejudice at all levels is an obstacle to WEE, whereby women, for example, are not seen as subjects by the cooperative. The decisions made by the cooperative are for and over women. Plus, the cooperative does not assume collective responsibility for care; women have to resolve it. As one expert, co-founder and director of The Movement of Working and Unemployed Women ‘Maria Elena Cuadra’ (MEC) said: </w:t>
      </w:r>
    </w:p>
    <w:p w14:paraId="29C960B1"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The women always have to follow the men because he’s the head of the family, the weak arm. It’s a fight of David against Goliath and now we are fighting this </w:t>
      </w:r>
      <w:r w:rsidRPr="009A7163">
        <w:rPr>
          <w:rFonts w:eastAsiaTheme="minorHAnsi"/>
          <w:lang w:eastAsia="en-GB"/>
        </w:rPr>
        <w:lastRenderedPageBreak/>
        <w:t xml:space="preserve">battle tooth and nails. So how can we transform this gender inequality in families? Well firstly you have to recognise that it’s not just about the families. It’s in the institutions and this is hard. (Expert Interview, May 19, 2016) </w:t>
      </w:r>
    </w:p>
    <w:p w14:paraId="2D8F34FA" w14:textId="4A4D9A8C"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Rai et al. (2017) emphas</w:t>
      </w:r>
      <w:r w:rsidR="00C95A06" w:rsidRPr="009A7163">
        <w:rPr>
          <w:rFonts w:eastAsiaTheme="minorHAnsi"/>
          <w:lang w:eastAsia="en-GB"/>
        </w:rPr>
        <w:t>ise</w:t>
      </w:r>
      <w:r w:rsidRPr="009A7163">
        <w:rPr>
          <w:rFonts w:eastAsiaTheme="minorHAnsi"/>
          <w:lang w:eastAsia="en-GB"/>
        </w:rPr>
        <w:t xml:space="preserve"> the importance of locating empowerment at the local, national and global scales, and emphasise citizenship and human rights discourse. Kabeer (2012) add</w:t>
      </w:r>
      <w:r w:rsidR="00CB5EDE" w:rsidRPr="009A7163">
        <w:rPr>
          <w:rFonts w:eastAsiaTheme="minorHAnsi"/>
          <w:lang w:eastAsia="en-GB"/>
        </w:rPr>
        <w:t>s</w:t>
      </w:r>
      <w:r w:rsidRPr="009A7163">
        <w:rPr>
          <w:rFonts w:eastAsiaTheme="minorHAnsi"/>
          <w:lang w:eastAsia="en-GB"/>
        </w:rPr>
        <w:t xml:space="preserve"> that empowerment does not necessarily lead to women’s engagement in collective struggles for gender justice. So for empowerment to bridge the gulf between individual and institutional change, Kabeer (2012) argue</w:t>
      </w:r>
      <w:r w:rsidR="00CB5EDE" w:rsidRPr="009A7163">
        <w:rPr>
          <w:rFonts w:eastAsiaTheme="minorHAnsi"/>
          <w:lang w:eastAsia="en-GB"/>
        </w:rPr>
        <w:t>s</w:t>
      </w:r>
      <w:r w:rsidRPr="009A7163">
        <w:rPr>
          <w:rFonts w:eastAsiaTheme="minorHAnsi"/>
          <w:lang w:eastAsia="en-GB"/>
        </w:rPr>
        <w:t xml:space="preserve"> for a discourse on citizenship to be included in future discussions on empowerment and gender justice.</w:t>
      </w:r>
    </w:p>
    <w:p w14:paraId="3D88DB6E" w14:textId="3E12492E" w:rsidR="00FD4ABA" w:rsidRPr="009A7163" w:rsidRDefault="003F7611" w:rsidP="00293176">
      <w:pPr>
        <w:pStyle w:val="Heading3"/>
        <w:rPr>
          <w:b w:val="0"/>
        </w:rPr>
      </w:pPr>
      <w:bookmarkStart w:id="167" w:name="_Toc526819366"/>
      <w:r w:rsidRPr="009A7163">
        <w:t xml:space="preserve">8.4.2  </w:t>
      </w:r>
      <w:r w:rsidR="00FD4ABA" w:rsidRPr="009A7163">
        <w:t>Individual versus Collective Empowerment Strategies Are Problematic</w:t>
      </w:r>
      <w:bookmarkEnd w:id="167"/>
    </w:p>
    <w:p w14:paraId="4656EE17" w14:textId="060A95DD"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decision as to whether the women should receive the money individually and/or whether it should be put into a collective pot and used as a revolving credit fund was a common theme in the interviews and focus groups.  On the one hand, promoting individual models of development could be seen to be a Western imperialistic model alien to the discourses and social norms in Nicaragua around family, political party</w:t>
      </w:r>
      <w:r w:rsidR="00CB5EDE" w:rsidRPr="009A7163">
        <w:rPr>
          <w:rFonts w:eastAsiaTheme="minorHAnsi"/>
          <w:lang w:eastAsia="en-GB"/>
        </w:rPr>
        <w:t xml:space="preserve"> and</w:t>
      </w:r>
      <w:r w:rsidRPr="009A7163">
        <w:rPr>
          <w:rFonts w:eastAsiaTheme="minorHAnsi"/>
          <w:lang w:eastAsia="en-GB"/>
        </w:rPr>
        <w:t xml:space="preserve"> cooperative and collectivist social norms. However, collective strategies for empowerment means working with collective structures like cooperatives and families and other local agencies that can further entrench existing gender roles</w:t>
      </w:r>
      <w:r w:rsidR="00CB5EDE" w:rsidRPr="009A7163">
        <w:rPr>
          <w:rFonts w:eastAsiaTheme="minorHAnsi"/>
          <w:lang w:eastAsia="en-GB"/>
        </w:rPr>
        <w:t xml:space="preserve"> and</w:t>
      </w:r>
      <w:r w:rsidRPr="009A7163">
        <w:rPr>
          <w:rFonts w:eastAsiaTheme="minorHAnsi"/>
          <w:lang w:eastAsia="en-GB"/>
        </w:rPr>
        <w:t xml:space="preserve"> inequalities, and that do not address wider structural issues and social norms.</w:t>
      </w:r>
    </w:p>
    <w:p w14:paraId="0FF8CE1D" w14:textId="77777777"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As was already illustrated, the women often questioned why they did not receive the money directly; however, in some cases the women mentioned it seemed unnatural to them to be offered a women-specific loan when they always shared money and resources in the family. One women said: </w:t>
      </w:r>
    </w:p>
    <w:p w14:paraId="5707D546" w14:textId="4F03B006" w:rsidR="00FD4ABA" w:rsidRPr="009A7163" w:rsidRDefault="00FD4ABA" w:rsidP="00293176">
      <w:pPr>
        <w:spacing w:after="180"/>
        <w:ind w:left="720"/>
        <w:jc w:val="both"/>
        <w:rPr>
          <w:rFonts w:eastAsiaTheme="minorHAnsi"/>
          <w:lang w:eastAsia="en-GB"/>
        </w:rPr>
      </w:pPr>
      <w:r w:rsidRPr="009A7163">
        <w:rPr>
          <w:rFonts w:eastAsiaTheme="minorHAnsi"/>
          <w:lang w:eastAsia="en-GB"/>
        </w:rPr>
        <w:t xml:space="preserve">When they came to tell us how the project was going to work, they said what it was for and went on to explain how the individual loan worked…for the majority of us, we’re used to working together – the entire family together on the same plot of land, so for this project to come here and say, “Right we are going to give each women half a manzana”, it’s like you’re trying to divide our work which belongs to us…Our husbands agreed we should work together so we don’t really work alone. (Focus group, La Pita, March 4, 2015). </w:t>
      </w:r>
    </w:p>
    <w:p w14:paraId="628DB4BF" w14:textId="77777777"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This idea of family was another theme that was repeated and especially at the cooperative level whereby the idea of working with the women was in the family logic, i.e. ‘women’s empowerment’ equivalent to ‘family empowerment’, which has been criticised by other academics (Del Tronco, 2009; Larrochea, 2011; Tabbush, 2009). In </w:t>
      </w:r>
      <w:r w:rsidRPr="009A7163">
        <w:rPr>
          <w:rFonts w:eastAsiaTheme="minorHAnsi"/>
          <w:lang w:eastAsia="en-GB"/>
        </w:rPr>
        <w:lastRenderedPageBreak/>
        <w:t>both case studies the cooperatives have a preference to work with the logic of the family and, in one instance, a worker at the cooperative said it was easier to work with the family rather than on women’s issues, which could be named feminist and therefore cause men in particular to feel threatened (Fieldwork diary, January 2015). However, when the cooperative personnel referred to the family, they did not reflect on internal power dynamics or acknowledge that the household is not a neutral space. The manager of CJFPS said:</w:t>
      </w:r>
    </w:p>
    <w:p w14:paraId="715BE6D0"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It’s about how the family internally distributes the income from sesame. It’s probably a subject that may be resolved in perhaps 100 years, but the final objective of all of this is that the man should arrive at the house and know that the money isn’t just his. Some of it is for his children and some for his wife, and he should distribute it. However, this doesn’t happen. Today men have received the money for the whole harvest and they’re in the canteen next door drinking. They will arrive home with zero. (Expert Interview, January 8, 2015)</w:t>
      </w:r>
    </w:p>
    <w:p w14:paraId="6DB2BB30" w14:textId="0155D251"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Whilst the manager decries the irresponsible use of income and advocates for a fair distribution, he, like others, seemed to suggest that redistributing is a neutral term. This links to recommendations by practitioners that resolving </w:t>
      </w:r>
      <w:r w:rsidR="003A2C87" w:rsidRPr="009A7163">
        <w:rPr>
          <w:rFonts w:eastAsiaTheme="minorHAnsi"/>
          <w:lang w:eastAsia="en-GB"/>
        </w:rPr>
        <w:t>UCW</w:t>
      </w:r>
      <w:r w:rsidRPr="009A7163">
        <w:rPr>
          <w:rFonts w:eastAsiaTheme="minorHAnsi"/>
          <w:lang w:eastAsia="en-GB"/>
        </w:rPr>
        <w:t xml:space="preserve"> requires the 3 R’s (</w:t>
      </w:r>
      <w:r w:rsidR="005F5F5A" w:rsidRPr="009A7163">
        <w:rPr>
          <w:rFonts w:eastAsiaTheme="minorHAnsi"/>
          <w:lang w:eastAsia="en-GB"/>
        </w:rPr>
        <w:t>recongise</w:t>
      </w:r>
      <w:r w:rsidRPr="009A7163">
        <w:rPr>
          <w:rFonts w:eastAsiaTheme="minorHAnsi"/>
          <w:lang w:eastAsia="en-GB"/>
        </w:rPr>
        <w:t>, reduce, redistribute) (Elson, 2008). Recommendations to reduce and redistribute assume are not neutral words or can happen in a neutral space. There is always an interplay of power. A gender researcher from the research organization, Nitlapan, raised the issue of offering finance to the women without educating the women or working with the men:</w:t>
      </w:r>
    </w:p>
    <w:p w14:paraId="7CC40390" w14:textId="77777777" w:rsidR="00FD4ABA" w:rsidRPr="009A7163" w:rsidRDefault="00FD4ABA" w:rsidP="00293176">
      <w:pPr>
        <w:spacing w:after="180"/>
        <w:ind w:left="720"/>
        <w:jc w:val="both"/>
        <w:rPr>
          <w:rFonts w:eastAsiaTheme="minorHAnsi"/>
          <w:lang w:eastAsia="en-GB"/>
        </w:rPr>
      </w:pPr>
      <w:r w:rsidRPr="009A7163">
        <w:rPr>
          <w:rFonts w:eastAsiaTheme="minorHAnsi"/>
          <w:lang w:eastAsia="en-GB"/>
        </w:rPr>
        <w:t>Are you giving the women loans so that they have more autonomy or is the microcredit really for the men to administer? Often, there are multiple oppressions behind this…because if you finance by a microcredit but don’t know whose hands the profits have fallen into…you have to look into this. If the objective of the microfinancing is to give women more power and autonomy, I agree. But if this isn’t happening, you need to add an educational component. (Expert Interview, May 19, 2016)</w:t>
      </w:r>
    </w:p>
    <w:p w14:paraId="06C9B782" w14:textId="5472271F"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It was very clear from the data collected that individual empowerment is not viewed as a collective responsibility. A promotor for the cooperative in Achuapa said that there had been some reports of violence due to the women accessing the resources of the fund and she said as a promotor for the initiative chosen by the cooperative she was told that the strategy she must promote is to talk with the women and teach them</w:t>
      </w:r>
      <w:r w:rsidR="00CB5EDE" w:rsidRPr="009A7163">
        <w:rPr>
          <w:rFonts w:eastAsiaTheme="minorHAnsi"/>
          <w:lang w:eastAsia="en-GB"/>
        </w:rPr>
        <w:t xml:space="preserve"> and </w:t>
      </w:r>
      <w:r w:rsidRPr="009A7163">
        <w:rPr>
          <w:rFonts w:eastAsiaTheme="minorHAnsi"/>
          <w:lang w:eastAsia="en-GB"/>
        </w:rPr>
        <w:t xml:space="preserve">raise </w:t>
      </w:r>
      <w:r w:rsidR="00CB5EDE" w:rsidRPr="009A7163">
        <w:rPr>
          <w:rFonts w:eastAsiaTheme="minorHAnsi"/>
          <w:lang w:eastAsia="en-GB"/>
        </w:rPr>
        <w:t xml:space="preserve">their </w:t>
      </w:r>
      <w:r w:rsidRPr="009A7163">
        <w:rPr>
          <w:rFonts w:eastAsiaTheme="minorHAnsi"/>
          <w:lang w:eastAsia="en-GB"/>
        </w:rPr>
        <w:t xml:space="preserve">awareness of the importance of negotiating at home (Interview, female, 45–54 years old, married, member, producer, 3–6 years in the initiative). If the vision of the initiative is to transform roles within the family and care roles, encouraging the </w:t>
      </w:r>
      <w:r w:rsidRPr="009A7163">
        <w:rPr>
          <w:rFonts w:eastAsiaTheme="minorHAnsi"/>
          <w:lang w:eastAsia="en-GB"/>
        </w:rPr>
        <w:lastRenderedPageBreak/>
        <w:t>women to negotiate does not echo the vision. The CJFPS gender coordinator also commented that the men see the gender work that accompanies th</w:t>
      </w:r>
      <w:r w:rsidR="00364CF9" w:rsidRPr="009A7163">
        <w:rPr>
          <w:rFonts w:eastAsiaTheme="minorHAnsi"/>
          <w:lang w:eastAsia="en-GB"/>
        </w:rPr>
        <w:t xml:space="preserve">e initiative as a challenge to </w:t>
      </w:r>
      <w:r w:rsidRPr="009A7163">
        <w:rPr>
          <w:rFonts w:eastAsiaTheme="minorHAnsi"/>
          <w:lang w:eastAsia="en-GB"/>
        </w:rPr>
        <w:t>family laws and the family (Fieldwork Notes, Achuapa, January 19–20, 2015). The Academic Coordinator for a Master’s Gender Program at the Universidad Centroamericana</w:t>
      </w:r>
      <w:r w:rsidR="00364CF9" w:rsidRPr="009A7163">
        <w:rPr>
          <w:rFonts w:eastAsiaTheme="minorHAnsi"/>
          <w:lang w:eastAsia="en-GB"/>
        </w:rPr>
        <w:t>, Ana Portocarrero</w:t>
      </w:r>
      <w:r w:rsidR="00CB5EDE" w:rsidRPr="009A7163">
        <w:rPr>
          <w:rFonts w:eastAsiaTheme="minorHAnsi"/>
          <w:lang w:eastAsia="en-GB"/>
        </w:rPr>
        <w:t>,</w:t>
      </w:r>
      <w:r w:rsidRPr="009A7163">
        <w:rPr>
          <w:rFonts w:eastAsiaTheme="minorHAnsi"/>
          <w:lang w:eastAsia="en-GB"/>
        </w:rPr>
        <w:t xml:space="preserve"> said:</w:t>
      </w:r>
    </w:p>
    <w:p w14:paraId="0391A403" w14:textId="5B84C78B" w:rsidR="00FD4ABA" w:rsidRPr="009A7163" w:rsidRDefault="00FD4ABA" w:rsidP="00293176">
      <w:pPr>
        <w:spacing w:after="180"/>
        <w:ind w:left="720"/>
        <w:jc w:val="both"/>
        <w:rPr>
          <w:rFonts w:eastAsiaTheme="minorHAnsi"/>
          <w:lang w:eastAsia="en-GB"/>
        </w:rPr>
      </w:pPr>
      <w:r w:rsidRPr="009A7163">
        <w:rPr>
          <w:rFonts w:eastAsiaTheme="minorHAnsi"/>
          <w:lang w:eastAsia="en-GB"/>
        </w:rPr>
        <w:t>Ay, it’s so complicated…when you think of the family, an image of a democratic family, very beautiful where everyone helps each other comes to mind. However, in reality, the family is a space of conflict and not everyone in the family has the same responsibilities or the same power. So often this focus on the family hides internal inequalities and often can intensify these inequalities. So, it would be great if projects that say they are working with families, begin by questioning these inequalities, these conflicts, by seeing with the family what each person thinks they could contribute to a better life for all…this is what people call the black box and people either don’t like opening it or like to compartmental</w:t>
      </w:r>
      <w:r w:rsidR="00C95A06" w:rsidRPr="009A7163">
        <w:rPr>
          <w:rFonts w:eastAsiaTheme="minorHAnsi"/>
          <w:lang w:eastAsia="en-GB"/>
        </w:rPr>
        <w:t>ise</w:t>
      </w:r>
      <w:r w:rsidRPr="009A7163">
        <w:rPr>
          <w:rFonts w:eastAsiaTheme="minorHAnsi"/>
          <w:lang w:eastAsia="en-GB"/>
        </w:rPr>
        <w:t>…they’ll happily work with women on gender, men on masculinities but rarely together… (Expert Interview, March 14, 2016)</w:t>
      </w:r>
    </w:p>
    <w:p w14:paraId="054DB9E5" w14:textId="6D893593"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study highlighted the importance of dealing with oppression at all levels, including men, and addressing their oppression in two focus groups with the men the issue of their feelings of oppression was expressed and how this led to them falling into oppressive behaviours with their partners. As</w:t>
      </w:r>
      <w:r w:rsidR="00364CF9" w:rsidRPr="009A7163">
        <w:rPr>
          <w:rFonts w:eastAsiaTheme="minorHAnsi"/>
          <w:lang w:eastAsia="en-GB"/>
        </w:rPr>
        <w:t xml:space="preserve"> Ana Portocarrero</w:t>
      </w:r>
      <w:r w:rsidRPr="009A7163">
        <w:rPr>
          <w:rFonts w:eastAsiaTheme="minorHAnsi"/>
          <w:lang w:eastAsia="en-GB"/>
        </w:rPr>
        <w:t xml:space="preserve"> suggested, it is important to consider working with men but also simultaneously. This was a theme that came up in the focus groups in Achuapa where the participants thanked us for having opened up a space for them for the first time to work as a couple.</w:t>
      </w:r>
    </w:p>
    <w:p w14:paraId="108D78D0" w14:textId="77777777" w:rsidR="00712CDE" w:rsidRPr="009A7163" w:rsidRDefault="00FD4ABA">
      <w:pPr>
        <w:spacing w:line="360" w:lineRule="auto"/>
        <w:ind w:firstLine="720"/>
        <w:jc w:val="both"/>
        <w:rPr>
          <w:rFonts w:eastAsiaTheme="minorHAnsi"/>
          <w:lang w:eastAsia="en-GB"/>
        </w:rPr>
      </w:pPr>
      <w:r w:rsidRPr="009A7163">
        <w:rPr>
          <w:rFonts w:eastAsiaTheme="minorHAnsi"/>
          <w:lang w:eastAsia="en-GB"/>
        </w:rPr>
        <w:t xml:space="preserve">The focus on collective empowerment strategies by the cooperative also has issues as Narayan (2005) succinctly expressed: </w:t>
      </w:r>
    </w:p>
    <w:p w14:paraId="11E13F84" w14:textId="35E84DA3" w:rsidR="00FD4ABA" w:rsidRPr="009A7163" w:rsidRDefault="00712CDE" w:rsidP="007A3A29">
      <w:pPr>
        <w:spacing w:after="180"/>
        <w:ind w:left="720"/>
        <w:jc w:val="both"/>
        <w:rPr>
          <w:rFonts w:eastAsiaTheme="minorHAnsi"/>
          <w:lang w:eastAsia="en-GB"/>
        </w:rPr>
      </w:pPr>
      <w:r w:rsidRPr="009A7163">
        <w:rPr>
          <w:rFonts w:eastAsiaTheme="minorHAnsi"/>
          <w:lang w:eastAsia="en-GB"/>
        </w:rPr>
        <w:t>F</w:t>
      </w:r>
      <w:r w:rsidR="00FD4ABA" w:rsidRPr="009A7163">
        <w:rPr>
          <w:rFonts w:eastAsiaTheme="minorHAnsi"/>
          <w:lang w:eastAsia="en-GB"/>
        </w:rPr>
        <w:t>irst, women are not a homogenous group and women are not just one group among various disempowered subsets of society (e.g., the poor, ethnic minorities, and so on). They are a cross-cutting category of individuals that overlaps with all these other groups. Second, household and interfamilial relations are a central locus of women’s disempowerment in a way that is not true for other disadvantaged groups. This means that efforts at empowering women must be especially cognizant of the household-level implications of broader policy action. Third, it can be argued that while empowerment in general requires institutional transformation, women’s empowerment requires systemic transformation not just of any institutions, but specifically of those supporting patriarchal structures</w:t>
      </w:r>
      <w:r w:rsidR="00CB5EDE" w:rsidRPr="009A7163">
        <w:rPr>
          <w:rFonts w:eastAsiaTheme="minorHAnsi"/>
          <w:lang w:eastAsia="en-GB"/>
        </w:rPr>
        <w:t>.</w:t>
      </w:r>
      <w:r w:rsidR="00FD4ABA" w:rsidRPr="009A7163">
        <w:rPr>
          <w:rFonts w:eastAsiaTheme="minorHAnsi"/>
          <w:lang w:eastAsia="en-GB"/>
        </w:rPr>
        <w:t xml:space="preserve"> (p. 72)</w:t>
      </w:r>
    </w:p>
    <w:p w14:paraId="094E5CB6" w14:textId="0D2736A9"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The tensions between family versus women and individual versus collective is complicated. Kabeer (2001) state</w:t>
      </w:r>
      <w:r w:rsidR="00CB5EDE" w:rsidRPr="009A7163">
        <w:rPr>
          <w:rFonts w:eastAsiaTheme="minorHAnsi"/>
          <w:lang w:eastAsia="en-GB"/>
        </w:rPr>
        <w:t>s</w:t>
      </w:r>
      <w:r w:rsidRPr="009A7163">
        <w:rPr>
          <w:rFonts w:eastAsiaTheme="minorHAnsi"/>
          <w:lang w:eastAsia="en-GB"/>
        </w:rPr>
        <w:t xml:space="preserve"> that we need to make a distinction between forms of change which have been priorit</w:t>
      </w:r>
      <w:r w:rsidR="00C95A06" w:rsidRPr="009A7163">
        <w:rPr>
          <w:rFonts w:eastAsiaTheme="minorHAnsi"/>
          <w:lang w:eastAsia="en-GB"/>
        </w:rPr>
        <w:t>ise</w:t>
      </w:r>
      <w:r w:rsidRPr="009A7163">
        <w:rPr>
          <w:rFonts w:eastAsiaTheme="minorHAnsi"/>
          <w:lang w:eastAsia="en-GB"/>
        </w:rPr>
        <w:t xml:space="preserve">d in the feminist or in the developmental literature and forms of change valued by those whose lives an intervention is seeking to </w:t>
      </w:r>
      <w:r w:rsidRPr="009A7163">
        <w:rPr>
          <w:rFonts w:eastAsiaTheme="minorHAnsi"/>
          <w:lang w:eastAsia="en-GB"/>
        </w:rPr>
        <w:lastRenderedPageBreak/>
        <w:t>transform. This is explored later in Kabeer’s (2012) concept of grounded theories of change in women’s lives where she raises important questions about the universality of values of individual rights and personal choices. Citing Abu-Laughod (2002), Kabeer (2001) raise</w:t>
      </w:r>
      <w:r w:rsidR="00CB5EDE" w:rsidRPr="009A7163">
        <w:rPr>
          <w:rFonts w:eastAsiaTheme="minorHAnsi"/>
          <w:lang w:eastAsia="en-GB"/>
        </w:rPr>
        <w:t>s</w:t>
      </w:r>
      <w:r w:rsidRPr="009A7163">
        <w:rPr>
          <w:rFonts w:eastAsiaTheme="minorHAnsi"/>
          <w:lang w:eastAsia="en-GB"/>
        </w:rPr>
        <w:t xml:space="preserve"> the question as to whether emancipation, equality and rights are part of some universal discourse of justice to which we all must subscribe</w:t>
      </w:r>
      <w:r w:rsidR="00CB5EDE" w:rsidRPr="009A7163">
        <w:rPr>
          <w:rFonts w:eastAsiaTheme="minorHAnsi"/>
          <w:lang w:eastAsia="en-GB"/>
        </w:rPr>
        <w:t>.</w:t>
      </w:r>
      <w:r w:rsidRPr="009A7163">
        <w:rPr>
          <w:rFonts w:eastAsiaTheme="minorHAnsi"/>
          <w:lang w:eastAsia="en-GB"/>
        </w:rPr>
        <w:t xml:space="preserve"> Abu-Laughod (2002) mention</w:t>
      </w:r>
      <w:r w:rsidR="00CB5EDE" w:rsidRPr="009A7163">
        <w:rPr>
          <w:rFonts w:eastAsiaTheme="minorHAnsi"/>
          <w:lang w:eastAsia="en-GB"/>
        </w:rPr>
        <w:t>s</w:t>
      </w:r>
      <w:r w:rsidRPr="009A7163">
        <w:rPr>
          <w:rFonts w:eastAsiaTheme="minorHAnsi"/>
          <w:lang w:eastAsia="en-GB"/>
        </w:rPr>
        <w:t xml:space="preserve"> that other values, such as closeness with family and cultivation of piety, are given greater priority by women in different parts of the world. Kabeer (2012) calls for a grounded theory of change in women’s lives. Mason (2005) argues women’s empowerment reflects community norms rather than women’s individual traits (p. 91), and so in essence it is about community values and norms about gender roles (Mason and Smith, 2003). The issue of choice – and in particular free choice and not choices decided by the community or social norms – leads to the next key message of adaptive preferences.</w:t>
      </w:r>
    </w:p>
    <w:p w14:paraId="31D263C2" w14:textId="7781CC39" w:rsidR="00FD4ABA" w:rsidRPr="009A7163" w:rsidRDefault="003F7611" w:rsidP="00293176">
      <w:pPr>
        <w:pStyle w:val="Heading3"/>
        <w:rPr>
          <w:b w:val="0"/>
        </w:rPr>
      </w:pPr>
      <w:bookmarkStart w:id="168" w:name="_Toc526819367"/>
      <w:r w:rsidRPr="009A7163">
        <w:t xml:space="preserve">8.4.3  </w:t>
      </w:r>
      <w:r w:rsidR="00FD4ABA" w:rsidRPr="009A7163">
        <w:t>Individual Choice Is Not a Free Choice as Women Have Adapted Preferences</w:t>
      </w:r>
      <w:bookmarkEnd w:id="168"/>
      <w:r w:rsidR="00FD4ABA" w:rsidRPr="009A7163">
        <w:t xml:space="preserve"> </w:t>
      </w:r>
    </w:p>
    <w:p w14:paraId="6F49CF15" w14:textId="7F2D9BCE"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 xml:space="preserve">Women through the initiative may have more choices in theory, but they have adapted preferences because of internalised norms. So, whilst women could gain more free time or leisure if the </w:t>
      </w:r>
      <w:r w:rsidR="003A2C87" w:rsidRPr="009A7163">
        <w:rPr>
          <w:rFonts w:eastAsiaTheme="minorHAnsi"/>
          <w:lang w:eastAsia="en-GB"/>
        </w:rPr>
        <w:t>UCW</w:t>
      </w:r>
      <w:r w:rsidRPr="009A7163">
        <w:rPr>
          <w:rFonts w:eastAsiaTheme="minorHAnsi"/>
          <w:lang w:eastAsia="en-GB"/>
        </w:rPr>
        <w:t xml:space="preserve"> was distributed with other family members, the women may not choose to rest, for example, because of adaptive preferences or internalised social norms about being a good mother or ‘martyr’. Many of the women interviewed said that they administer the money that they earn (relatively small amounts). However, in nearly all of the cases in the household survey, they reported that the money went to household costs. In a few interviews, women mentioned that they do not take ‘important’ decisions alone. None of the women mentioned that they use their earnings for expenditures that are exclusively for their own needs. Some mentioned proudly that they are both mother and father and assume all costs of the household costs, so instead of questioning this inequality, they worked harder and saw it as a choice, even though it was related to paternal irresponsibility. Female altruism</w:t>
      </w:r>
      <w:r w:rsidRPr="009A7163">
        <w:rPr>
          <w:rFonts w:eastAsiaTheme="minorHAnsi"/>
          <w:vertAlign w:val="superscript"/>
          <w:lang w:eastAsia="en-GB"/>
        </w:rPr>
        <w:footnoteReference w:id="131"/>
      </w:r>
      <w:r w:rsidRPr="009A7163">
        <w:rPr>
          <w:rFonts w:eastAsiaTheme="minorHAnsi"/>
          <w:lang w:eastAsia="en-GB"/>
        </w:rPr>
        <w:t xml:space="preserve"> and the toll on the women’s body, what Brickell and Chant (2010) aptly name ‘the unbearable heaviness of being’ is a consequence of adaptive preferences. When the women were asked in the </w:t>
      </w:r>
      <w:r w:rsidRPr="009A7163">
        <w:rPr>
          <w:rFonts w:eastAsiaTheme="minorHAnsi"/>
          <w:lang w:eastAsia="en-GB"/>
        </w:rPr>
        <w:lastRenderedPageBreak/>
        <w:t>household survey about what they’d like to do if they had more spare time in Achuapa, the top answer was earn more money/work (followed by rest and then more time for agricultural work). In San Ramón the top answer was more time for religious activities, followed by rest and then time for agricultural and community work.  Although rest was the second most popular answer for the women in both case studies, in many of the interviews and in the three focus groups conducted the women, women expressed that they do not like to rest and that you won’t find them ‘sitting down doing nothing’. They chose to endure ailments, exhaustion and sickness rather than taking time to rest, and only in the case of emergencies did they do less unpaid work and men ‘helped’ them with the work rather than assuming their responsibility. A Nicaraguan economist, feminist and gender expert (UNDP consultant)</w:t>
      </w:r>
      <w:r w:rsidR="00CB5EDE" w:rsidRPr="009A7163">
        <w:rPr>
          <w:rFonts w:eastAsiaTheme="minorHAnsi"/>
          <w:lang w:eastAsia="en-GB"/>
        </w:rPr>
        <w:t>,</w:t>
      </w:r>
      <w:r w:rsidRPr="009A7163">
        <w:rPr>
          <w:rFonts w:eastAsiaTheme="minorHAnsi"/>
          <w:lang w:eastAsia="en-GB"/>
        </w:rPr>
        <w:t xml:space="preserve"> </w:t>
      </w:r>
      <w:r w:rsidR="00C81AE2" w:rsidRPr="009A7163">
        <w:rPr>
          <w:rFonts w:eastAsiaTheme="minorHAnsi"/>
          <w:lang w:eastAsia="en-GB"/>
        </w:rPr>
        <w:t>Isolda Espinosa</w:t>
      </w:r>
      <w:r w:rsidR="00CB5EDE" w:rsidRPr="009A7163">
        <w:rPr>
          <w:rFonts w:eastAsiaTheme="minorHAnsi"/>
          <w:lang w:eastAsia="en-GB"/>
        </w:rPr>
        <w:t>,</w:t>
      </w:r>
      <w:r w:rsidR="00C81AE2" w:rsidRPr="009A7163">
        <w:rPr>
          <w:rFonts w:eastAsiaTheme="minorHAnsi"/>
          <w:lang w:eastAsia="en-GB"/>
        </w:rPr>
        <w:t xml:space="preserve"> </w:t>
      </w:r>
      <w:r w:rsidRPr="009A7163">
        <w:rPr>
          <w:rFonts w:eastAsiaTheme="minorHAnsi"/>
          <w:lang w:eastAsia="en-GB"/>
        </w:rPr>
        <w:t xml:space="preserve">in an interview explained: </w:t>
      </w:r>
    </w:p>
    <w:p w14:paraId="7D9A4F03" w14:textId="13BF2CD8" w:rsidR="00FD4ABA" w:rsidRPr="009A7163" w:rsidRDefault="00FD4ABA" w:rsidP="00293176">
      <w:pPr>
        <w:spacing w:after="180"/>
        <w:ind w:left="720"/>
        <w:jc w:val="both"/>
        <w:rPr>
          <w:rFonts w:eastAsiaTheme="minorHAnsi"/>
          <w:lang w:eastAsia="en-GB"/>
        </w:rPr>
      </w:pPr>
      <w:r w:rsidRPr="009A7163">
        <w:rPr>
          <w:rFonts w:eastAsiaTheme="minorHAnsi"/>
          <w:lang w:eastAsia="en-GB"/>
        </w:rPr>
        <w:t>So we [women socialised in Nicaragua] feel proud [when we cover all the responsibilities]...and although its ok to feel proud we’re also falling into a trap because in a way when we are self-sufficient and do everything we are contributing to the irresponsibility and complacency of men and so this is where I think this part of the negotiation to change our identity has to come in. We have learnt to be omnipresent for everyone…this is so common here in Nicaragua. A feminist, Nicaraguan anthropologist</w:t>
      </w:r>
      <w:r w:rsidR="00CB5EDE" w:rsidRPr="009A7163">
        <w:rPr>
          <w:rFonts w:eastAsiaTheme="minorHAnsi"/>
          <w:lang w:eastAsia="en-GB"/>
        </w:rPr>
        <w:t>,</w:t>
      </w:r>
      <w:r w:rsidRPr="009A7163">
        <w:rPr>
          <w:rFonts w:eastAsiaTheme="minorHAnsi"/>
          <w:lang w:eastAsia="en-GB"/>
        </w:rPr>
        <w:t xml:space="preserve"> Marcela Largarde</w:t>
      </w:r>
      <w:r w:rsidR="00CB5EDE" w:rsidRPr="009A7163">
        <w:rPr>
          <w:rFonts w:eastAsiaTheme="minorHAnsi"/>
          <w:lang w:eastAsia="en-GB"/>
        </w:rPr>
        <w:t>,</w:t>
      </w:r>
      <w:r w:rsidRPr="009A7163">
        <w:rPr>
          <w:rFonts w:eastAsiaTheme="minorHAnsi"/>
          <w:lang w:eastAsia="en-GB"/>
        </w:rPr>
        <w:t xml:space="preserve"> stated that ‘we have learnt to be impotent towards ourselves and our needs and omnipotent for others’ (Expert Interview, December 11, 2015).</w:t>
      </w:r>
    </w:p>
    <w:p w14:paraId="23D625FF" w14:textId="28280973"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This idea of being omnipotent for everyone and everyone else’s needs has been internalised. Following on from this woman take on a role which is primarily about resolving household needs or maintaining a ‘resilient’</w:t>
      </w:r>
      <w:r w:rsidRPr="009A7163">
        <w:rPr>
          <w:rFonts w:eastAsiaTheme="minorHAnsi"/>
          <w:vertAlign w:val="superscript"/>
          <w:lang w:eastAsia="en-GB"/>
        </w:rPr>
        <w:footnoteReference w:id="132"/>
      </w:r>
      <w:r w:rsidRPr="009A7163">
        <w:rPr>
          <w:rFonts w:eastAsiaTheme="minorHAnsi"/>
          <w:lang w:eastAsia="en-GB"/>
        </w:rPr>
        <w:t xml:space="preserve"> household, as the former head </w:t>
      </w:r>
      <w:r w:rsidR="001B31D5" w:rsidRPr="009A7163">
        <w:rPr>
          <w:rFonts w:eastAsiaTheme="minorHAnsi"/>
          <w:lang w:eastAsia="en-GB"/>
        </w:rPr>
        <w:t>BSI</w:t>
      </w:r>
      <w:r w:rsidRPr="009A7163">
        <w:rPr>
          <w:rFonts w:eastAsiaTheme="minorHAnsi"/>
          <w:lang w:eastAsia="en-GB"/>
        </w:rPr>
        <w:t xml:space="preserve"> buyer for Latin America noted (Expert Interview, February 23, 2017).</w:t>
      </w:r>
    </w:p>
    <w:p w14:paraId="631C3511" w14:textId="74D6EF64" w:rsidR="00FD4ABA" w:rsidRPr="009A7163" w:rsidRDefault="003F7611" w:rsidP="00293176">
      <w:pPr>
        <w:pStyle w:val="Heading3"/>
        <w:rPr>
          <w:b w:val="0"/>
        </w:rPr>
      </w:pPr>
      <w:bookmarkStart w:id="169" w:name="_Toc526819368"/>
      <w:r w:rsidRPr="009A7163">
        <w:t xml:space="preserve">8.4.4  </w:t>
      </w:r>
      <w:r w:rsidR="00FD4ABA" w:rsidRPr="009A7163">
        <w:t>Resilience or Empowerment? Measuring Survival</w:t>
      </w:r>
      <w:bookmarkEnd w:id="169"/>
    </w:p>
    <w:p w14:paraId="4C2CBC25" w14:textId="1ADC3E52" w:rsidR="00FD4ABA" w:rsidRPr="009A7163" w:rsidRDefault="00FD4ABA" w:rsidP="008C041F">
      <w:pPr>
        <w:spacing w:line="360" w:lineRule="auto"/>
        <w:ind w:firstLine="720"/>
        <w:jc w:val="both"/>
        <w:rPr>
          <w:rFonts w:eastAsiaTheme="minorHAnsi"/>
          <w:lang w:eastAsia="en-GB"/>
        </w:rPr>
      </w:pPr>
      <w:r w:rsidRPr="009A7163">
        <w:rPr>
          <w:rFonts w:eastAsiaTheme="minorHAnsi"/>
          <w:lang w:eastAsia="en-GB"/>
        </w:rPr>
        <w:t>The last key message is a reflection on the role of women and the need to redefine empowerment or re-politic</w:t>
      </w:r>
      <w:r w:rsidR="00C95A06" w:rsidRPr="009A7163">
        <w:rPr>
          <w:rFonts w:eastAsiaTheme="minorHAnsi"/>
          <w:lang w:eastAsia="en-GB"/>
        </w:rPr>
        <w:t>ise</w:t>
      </w:r>
      <w:r w:rsidRPr="009A7163">
        <w:rPr>
          <w:rFonts w:eastAsiaTheme="minorHAnsi"/>
          <w:lang w:eastAsia="en-GB"/>
        </w:rPr>
        <w:t xml:space="preserve"> it as other scholars have rallied (Batilwala, 2007; Kabeer, 1999; Rai et al., 2007.). The most upsetting and pressing finding in the research was how the women were barely surviving. The role that women play in rural households – positively spun as building resilient households </w:t>
      </w:r>
      <w:r w:rsidR="004F6E40" w:rsidRPr="009A7163">
        <w:rPr>
          <w:rFonts w:eastAsiaTheme="minorHAnsi"/>
          <w:lang w:eastAsia="en-GB"/>
        </w:rPr>
        <w:t>(</w:t>
      </w:r>
      <w:r w:rsidRPr="009A7163">
        <w:rPr>
          <w:rFonts w:eastAsiaTheme="minorHAnsi"/>
          <w:lang w:eastAsia="en-GB"/>
        </w:rPr>
        <w:t>Butler and Hoskyns, 2016) or as ‘shock absorbers’ (Chant, 2007; Elson, 2002)</w:t>
      </w:r>
      <w:r w:rsidR="004F6E40" w:rsidRPr="009A7163">
        <w:rPr>
          <w:rFonts w:eastAsiaTheme="minorHAnsi"/>
          <w:lang w:eastAsia="en-GB"/>
        </w:rPr>
        <w:t xml:space="preserve"> is a complex argument</w:t>
      </w:r>
      <w:r w:rsidRPr="009A7163">
        <w:rPr>
          <w:rFonts w:eastAsiaTheme="minorHAnsi"/>
          <w:lang w:eastAsia="en-GB"/>
        </w:rPr>
        <w:t>.</w:t>
      </w:r>
      <w:r w:rsidR="004F6E40" w:rsidRPr="009A7163">
        <w:rPr>
          <w:rFonts w:eastAsiaTheme="minorHAnsi"/>
          <w:lang w:eastAsia="en-GB"/>
        </w:rPr>
        <w:t xml:space="preserve"> </w:t>
      </w:r>
      <w:r w:rsidR="00240EB4" w:rsidRPr="009A7163">
        <w:rPr>
          <w:rFonts w:eastAsiaTheme="minorHAnsi"/>
          <w:lang w:eastAsia="en-GB"/>
        </w:rPr>
        <w:lastRenderedPageBreak/>
        <w:t>Firstly,</w:t>
      </w:r>
      <w:r w:rsidR="004F6E40" w:rsidRPr="009A7163">
        <w:rPr>
          <w:rFonts w:eastAsiaTheme="minorHAnsi"/>
          <w:lang w:eastAsia="en-GB"/>
        </w:rPr>
        <w:t xml:space="preserve"> there are many definitions of resilience an</w:t>
      </w:r>
      <w:r w:rsidR="00240EB4" w:rsidRPr="009A7163">
        <w:rPr>
          <w:rFonts w:eastAsiaTheme="minorHAnsi"/>
          <w:lang w:eastAsia="en-GB"/>
        </w:rPr>
        <w:t>d it is a big topic of debate. One argument is that providing options for women in households to have viable economic activities is one part of household resilience and one of the many complex and interconnected pathways to achieving a living income for households.</w:t>
      </w:r>
      <w:r w:rsidR="004F6E40" w:rsidRPr="009A7163">
        <w:rPr>
          <w:rFonts w:eastAsiaTheme="minorHAnsi"/>
          <w:lang w:eastAsia="en-GB"/>
        </w:rPr>
        <w:t xml:space="preserve"> </w:t>
      </w:r>
      <w:r w:rsidRPr="009A7163">
        <w:rPr>
          <w:rFonts w:eastAsiaTheme="minorHAnsi"/>
          <w:lang w:eastAsia="en-GB"/>
        </w:rPr>
        <w:t xml:space="preserve"> It is not just that women have to play out a feminine, gendered role, but they have an obligation to maintain and keep the house functioning (e.g. family food security) at any cost. This key message is important because, first, the women’s role of maintaining the household conditions their processes of empowerment because the women constantly react to crisis, and second, the women suffer depletion in their own lives, which is an issue rarely mentioned. Rai and Hoskyns (2013) argue that depletion through social reproduction occurs (albeit at different rates and levels in different social contexts) when the gap between the outflows – domestic, affective and reproductive labour – and the inflows – medical care and leisure, income earned and time – goes below a threshold of biological, financial and affective sustainability. Similarly, Kabeer (2013) observe</w:t>
      </w:r>
      <w:r w:rsidR="00572C39" w:rsidRPr="009A7163">
        <w:rPr>
          <w:rFonts w:eastAsiaTheme="minorHAnsi"/>
          <w:lang w:eastAsia="en-GB"/>
        </w:rPr>
        <w:t>s</w:t>
      </w:r>
      <w:r w:rsidRPr="009A7163">
        <w:rPr>
          <w:rFonts w:eastAsiaTheme="minorHAnsi"/>
          <w:lang w:eastAsia="en-GB"/>
        </w:rPr>
        <w:t xml:space="preserve"> that while economic growth appeared to have a positive impact on various measures of gender equality in well-being, such impacts were primarily confined to wealthier countries. Particularly within the Asian context, but also in Latin America, economic growth appeared to be accompanied by a deterioration in physical well-being (as measured by male/female mortality differentials and the sex ratio of the overall population), while in Sub-Saharan Africa, it was associated with a decline in female education relative to male during the 1990s (Kabeer and Natali, 2013, p. 32). This is particularly pertinent when looking at depletion and empowerment and especially in relation to women’s work. Kabeer (2012) state</w:t>
      </w:r>
      <w:r w:rsidR="00572C39" w:rsidRPr="009A7163">
        <w:rPr>
          <w:rFonts w:eastAsiaTheme="minorHAnsi"/>
          <w:lang w:eastAsia="en-GB"/>
        </w:rPr>
        <w:t>s</w:t>
      </w:r>
      <w:r w:rsidRPr="009A7163">
        <w:rPr>
          <w:rFonts w:eastAsiaTheme="minorHAnsi"/>
          <w:lang w:eastAsia="en-GB"/>
        </w:rPr>
        <w:t xml:space="preserve"> that many women are motivated to undertake work for survival rather than empowerment, explaining further in the following: </w:t>
      </w:r>
    </w:p>
    <w:p w14:paraId="6B3AB1A7" w14:textId="0E4F81EB" w:rsidR="00FD4ABA" w:rsidRPr="009A7163" w:rsidRDefault="00FD4ABA" w:rsidP="00293176">
      <w:pPr>
        <w:spacing w:after="180"/>
        <w:ind w:left="720"/>
        <w:jc w:val="both"/>
        <w:rPr>
          <w:rFonts w:eastAsiaTheme="minorHAnsi"/>
          <w:lang w:eastAsia="en-GB"/>
        </w:rPr>
      </w:pPr>
      <w:r w:rsidRPr="009A7163">
        <w:rPr>
          <w:rFonts w:eastAsiaTheme="minorHAnsi"/>
          <w:lang w:eastAsia="en-GB"/>
        </w:rPr>
        <w:t>The available evidence suggests that while many own-account activities performed by women are distress-driven and characterised by high levels of self-exploitation, not all forms of female self-employment fall into the “vulnerable work” category. If self-employment is thought of in terms of a continuum, with survival-oriented income-generation at one end and accumulation-oriented enterprise at the other, we would locate the majority of self-employed women closer to the survival end but would find that some of them, varying percentages in different regions, are to be found closer to the other end.</w:t>
      </w:r>
      <w:r w:rsidR="00572C39" w:rsidRPr="009A7163">
        <w:rPr>
          <w:rFonts w:eastAsiaTheme="minorHAnsi"/>
          <w:lang w:eastAsia="en-GB"/>
        </w:rPr>
        <w:t xml:space="preserve"> (p. 24)</w:t>
      </w:r>
    </w:p>
    <w:p w14:paraId="45BE482E" w14:textId="6665B6A4" w:rsidR="00FD4ABA" w:rsidRPr="009A7163" w:rsidRDefault="00FD4ABA" w:rsidP="008C041F">
      <w:pPr>
        <w:spacing w:line="360" w:lineRule="auto"/>
        <w:ind w:firstLine="720"/>
        <w:jc w:val="both"/>
        <w:rPr>
          <w:rFonts w:eastAsiaTheme="minorHAnsi"/>
          <w:lang w:val="en" w:eastAsia="en-GB"/>
        </w:rPr>
      </w:pPr>
      <w:r w:rsidRPr="009A7163">
        <w:rPr>
          <w:rFonts w:eastAsiaTheme="minorHAnsi"/>
          <w:lang w:eastAsia="en-GB"/>
        </w:rPr>
        <w:t xml:space="preserve">The most worrying finding in this study was to see the impact that women’s daily lives have on their physical and mental health. Many of the women suffered from </w:t>
      </w:r>
      <w:r w:rsidRPr="009A7163">
        <w:rPr>
          <w:rFonts w:eastAsiaTheme="minorHAnsi"/>
          <w:lang w:eastAsia="en-GB"/>
        </w:rPr>
        <w:lastRenderedPageBreak/>
        <w:t>physical ailments such as headaches, arthritis and high blood pressure, all of which are related to the unpaid work that they had to do (e.g., wash heavy loads of clothing, expose themselves to fire for long periods of time and worry about and care for their families and where the next meal was coming from). A surprising finding was that</w:t>
      </w:r>
      <w:r w:rsidRPr="009A7163">
        <w:rPr>
          <w:rFonts w:eastAsiaTheme="minorHAnsi"/>
          <w:lang w:val="en" w:eastAsia="en-GB"/>
        </w:rPr>
        <w:t xml:space="preserve"> level of priority this has within the initiative in both case studies did not seem to be very high. This is interesting as the initiative has as its starting point the analysis of the heavy and unequal work load that women have and does not give a more prominent place to the priorities of the women themselves. It is as if they would have to continue to adapt to the needs of the family and the cooperative whilst depleting their resources further. Rai et al. (2007) argue that:</w:t>
      </w:r>
    </w:p>
    <w:p w14:paraId="2FE3F7EF" w14:textId="383FEBAA" w:rsidR="00FD4ABA" w:rsidRPr="009A7163" w:rsidRDefault="00FD4ABA" w:rsidP="00293176">
      <w:pPr>
        <w:spacing w:after="180"/>
        <w:ind w:left="720"/>
        <w:jc w:val="both"/>
        <w:rPr>
          <w:rFonts w:eastAsiaTheme="minorHAnsi"/>
          <w:lang w:val="en" w:eastAsia="en-GB"/>
        </w:rPr>
      </w:pPr>
      <w:r w:rsidRPr="009A7163">
        <w:rPr>
          <w:rFonts w:eastAsiaTheme="minorHAnsi"/>
          <w:lang w:val="en" w:eastAsia="en-GB"/>
        </w:rPr>
        <w:t xml:space="preserve">[While] economists talk of the depletion (depreciation) of machinery, capital goods and the environment, they rarely talk about depletion or depreciation in terms of the household and social reproduction. Depletion of the household and social reproduction, if counted, could include increasing concerns about “food security” in Southern countries, variable access to health as commercialization kicks in, and the patchy nature of child and adult care. </w:t>
      </w:r>
      <w:r w:rsidR="00572C39" w:rsidRPr="009A7163">
        <w:rPr>
          <w:rFonts w:eastAsiaTheme="minorHAnsi"/>
          <w:lang w:val="en" w:eastAsia="en-GB"/>
        </w:rPr>
        <w:t>(p. 19)</w:t>
      </w:r>
    </w:p>
    <w:p w14:paraId="57AB62E4" w14:textId="671C971B" w:rsidR="00FD4ABA" w:rsidRPr="009A7163" w:rsidRDefault="00FD4ABA" w:rsidP="007A3A29">
      <w:pPr>
        <w:spacing w:line="360" w:lineRule="auto"/>
        <w:jc w:val="both"/>
        <w:rPr>
          <w:rFonts w:eastAsiaTheme="minorHAnsi"/>
          <w:lang w:val="en" w:eastAsia="en-GB"/>
        </w:rPr>
      </w:pPr>
      <w:r w:rsidRPr="009A7163">
        <w:rPr>
          <w:rFonts w:eastAsiaTheme="minorHAnsi"/>
          <w:lang w:val="en" w:eastAsia="en-GB"/>
        </w:rPr>
        <w:t>Furthermore, Elson (2008) pointed out that:</w:t>
      </w:r>
    </w:p>
    <w:p w14:paraId="64FDA136" w14:textId="6C4D9E91" w:rsidR="00FD4ABA" w:rsidRPr="009A7163" w:rsidRDefault="00FD4ABA" w:rsidP="00293176">
      <w:pPr>
        <w:spacing w:after="180"/>
        <w:ind w:left="720"/>
        <w:jc w:val="both"/>
        <w:rPr>
          <w:rFonts w:eastAsiaTheme="minorHAnsi"/>
          <w:lang w:val="en" w:eastAsia="en-GB"/>
        </w:rPr>
      </w:pPr>
      <w:r w:rsidRPr="009A7163">
        <w:rPr>
          <w:rFonts w:eastAsiaTheme="minorHAnsi"/>
          <w:lang w:val="en" w:eastAsia="en-GB"/>
        </w:rPr>
        <w:t>…if too much pressure is put upon the domestic sector to provide unpaid care to make up for deficiencies elsewhere, the result may be a depletion of human capabilities….the domestic sector needs adequate inputs from all sectors. It cannot be treated as a bottomless well, able to provide the care needed regardless of the resources it gets from other sectors.</w:t>
      </w:r>
      <w:r w:rsidR="00572C39" w:rsidRPr="009A7163">
        <w:rPr>
          <w:rFonts w:eastAsiaTheme="minorHAnsi"/>
          <w:lang w:val="en" w:eastAsia="en-GB"/>
        </w:rPr>
        <w:t xml:space="preserve"> (p. 28)</w:t>
      </w:r>
    </w:p>
    <w:p w14:paraId="711E9365" w14:textId="77777777" w:rsidR="00FD4ABA" w:rsidRPr="009A7163" w:rsidRDefault="00FD4ABA" w:rsidP="007A3A29">
      <w:pPr>
        <w:spacing w:after="240" w:line="360" w:lineRule="auto"/>
        <w:jc w:val="both"/>
        <w:rPr>
          <w:rFonts w:eastAsiaTheme="minorHAnsi"/>
          <w:lang w:val="en" w:eastAsia="en-GB"/>
        </w:rPr>
      </w:pPr>
      <w:r w:rsidRPr="009A7163">
        <w:rPr>
          <w:rFonts w:eastAsiaTheme="minorHAnsi"/>
          <w:lang w:val="en" w:eastAsia="en-GB"/>
        </w:rPr>
        <w:t>The urgency becomes more about measuring depletion than about empowerment.</w:t>
      </w:r>
    </w:p>
    <w:p w14:paraId="3D09706B" w14:textId="2965B0A7" w:rsidR="00FD4ABA" w:rsidRPr="009A7163" w:rsidRDefault="003F7611" w:rsidP="00293176">
      <w:pPr>
        <w:pStyle w:val="Heading2"/>
        <w:rPr>
          <w:rFonts w:eastAsiaTheme="minorHAnsi"/>
          <w:lang w:val="en-GB" w:eastAsia="en-GB"/>
        </w:rPr>
      </w:pPr>
      <w:bookmarkStart w:id="170" w:name="_Toc526819369"/>
      <w:r w:rsidRPr="009A7163">
        <w:rPr>
          <w:rFonts w:eastAsiaTheme="minorHAnsi"/>
          <w:lang w:val="en-GB" w:eastAsia="en-GB"/>
        </w:rPr>
        <w:t xml:space="preserve">8.5  </w:t>
      </w:r>
      <w:r w:rsidR="00FD4ABA" w:rsidRPr="009A7163">
        <w:rPr>
          <w:rFonts w:eastAsiaTheme="minorHAnsi"/>
          <w:lang w:val="en-GB" w:eastAsia="en-GB"/>
        </w:rPr>
        <w:t>Conclusion</w:t>
      </w:r>
      <w:bookmarkEnd w:id="170"/>
    </w:p>
    <w:p w14:paraId="4A94B2A7" w14:textId="0D81E3A0" w:rsidR="00B72871" w:rsidRPr="009A7163" w:rsidRDefault="008B5D50" w:rsidP="00300F85">
      <w:pPr>
        <w:spacing w:line="360" w:lineRule="auto"/>
        <w:ind w:firstLine="720"/>
        <w:jc w:val="both"/>
        <w:rPr>
          <w:rFonts w:eastAsiaTheme="minorHAnsi"/>
          <w:lang w:eastAsia="en-GB"/>
        </w:rPr>
      </w:pPr>
      <w:r w:rsidRPr="009A7163">
        <w:rPr>
          <w:rFonts w:eastAsiaTheme="minorHAnsi"/>
          <w:lang w:eastAsia="en-GB"/>
        </w:rPr>
        <w:t>The study has shown that r</w:t>
      </w:r>
      <w:r w:rsidR="00FD4ABA" w:rsidRPr="009A7163">
        <w:rPr>
          <w:rFonts w:eastAsiaTheme="minorHAnsi"/>
          <w:lang w:eastAsia="en-GB"/>
        </w:rPr>
        <w:t>ecogni</w:t>
      </w:r>
      <w:r w:rsidR="00572C39" w:rsidRPr="009A7163">
        <w:rPr>
          <w:rFonts w:eastAsiaTheme="minorHAnsi"/>
          <w:lang w:eastAsia="en-GB"/>
        </w:rPr>
        <w:t>s</w:t>
      </w:r>
      <w:r w:rsidR="00FD4ABA" w:rsidRPr="009A7163">
        <w:rPr>
          <w:rFonts w:eastAsiaTheme="minorHAnsi"/>
          <w:lang w:eastAsia="en-GB"/>
        </w:rPr>
        <w:t>ing and valuing unpaid work is less about price (getting it right)</w:t>
      </w:r>
      <w:r w:rsidR="00A16657" w:rsidRPr="009A7163">
        <w:rPr>
          <w:rFonts w:eastAsiaTheme="minorHAnsi"/>
          <w:lang w:eastAsia="en-GB"/>
        </w:rPr>
        <w:t xml:space="preserve"> although price of final product needs to be competitive</w:t>
      </w:r>
      <w:r w:rsidR="00FD4ABA" w:rsidRPr="009A7163">
        <w:rPr>
          <w:rFonts w:eastAsiaTheme="minorHAnsi"/>
          <w:lang w:eastAsia="en-GB"/>
        </w:rPr>
        <w:t xml:space="preserve">, but rather about reviewing the mechanisms of payment (the way the women’s work is valued) whilst acknowledging the political nature of the household, family, and/or cooperative. </w:t>
      </w:r>
      <w:r w:rsidR="00300F85" w:rsidRPr="009A7163">
        <w:rPr>
          <w:rFonts w:eastAsiaTheme="minorHAnsi"/>
          <w:lang w:eastAsia="en-GB"/>
        </w:rPr>
        <w:t>As Kabeer (1999) remark</w:t>
      </w:r>
      <w:r w:rsidR="00572C39" w:rsidRPr="009A7163">
        <w:rPr>
          <w:rFonts w:eastAsiaTheme="minorHAnsi"/>
          <w:lang w:eastAsia="en-GB"/>
        </w:rPr>
        <w:t>s</w:t>
      </w:r>
      <w:r w:rsidR="00300F85" w:rsidRPr="009A7163">
        <w:rPr>
          <w:rFonts w:eastAsiaTheme="minorHAnsi"/>
          <w:lang w:eastAsia="en-GB"/>
        </w:rPr>
        <w:t xml:space="preserve">, [W]omen’s access to economic resources should not be conflated with their empowerment. Rather, we need to ask about the kinds of agency and choices that women are able to exercise as a result of their </w:t>
      </w:r>
      <w:r w:rsidR="00250728" w:rsidRPr="009A7163">
        <w:rPr>
          <w:rFonts w:eastAsiaTheme="minorHAnsi"/>
          <w:lang w:eastAsia="en-GB"/>
        </w:rPr>
        <w:t>“</w:t>
      </w:r>
      <w:r w:rsidR="00300F85" w:rsidRPr="009A7163">
        <w:rPr>
          <w:rFonts w:eastAsiaTheme="minorHAnsi"/>
          <w:lang w:eastAsia="en-GB"/>
        </w:rPr>
        <w:t>access</w:t>
      </w:r>
      <w:r w:rsidR="00250728" w:rsidRPr="009A7163">
        <w:rPr>
          <w:rFonts w:eastAsiaTheme="minorHAnsi"/>
          <w:lang w:eastAsia="en-GB"/>
        </w:rPr>
        <w:t>”</w:t>
      </w:r>
      <w:r w:rsidR="00300F85" w:rsidRPr="009A7163">
        <w:rPr>
          <w:rFonts w:eastAsiaTheme="minorHAnsi"/>
          <w:lang w:eastAsia="en-GB"/>
        </w:rPr>
        <w:t xml:space="preserve"> to the resource in question.</w:t>
      </w:r>
      <w:r w:rsidR="00A16657" w:rsidRPr="009A7163">
        <w:rPr>
          <w:rFonts w:eastAsiaTheme="minorHAnsi"/>
          <w:lang w:eastAsia="en-GB"/>
        </w:rPr>
        <w:t xml:space="preserve"> </w:t>
      </w:r>
      <w:r w:rsidR="00FD4ABA" w:rsidRPr="009A7163">
        <w:rPr>
          <w:rFonts w:eastAsiaTheme="minorHAnsi"/>
          <w:lang w:eastAsia="en-GB"/>
        </w:rPr>
        <w:t xml:space="preserve">Furthermore, it is far more urgent to measure the costs of unpaid work to women and how women are surviving under the current situation rather than measuring the non-linear and often messy process of empowerment. The study has shown that in summary, the act of measuring and thus discussing </w:t>
      </w:r>
      <w:r w:rsidR="003A2C87" w:rsidRPr="009A7163">
        <w:rPr>
          <w:rFonts w:eastAsiaTheme="minorHAnsi"/>
          <w:lang w:eastAsia="en-GB"/>
        </w:rPr>
        <w:t>UCW</w:t>
      </w:r>
      <w:r w:rsidR="00FD4ABA" w:rsidRPr="009A7163">
        <w:rPr>
          <w:rFonts w:eastAsiaTheme="minorHAnsi"/>
          <w:lang w:eastAsia="en-GB"/>
        </w:rPr>
        <w:t xml:space="preserve"> has acted as a catalyst for change, more so than the vehicle of providing women with economic activities and/or </w:t>
      </w:r>
      <w:r w:rsidR="00FD4ABA" w:rsidRPr="009A7163">
        <w:rPr>
          <w:rFonts w:eastAsiaTheme="minorHAnsi"/>
          <w:lang w:eastAsia="en-GB"/>
        </w:rPr>
        <w:lastRenderedPageBreak/>
        <w:t>resources. Nonetheless women still continue to bear the brunt of the work and at a cost to their health and their families. Measuring depletion in women’s lives and perceived norms is essential for future work. More specifically, measuring depletion will be useful for the business case (this issue was raised in a roundtable discussion held in London with 10 organizations as part of the research</w:t>
      </w:r>
      <w:r w:rsidR="00FD4ABA" w:rsidRPr="009A7163">
        <w:rPr>
          <w:rFonts w:eastAsiaTheme="minorHAnsi"/>
          <w:vertAlign w:val="superscript"/>
          <w:lang w:eastAsia="en-GB"/>
        </w:rPr>
        <w:footnoteReference w:id="133"/>
      </w:r>
      <w:r w:rsidR="00FD4ABA" w:rsidRPr="009A7163">
        <w:rPr>
          <w:rFonts w:eastAsiaTheme="minorHAnsi"/>
          <w:lang w:eastAsia="en-GB"/>
        </w:rPr>
        <w:t xml:space="preserve">; social norms for project planning (where are we starting from), and both are important factors in order to re-politicise empowerment and illuminate the gendered structures in which it </w:t>
      </w:r>
      <w:r w:rsidR="00AD0B1F" w:rsidRPr="009A7163">
        <w:rPr>
          <w:rFonts w:eastAsiaTheme="minorHAnsi"/>
          <w:lang w:eastAsia="en-GB"/>
        </w:rPr>
        <w:t>operate in.</w:t>
      </w:r>
    </w:p>
    <w:p w14:paraId="3DC4D272" w14:textId="77777777" w:rsidR="00B72871" w:rsidRPr="009A7163" w:rsidRDefault="00B72871" w:rsidP="008C041F">
      <w:pPr>
        <w:spacing w:line="360" w:lineRule="auto"/>
        <w:ind w:firstLine="720"/>
        <w:jc w:val="both"/>
        <w:rPr>
          <w:rFonts w:eastAsiaTheme="minorHAnsi"/>
          <w:lang w:eastAsia="en-GB"/>
        </w:rPr>
      </w:pPr>
    </w:p>
    <w:p w14:paraId="37B3DE96" w14:textId="77777777" w:rsidR="008C041F" w:rsidRPr="009A7163" w:rsidRDefault="008C041F" w:rsidP="00FE246F">
      <w:pPr>
        <w:spacing w:line="360" w:lineRule="auto"/>
        <w:ind w:firstLine="720"/>
        <w:jc w:val="both"/>
        <w:rPr>
          <w:rFonts w:eastAsiaTheme="minorHAnsi"/>
          <w:lang w:eastAsia="en-GB"/>
        </w:rPr>
        <w:sectPr w:rsidR="008C041F" w:rsidRPr="009A7163" w:rsidSect="00171CF0">
          <w:footnotePr>
            <w:numRestart w:val="eachSect"/>
          </w:footnotePr>
          <w:pgSz w:w="11907" w:h="16839" w:code="9"/>
          <w:pgMar w:top="1440" w:right="1440" w:bottom="1440" w:left="2160" w:header="706" w:footer="706" w:gutter="0"/>
          <w:cols w:space="708"/>
          <w:docGrid w:linePitch="360"/>
        </w:sectPr>
      </w:pPr>
    </w:p>
    <w:p w14:paraId="4B7AEC3A" w14:textId="6ED824D4" w:rsidR="00FD4ABA" w:rsidRPr="009A7163" w:rsidRDefault="008C041F" w:rsidP="00293176">
      <w:pPr>
        <w:pStyle w:val="Heading1"/>
        <w:rPr>
          <w:sz w:val="28"/>
        </w:rPr>
      </w:pPr>
      <w:bookmarkStart w:id="171" w:name="_Toc526819370"/>
      <w:r w:rsidRPr="009A7163">
        <w:rPr>
          <w:sz w:val="28"/>
        </w:rPr>
        <w:lastRenderedPageBreak/>
        <w:t>Chapter Nine: Conclusion</w:t>
      </w:r>
      <w:bookmarkEnd w:id="171"/>
    </w:p>
    <w:p w14:paraId="45C54B8E" w14:textId="77777777" w:rsidR="00FD4ABA" w:rsidRPr="009A7163" w:rsidRDefault="00FD4ABA" w:rsidP="00293176">
      <w:pPr>
        <w:pStyle w:val="NoSpacing"/>
        <w:rPr>
          <w:rFonts w:eastAsiaTheme="minorHAnsi"/>
          <w:lang w:eastAsia="en-GB"/>
        </w:rPr>
      </w:pPr>
    </w:p>
    <w:p w14:paraId="1BBA8E98" w14:textId="77777777" w:rsidR="008C041F" w:rsidRPr="009A7163" w:rsidRDefault="008C041F" w:rsidP="00293176">
      <w:pPr>
        <w:pStyle w:val="NoSpacing"/>
        <w:rPr>
          <w:rFonts w:eastAsiaTheme="minorHAnsi"/>
          <w:lang w:eastAsia="en-GB"/>
        </w:rPr>
      </w:pPr>
    </w:p>
    <w:p w14:paraId="3CF0624C" w14:textId="3F15A1C4" w:rsidR="00FD4ABA" w:rsidRPr="009A7163" w:rsidRDefault="00FD4ABA" w:rsidP="00293176">
      <w:pPr>
        <w:jc w:val="both"/>
        <w:rPr>
          <w:rFonts w:eastAsiaTheme="minorHAnsi"/>
          <w:i/>
          <w:lang w:eastAsia="en-GB"/>
        </w:rPr>
      </w:pPr>
      <w:r w:rsidRPr="009A7163">
        <w:rPr>
          <w:rFonts w:eastAsiaTheme="minorHAnsi"/>
          <w:i/>
          <w:iCs/>
          <w:lang w:eastAsia="en-GB"/>
        </w:rPr>
        <w:t>In terms of power and influence, you can forget the church, forget politics. There is no more powerful institution in society than business - I believe it is now more important than ever before for business to assume a moral leadership. The business of business should not be about money, it should be about responsibility. It should be about public good, not private greed</w:t>
      </w:r>
      <w:r w:rsidR="00B72871" w:rsidRPr="009A7163">
        <w:rPr>
          <w:rFonts w:eastAsiaTheme="minorHAnsi"/>
          <w:i/>
          <w:iCs/>
          <w:lang w:eastAsia="en-GB"/>
        </w:rPr>
        <w:t>.</w:t>
      </w:r>
    </w:p>
    <w:p w14:paraId="6CF7E409" w14:textId="66CC1A30" w:rsidR="00FD4ABA" w:rsidRPr="009A7163" w:rsidRDefault="00FD4ABA" w:rsidP="00293176">
      <w:pPr>
        <w:spacing w:line="360" w:lineRule="auto"/>
        <w:ind w:firstLine="720"/>
        <w:jc w:val="right"/>
        <w:rPr>
          <w:rFonts w:eastAsiaTheme="minorHAnsi"/>
          <w:lang w:eastAsia="en-GB"/>
        </w:rPr>
      </w:pPr>
      <w:r w:rsidRPr="009A7163">
        <w:rPr>
          <w:rFonts w:eastAsiaTheme="minorHAnsi"/>
          <w:iCs/>
          <w:lang w:eastAsia="en-GB"/>
        </w:rPr>
        <w:t>(Anita Roddrick, 2000)</w:t>
      </w:r>
    </w:p>
    <w:p w14:paraId="7CF412B8" w14:textId="77777777" w:rsidR="00FD4ABA" w:rsidRPr="009A7163" w:rsidRDefault="00FD4ABA" w:rsidP="008C041F">
      <w:pPr>
        <w:spacing w:line="360" w:lineRule="auto"/>
        <w:ind w:firstLine="720"/>
        <w:jc w:val="both"/>
        <w:rPr>
          <w:rFonts w:eastAsiaTheme="minorHAnsi"/>
          <w:lang w:eastAsia="en-GB"/>
        </w:rPr>
      </w:pPr>
    </w:p>
    <w:p w14:paraId="3A7F1AF3" w14:textId="7CBBFA1E" w:rsidR="00FD4ABA" w:rsidRPr="009A7163" w:rsidRDefault="008C041F" w:rsidP="00293176">
      <w:pPr>
        <w:pStyle w:val="Heading2"/>
        <w:rPr>
          <w:rFonts w:eastAsiaTheme="minorHAnsi"/>
          <w:lang w:eastAsia="en-GB"/>
        </w:rPr>
      </w:pPr>
      <w:bookmarkStart w:id="172" w:name="_Toc526819371"/>
      <w:r w:rsidRPr="009A7163">
        <w:rPr>
          <w:rFonts w:eastAsiaTheme="minorHAnsi"/>
          <w:lang w:eastAsia="en-GB"/>
        </w:rPr>
        <w:t xml:space="preserve">9.1  </w:t>
      </w:r>
      <w:r w:rsidR="00FD4ABA" w:rsidRPr="009A7163">
        <w:rPr>
          <w:rFonts w:eastAsiaTheme="minorHAnsi"/>
          <w:lang w:eastAsia="en-GB"/>
        </w:rPr>
        <w:t>Introduction</w:t>
      </w:r>
      <w:bookmarkEnd w:id="172"/>
    </w:p>
    <w:p w14:paraId="45FB3395" w14:textId="3E39B67F" w:rsidR="00084AD3" w:rsidRPr="009A7163" w:rsidRDefault="00084AD3" w:rsidP="00084AD3">
      <w:pPr>
        <w:spacing w:after="240" w:line="360" w:lineRule="auto"/>
        <w:ind w:firstLine="720"/>
        <w:jc w:val="both"/>
        <w:rPr>
          <w:rFonts w:eastAsiaTheme="minorHAnsi"/>
        </w:rPr>
      </w:pPr>
      <w:r w:rsidRPr="009A7163">
        <w:rPr>
          <w:rFonts w:eastAsiaTheme="minorHAnsi"/>
          <w:lang w:eastAsia="en-GB"/>
        </w:rPr>
        <w:t>The purpose of this multi case study was to evaluate whether an innovative</w:t>
      </w:r>
      <w:r w:rsidRPr="009A7163">
        <w:t xml:space="preserve"> pricing initiative pioneered by </w:t>
      </w:r>
      <w:r w:rsidR="002618F0" w:rsidRPr="009A7163">
        <w:t>The Body Shop International (BSI)</w:t>
      </w:r>
      <w:r w:rsidRPr="009A7163">
        <w:t xml:space="preserve">, which involves the inclusion of a component for women’s unpaid work into the cost structures of Fair Trade </w:t>
      </w:r>
      <w:r w:rsidR="002618F0" w:rsidRPr="009A7163">
        <w:t xml:space="preserve">(FT) </w:t>
      </w:r>
      <w:r w:rsidRPr="009A7163">
        <w:t>contracts</w:t>
      </w:r>
      <w:r w:rsidR="002618F0" w:rsidRPr="009A7163">
        <w:t>,</w:t>
      </w:r>
      <w:r w:rsidRPr="009A7163">
        <w:t xml:space="preserve"> empowers the women it serves. In order to undertake this research, the study employed feminist mixed-methods case study analysis that included participatory data collection methods. It was a longitudinal study of women’s unpaid work in two supply chains (coffee and sesame) in Nicaragua in which </w:t>
      </w:r>
      <w:r w:rsidR="002618F0" w:rsidRPr="009A7163">
        <w:t>time use surveys (</w:t>
      </w:r>
      <w:r w:rsidRPr="009A7163">
        <w:rPr>
          <w:shd w:val="clear" w:color="auto" w:fill="FFFFFF"/>
        </w:rPr>
        <w:t>TUS</w:t>
      </w:r>
      <w:r w:rsidR="002618F0" w:rsidRPr="009A7163">
        <w:rPr>
          <w:shd w:val="clear" w:color="auto" w:fill="FFFFFF"/>
        </w:rPr>
        <w:t>)</w:t>
      </w:r>
      <w:r w:rsidRPr="009A7163">
        <w:rPr>
          <w:shd w:val="clear" w:color="auto" w:fill="FFFFFF"/>
        </w:rPr>
        <w:t xml:space="preserve"> were carried out over a period of two years and in four stages to capture differences in the agricultural cycle. Data was collected via surveys, focus groups and semi-structured interviews.</w:t>
      </w:r>
      <w:r w:rsidRPr="009A7163">
        <w:rPr>
          <w:rFonts w:eastAsiaTheme="minorHAnsi"/>
        </w:rPr>
        <w:t xml:space="preserve"> Quantitative data was collected via surveys to compile information on participant time use, household assets, decision making and access to resources, amongst other aspects. The data was collected principally from rural women who participated in the initiative to recognise the unpaid work of women through a pricing scheme (in other words, were able to access funds paid for by the premium from the buyer), as well as a small section of men and other family members related to the women. Expert interviews were also carried out with cooperative leaders, employees of the cooperative, buyers and a variety of key women from different national feminist movements in Nicaragua. </w:t>
      </w:r>
      <w:r w:rsidRPr="009A7163">
        <w:t>The conclusions for this study will follow the research questions and will address six key areas: defining unpaid work, measuring unpaid work, the challenges of pricing unpaid work, family distribution of time use, factors that influence time use and finally on how this specific model contribute to women’s empowerment. Following this</w:t>
      </w:r>
      <w:r w:rsidR="002618F0" w:rsidRPr="009A7163">
        <w:t>,</w:t>
      </w:r>
      <w:r w:rsidRPr="009A7163">
        <w:t xml:space="preserve"> I will </w:t>
      </w:r>
      <w:r w:rsidR="00996D33" w:rsidRPr="009A7163">
        <w:t xml:space="preserve">discuss </w:t>
      </w:r>
      <w:r w:rsidRPr="009A7163">
        <w:t xml:space="preserve">my study’s </w:t>
      </w:r>
      <w:r w:rsidR="00AA20A4" w:rsidRPr="009A7163">
        <w:t>contributions</w:t>
      </w:r>
      <w:r w:rsidR="00250728" w:rsidRPr="009A7163">
        <w:t>.</w:t>
      </w:r>
      <w:r w:rsidRPr="009A7163">
        <w:t xml:space="preserve"> </w:t>
      </w:r>
      <w:r w:rsidR="00250728" w:rsidRPr="009A7163">
        <w:t>T</w:t>
      </w:r>
      <w:r w:rsidRPr="009A7163">
        <w:t xml:space="preserve">his </w:t>
      </w:r>
      <w:r w:rsidR="005F43B8" w:rsidRPr="009A7163">
        <w:t xml:space="preserve">will be </w:t>
      </w:r>
      <w:r w:rsidRPr="009A7163">
        <w:t xml:space="preserve">followed by a final reflection </w:t>
      </w:r>
      <w:r w:rsidR="00833E24" w:rsidRPr="009A7163">
        <w:t>and suggestions</w:t>
      </w:r>
      <w:r w:rsidRPr="009A7163">
        <w:t xml:space="preserve"> for future directions for research.</w:t>
      </w:r>
    </w:p>
    <w:p w14:paraId="7457823A" w14:textId="47CDD46A" w:rsidR="00FD4ABA" w:rsidRPr="009A7163" w:rsidRDefault="008C041F" w:rsidP="00293176">
      <w:pPr>
        <w:pStyle w:val="Heading2"/>
        <w:rPr>
          <w:rFonts w:eastAsiaTheme="minorHAnsi"/>
          <w:lang w:val="en-GB" w:eastAsia="en-GB"/>
        </w:rPr>
      </w:pPr>
      <w:bookmarkStart w:id="173" w:name="_Toc526819372"/>
      <w:r w:rsidRPr="009A7163">
        <w:rPr>
          <w:rFonts w:eastAsiaTheme="minorHAnsi"/>
          <w:lang w:val="en-GB" w:eastAsia="en-GB"/>
        </w:rPr>
        <w:lastRenderedPageBreak/>
        <w:t xml:space="preserve">9.2  </w:t>
      </w:r>
      <w:r w:rsidR="00FD4ABA" w:rsidRPr="009A7163">
        <w:rPr>
          <w:rFonts w:eastAsiaTheme="minorHAnsi"/>
          <w:lang w:val="en-GB" w:eastAsia="en-GB"/>
        </w:rPr>
        <w:t>Defining Unpaid Work</w:t>
      </w:r>
      <w:bookmarkEnd w:id="173"/>
      <w:r w:rsidR="00FD4ABA" w:rsidRPr="009A7163">
        <w:rPr>
          <w:rFonts w:eastAsiaTheme="minorHAnsi"/>
          <w:lang w:val="en-GB" w:eastAsia="en-GB"/>
        </w:rPr>
        <w:t xml:space="preserve"> </w:t>
      </w:r>
    </w:p>
    <w:p w14:paraId="5C2BD10C" w14:textId="49B82018" w:rsidR="00FD4ABA" w:rsidRPr="009A7163" w:rsidRDefault="00FD4ABA">
      <w:pPr>
        <w:spacing w:line="360" w:lineRule="auto"/>
        <w:ind w:firstLine="720"/>
        <w:jc w:val="both"/>
        <w:rPr>
          <w:rFonts w:eastAsiaTheme="minorHAnsi"/>
          <w:lang w:eastAsia="en-GB"/>
        </w:rPr>
      </w:pPr>
      <w:r w:rsidRPr="009A7163">
        <w:rPr>
          <w:rFonts w:eastAsiaTheme="minorHAnsi"/>
          <w:lang w:eastAsia="en-GB"/>
        </w:rPr>
        <w:t>As the literature review and fieldwork results have shown, there are multiple definitions of unpaid</w:t>
      </w:r>
      <w:r w:rsidR="002618F0" w:rsidRPr="009A7163">
        <w:rPr>
          <w:rFonts w:eastAsiaTheme="minorHAnsi"/>
          <w:lang w:eastAsia="en-GB"/>
        </w:rPr>
        <w:t xml:space="preserve"> </w:t>
      </w:r>
      <w:r w:rsidRPr="009A7163">
        <w:rPr>
          <w:rFonts w:eastAsiaTheme="minorHAnsi"/>
          <w:lang w:eastAsia="en-GB"/>
        </w:rPr>
        <w:t>care work</w:t>
      </w:r>
      <w:r w:rsidR="002618F0" w:rsidRPr="009A7163">
        <w:rPr>
          <w:rFonts w:eastAsiaTheme="minorHAnsi"/>
          <w:lang w:eastAsia="en-GB"/>
        </w:rPr>
        <w:t xml:space="preserve"> (UCW)</w:t>
      </w:r>
      <w:r w:rsidRPr="009A7163">
        <w:rPr>
          <w:rFonts w:eastAsiaTheme="minorHAnsi"/>
          <w:lang w:eastAsia="en-GB"/>
        </w:rPr>
        <w:t xml:space="preserve">, and how it is defined matters. Defining and naming it is about making people notice that care is important and should be appreciated and valued. The innovation of this initiative is that </w:t>
      </w:r>
      <w:r w:rsidRPr="009A7163">
        <w:rPr>
          <w:rFonts w:eastAsiaTheme="minorHAnsi"/>
          <w:iCs/>
          <w:lang w:eastAsia="en-GB"/>
        </w:rPr>
        <w:t>included payment not only for work that is part of actual production yet unpaid (e.g. fetching water and fuel) and work that contributes to production, but also domestic and other work in the home that generally contributes to the household and community</w:t>
      </w:r>
      <w:r w:rsidRPr="009A7163">
        <w:rPr>
          <w:rFonts w:eastAsiaTheme="minorHAnsi"/>
          <w:lang w:eastAsia="en-GB"/>
        </w:rPr>
        <w:t>. The study showed how both participants and buyer recogn</w:t>
      </w:r>
      <w:r w:rsidR="00C95A06" w:rsidRPr="009A7163">
        <w:rPr>
          <w:rFonts w:eastAsiaTheme="minorHAnsi"/>
          <w:lang w:eastAsia="en-GB"/>
        </w:rPr>
        <w:t>ise</w:t>
      </w:r>
      <w:r w:rsidRPr="009A7163">
        <w:rPr>
          <w:rFonts w:eastAsiaTheme="minorHAnsi"/>
          <w:lang w:eastAsia="en-GB"/>
        </w:rPr>
        <w:t xml:space="preserve">d the link between </w:t>
      </w:r>
      <w:r w:rsidR="003A2C87" w:rsidRPr="009A7163">
        <w:rPr>
          <w:rFonts w:eastAsiaTheme="minorHAnsi"/>
          <w:lang w:eastAsia="en-GB"/>
        </w:rPr>
        <w:t>UCW</w:t>
      </w:r>
      <w:r w:rsidRPr="009A7163">
        <w:rPr>
          <w:rFonts w:eastAsiaTheme="minorHAnsi"/>
          <w:lang w:eastAsia="en-GB"/>
        </w:rPr>
        <w:t xml:space="preserve"> and paid work and therein official definitions of non-economic and economic unpaid work such as that of the United Nations System of Accounts (SNA). It also highlighted the contribution of women’s unpaid work to household stability and the community.</w:t>
      </w:r>
    </w:p>
    <w:p w14:paraId="17FF9B71" w14:textId="37B417F4"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Whilst the definition brought up questions of how to define key terms such as unpaid work, </w:t>
      </w:r>
      <w:r w:rsidR="003A2C87" w:rsidRPr="009A7163">
        <w:rPr>
          <w:rFonts w:eastAsiaTheme="minorHAnsi"/>
          <w:lang w:eastAsia="en-GB"/>
        </w:rPr>
        <w:t>UCW</w:t>
      </w:r>
      <w:r w:rsidRPr="009A7163">
        <w:rPr>
          <w:rFonts w:eastAsiaTheme="minorHAnsi"/>
          <w:lang w:eastAsia="en-GB"/>
        </w:rPr>
        <w:t xml:space="preserve"> and so on, the representative from BSI acknowledged that the blurred lines of the definition allowed for discussion between those involved. The women participants acknowledged that the discussions had led them to question long standing, unquestioned beliefs, or, the ‘doxa’. Furthermore, the questions surrounding what constitutes unpaid work led to broader questions such as: what does it mean, what does it contribute, to who, and at what cost. </w:t>
      </w:r>
    </w:p>
    <w:p w14:paraId="43FB0EF9" w14:textId="2B697A48" w:rsidR="00FD4ABA" w:rsidRPr="009A7163" w:rsidRDefault="00FD4ABA" w:rsidP="001F64C0">
      <w:pPr>
        <w:spacing w:line="360" w:lineRule="auto"/>
        <w:ind w:firstLine="720"/>
        <w:jc w:val="both"/>
        <w:rPr>
          <w:rFonts w:eastAsiaTheme="minorHAnsi"/>
          <w:lang w:eastAsia="en-GB"/>
        </w:rPr>
      </w:pPr>
      <w:r w:rsidRPr="009A7163">
        <w:rPr>
          <w:rFonts w:eastAsiaTheme="minorHAnsi"/>
          <w:lang w:eastAsia="en-GB"/>
        </w:rPr>
        <w:t>A key message and conclusion from these findings is that, first, defining unpaid work is not value-free. Choices are made discursively about what is included and what is not. Some authors warn that using the language of ‘burden’ in relation to care signifies that all care is bad and should be reduced so that women should join the work force and market economy and contribute to growth. Second, a contextual understanding is important. In the rural setting, the difference between paid and unpaid is not so clear, and nor is the spectrum between unpaid care and productive work. Third, all of the participants recogn</w:t>
      </w:r>
      <w:r w:rsidR="00C95A06" w:rsidRPr="009A7163">
        <w:rPr>
          <w:rFonts w:eastAsiaTheme="minorHAnsi"/>
          <w:lang w:eastAsia="en-GB"/>
        </w:rPr>
        <w:t>ise</w:t>
      </w:r>
      <w:r w:rsidRPr="009A7163">
        <w:rPr>
          <w:rFonts w:eastAsiaTheme="minorHAnsi"/>
          <w:lang w:eastAsia="en-GB"/>
        </w:rPr>
        <w:t>d the importance of recogni</w:t>
      </w:r>
      <w:r w:rsidR="002618F0" w:rsidRPr="009A7163">
        <w:rPr>
          <w:rFonts w:eastAsiaTheme="minorHAnsi"/>
          <w:lang w:eastAsia="en-GB"/>
        </w:rPr>
        <w:t>s</w:t>
      </w:r>
      <w:r w:rsidRPr="009A7163">
        <w:rPr>
          <w:rFonts w:eastAsiaTheme="minorHAnsi"/>
          <w:lang w:eastAsia="en-GB"/>
        </w:rPr>
        <w:t>ing unpaid work that was previously undervalued, and the pricing model places a positive value on care and connects production and social reproduction. Fourth, defining unpaid work and connecting it to broader justice movements recogn</w:t>
      </w:r>
      <w:r w:rsidR="00C95A06" w:rsidRPr="009A7163">
        <w:rPr>
          <w:rFonts w:eastAsiaTheme="minorHAnsi"/>
          <w:lang w:eastAsia="en-GB"/>
        </w:rPr>
        <w:t>ise</w:t>
      </w:r>
      <w:r w:rsidRPr="009A7163">
        <w:rPr>
          <w:rFonts w:eastAsiaTheme="minorHAnsi"/>
          <w:lang w:eastAsia="en-GB"/>
        </w:rPr>
        <w:t xml:space="preserve">s the urgency of working to change how the economy is viewed. Some of the key informants argued that this would mean making it a people-centred and gender-equitable economy, whereby sustainability and not-for-profit is at the centre. This echoes Fontana and Eybend (2009) who argue that ‘an agenda for change concerns reversing the flow from reproduction </w:t>
      </w:r>
      <w:r w:rsidRPr="009A7163">
        <w:rPr>
          <w:rFonts w:eastAsiaTheme="minorHAnsi"/>
          <w:lang w:eastAsia="en-GB"/>
        </w:rPr>
        <w:lastRenderedPageBreak/>
        <w:t>of people to commodities to a more humane process in which the quality reproduction of people was the goal and the commodity production the means’ (pp. 5–6) as well as Anita’s words at the start of this conclusion.</w:t>
      </w:r>
    </w:p>
    <w:p w14:paraId="1AFE69E7" w14:textId="6C6B9102" w:rsidR="00FD4ABA" w:rsidRPr="009A7163" w:rsidRDefault="00FD4ABA">
      <w:pPr>
        <w:spacing w:line="360" w:lineRule="auto"/>
        <w:ind w:firstLine="720"/>
        <w:jc w:val="both"/>
        <w:rPr>
          <w:rFonts w:eastAsiaTheme="minorHAnsi"/>
          <w:lang w:eastAsia="en-GB"/>
        </w:rPr>
      </w:pPr>
      <w:r w:rsidRPr="009A7163">
        <w:rPr>
          <w:rFonts w:eastAsiaTheme="minorHAnsi"/>
          <w:lang w:eastAsia="en-GB"/>
        </w:rPr>
        <w:t>One recommendation in light of the conclusions outlined above would be that analysing and opening up definitions of unpaid work for discussion, as well as linking these understandings to broader discussions on gender justices is both a process and an outcome and a valuable one. Eyben (2012) argued: ‘An important element of naming is research whose findings show there is something to be concerned about. Although the evidence may be clear, research is unlikely to allow care to be recogn</w:t>
      </w:r>
      <w:r w:rsidR="00C95A06" w:rsidRPr="009A7163">
        <w:rPr>
          <w:rFonts w:eastAsiaTheme="minorHAnsi"/>
          <w:lang w:eastAsia="en-GB"/>
        </w:rPr>
        <w:t>ise</w:t>
      </w:r>
      <w:r w:rsidRPr="009A7163">
        <w:rPr>
          <w:rFonts w:eastAsiaTheme="minorHAnsi"/>
          <w:lang w:eastAsia="en-GB"/>
        </w:rPr>
        <w:t>d. However, research evidence can encourage political activism for pro-care policies and can inform programming design’</w:t>
      </w:r>
      <w:r w:rsidR="002618F0" w:rsidRPr="009A7163">
        <w:rPr>
          <w:rFonts w:eastAsiaTheme="minorHAnsi"/>
          <w:lang w:eastAsia="en-GB"/>
        </w:rPr>
        <w:t xml:space="preserve"> (p. 19)</w:t>
      </w:r>
      <w:r w:rsidRPr="009A7163">
        <w:rPr>
          <w:rFonts w:eastAsiaTheme="minorHAnsi"/>
          <w:lang w:eastAsia="en-GB"/>
        </w:rPr>
        <w:t>. A good place to start would be to analy</w:t>
      </w:r>
      <w:r w:rsidR="002618F0" w:rsidRPr="009A7163">
        <w:rPr>
          <w:rFonts w:eastAsiaTheme="minorHAnsi"/>
          <w:lang w:eastAsia="en-GB"/>
        </w:rPr>
        <w:t>s</w:t>
      </w:r>
      <w:r w:rsidRPr="009A7163">
        <w:rPr>
          <w:rFonts w:eastAsiaTheme="minorHAnsi"/>
          <w:lang w:eastAsia="en-GB"/>
        </w:rPr>
        <w:t>e the economy through women’s eyes in order to observe and recogn</w:t>
      </w:r>
      <w:r w:rsidR="00C95A06" w:rsidRPr="009A7163">
        <w:rPr>
          <w:rFonts w:eastAsiaTheme="minorHAnsi"/>
          <w:lang w:eastAsia="en-GB"/>
        </w:rPr>
        <w:t>ise</w:t>
      </w:r>
      <w:r w:rsidRPr="009A7163">
        <w:rPr>
          <w:rFonts w:eastAsiaTheme="minorHAnsi"/>
          <w:lang w:eastAsia="en-GB"/>
        </w:rPr>
        <w:t xml:space="preserve"> the visible gender inequalities and power relations shape the way the economy works. Defining must be about revealing and reshaping and this starts with language</w:t>
      </w:r>
    </w:p>
    <w:p w14:paraId="2D318AED" w14:textId="0ADCC3FB"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 xml:space="preserve">This study therefore contributes to the literature by demonstrating a need for a broader understanding of unpaid work whilst situating it in both an analysis of an argument for a people centred economy. This study has also demonstrated that language and interrogating certain </w:t>
      </w:r>
      <w:r w:rsidR="00A16657" w:rsidRPr="009A7163">
        <w:rPr>
          <w:rFonts w:eastAsiaTheme="minorHAnsi"/>
          <w:lang w:eastAsia="en-GB"/>
        </w:rPr>
        <w:t xml:space="preserve">taken for granted </w:t>
      </w:r>
      <w:r w:rsidRPr="009A7163">
        <w:rPr>
          <w:rFonts w:eastAsiaTheme="minorHAnsi"/>
          <w:lang w:eastAsia="en-GB"/>
        </w:rPr>
        <w:t>terms</w:t>
      </w:r>
      <w:r w:rsidR="00A16657" w:rsidRPr="009A7163">
        <w:rPr>
          <w:rFonts w:eastAsiaTheme="minorHAnsi"/>
          <w:lang w:eastAsia="en-GB"/>
        </w:rPr>
        <w:t xml:space="preserve"> (e.g. work/unpaid/care)</w:t>
      </w:r>
      <w:r w:rsidRPr="009A7163">
        <w:rPr>
          <w:rFonts w:eastAsiaTheme="minorHAnsi"/>
          <w:lang w:eastAsia="en-GB"/>
        </w:rPr>
        <w:t xml:space="preserve"> is useful to not challenge our worldview but can also have the potential to change pricing models</w:t>
      </w:r>
      <w:r w:rsidR="00A16657" w:rsidRPr="009A7163">
        <w:rPr>
          <w:rFonts w:eastAsiaTheme="minorHAnsi"/>
          <w:lang w:eastAsia="en-GB"/>
        </w:rPr>
        <w:t xml:space="preserve"> (what is paid/not paid)</w:t>
      </w:r>
      <w:r w:rsidRPr="009A7163">
        <w:rPr>
          <w:rFonts w:eastAsiaTheme="minorHAnsi"/>
          <w:lang w:eastAsia="en-GB"/>
        </w:rPr>
        <w:t>.</w:t>
      </w:r>
    </w:p>
    <w:p w14:paraId="7C670CAB" w14:textId="51B1F964" w:rsidR="008C041F" w:rsidRPr="009A7163" w:rsidRDefault="008C041F" w:rsidP="00293176">
      <w:pPr>
        <w:pStyle w:val="Heading2"/>
        <w:rPr>
          <w:rFonts w:eastAsiaTheme="minorHAnsi"/>
          <w:lang w:eastAsia="en-GB"/>
        </w:rPr>
      </w:pPr>
      <w:bookmarkStart w:id="174" w:name="_Toc526819373"/>
      <w:r w:rsidRPr="009A7163">
        <w:rPr>
          <w:rFonts w:eastAsiaTheme="minorHAnsi"/>
          <w:lang w:eastAsia="en-GB"/>
        </w:rPr>
        <w:t>9.3  Measuring Unpaid Work</w:t>
      </w:r>
      <w:bookmarkEnd w:id="174"/>
    </w:p>
    <w:p w14:paraId="35904B22" w14:textId="615A6D74"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The study revealed the continued gender inequalities and burden of </w:t>
      </w:r>
      <w:r w:rsidR="003A2C87" w:rsidRPr="009A7163">
        <w:rPr>
          <w:rFonts w:eastAsiaTheme="minorHAnsi"/>
          <w:lang w:eastAsia="en-GB"/>
        </w:rPr>
        <w:t>UCW</w:t>
      </w:r>
      <w:r w:rsidRPr="009A7163">
        <w:rPr>
          <w:rFonts w:eastAsiaTheme="minorHAnsi"/>
          <w:lang w:eastAsia="en-GB"/>
        </w:rPr>
        <w:t xml:space="preserve"> that women undertake. Measuring unpaid work allows us to interrogate the inequality of this phenomenon and is an important tool for this analysis. The study</w:t>
      </w:r>
      <w:r w:rsidR="002618F0" w:rsidRPr="009A7163">
        <w:rPr>
          <w:rFonts w:eastAsiaTheme="minorHAnsi"/>
          <w:lang w:eastAsia="en-GB"/>
        </w:rPr>
        <w:t>,</w:t>
      </w:r>
      <w:r w:rsidRPr="009A7163">
        <w:rPr>
          <w:rFonts w:eastAsiaTheme="minorHAnsi"/>
          <w:lang w:eastAsia="en-GB"/>
        </w:rPr>
        <w:t xml:space="preserve"> however</w:t>
      </w:r>
      <w:r w:rsidR="002618F0" w:rsidRPr="009A7163">
        <w:rPr>
          <w:rFonts w:eastAsiaTheme="minorHAnsi"/>
          <w:lang w:eastAsia="en-GB"/>
        </w:rPr>
        <w:t>,</w:t>
      </w:r>
      <w:r w:rsidRPr="009A7163">
        <w:rPr>
          <w:rFonts w:eastAsiaTheme="minorHAnsi"/>
          <w:lang w:eastAsia="en-GB"/>
        </w:rPr>
        <w:t xml:space="preserve"> revealed the complexity of measuring time through time use surveys (TUS), which scholars have commented on at length (see, for example, Budlender, 2007). In this study, a number of different formats were used and other time use visualization instruments (TUVI) were created and implemented. Each had their own benefits and limitations. In the standard TUS administered by another person, it proved challenging to mark time in neat boxes as the women retold their day in a sometimes disjointed and non-linear way. The TUS also did not capture energy expended during a task, how difficult it is physically, the motives for doing the tasks, or how the women felt undertaking the task. TUS also neglected to reveal how unpaid work affects the women </w:t>
      </w:r>
      <w:r w:rsidRPr="009A7163">
        <w:rPr>
          <w:rFonts w:eastAsiaTheme="minorHAnsi"/>
          <w:lang w:eastAsia="en-GB"/>
        </w:rPr>
        <w:lastRenderedPageBreak/>
        <w:t xml:space="preserve">in the moment of performing it or their health and well-being over a period of time. It also does not show the conditions under which the women undertake certain tasks: washing clothes on the rocks under the midday heat is very different to a using a washing machine or a space within the house. It also does not capture the mental effect of managing all these unpaid tasks or the depletion of resources and capacities overtime. Another </w:t>
      </w:r>
      <w:r w:rsidR="008C041F" w:rsidRPr="009A7163">
        <w:rPr>
          <w:rFonts w:eastAsiaTheme="minorHAnsi"/>
          <w:lang w:eastAsia="en-GB"/>
        </w:rPr>
        <w:t>anecdotal</w:t>
      </w:r>
      <w:r w:rsidRPr="009A7163">
        <w:rPr>
          <w:rFonts w:eastAsiaTheme="minorHAnsi"/>
          <w:lang w:eastAsia="en-GB"/>
        </w:rPr>
        <w:t xml:space="preserve"> observation occurred during fieldwork whereby we observed that many houses did not have working clocks (some houses also had no watches or mobile phones either) (</w:t>
      </w:r>
      <w:r w:rsidR="008C041F" w:rsidRPr="009A7163">
        <w:rPr>
          <w:rFonts w:eastAsiaTheme="minorHAnsi"/>
          <w:lang w:eastAsia="en-GB"/>
        </w:rPr>
        <w:t>s</w:t>
      </w:r>
      <w:r w:rsidRPr="009A7163">
        <w:rPr>
          <w:rFonts w:eastAsiaTheme="minorHAnsi"/>
          <w:lang w:eastAsia="en-GB"/>
        </w:rPr>
        <w:t xml:space="preserve">ee </w:t>
      </w:r>
      <w:r w:rsidR="008C041F" w:rsidRPr="009A7163">
        <w:rPr>
          <w:rFonts w:eastAsiaTheme="minorHAnsi"/>
          <w:lang w:eastAsia="en-GB"/>
        </w:rPr>
        <w:t>P</w:t>
      </w:r>
      <w:r w:rsidRPr="009A7163">
        <w:rPr>
          <w:rFonts w:eastAsiaTheme="minorHAnsi"/>
          <w:lang w:eastAsia="en-GB"/>
        </w:rPr>
        <w:t xml:space="preserve">late </w:t>
      </w:r>
      <w:r w:rsidR="008C041F" w:rsidRPr="009A7163">
        <w:rPr>
          <w:rFonts w:eastAsiaTheme="minorHAnsi"/>
          <w:lang w:eastAsia="en-GB"/>
        </w:rPr>
        <w:t>9.1</w:t>
      </w:r>
      <w:r w:rsidRPr="009A7163">
        <w:rPr>
          <w:rFonts w:eastAsiaTheme="minorHAnsi"/>
          <w:lang w:eastAsia="en-GB"/>
        </w:rPr>
        <w:t>). The unused non-functioning clocks hung on the walls as ornaments. This led me to first reflect that perhaps our need to measure time is culturally specific. I wonder now if I had opened up the debate and asked the women to write the research questions whether they would be suggesting TUS. Most women and men seemed amused and sometimes about the various visits to undertake TUS. They almost all gave similar responses when asked about their days and roles in general and when asked about the hour-by-hour composition for their day. This led me to reflect on the argument for TUS. Whilst it is clear that they are a necessary instrument to quantify and also compare time use between different households, communities and countries, I think the danger of demanding numbers drains important resources from organi</w:t>
      </w:r>
      <w:r w:rsidR="00F22C26" w:rsidRPr="009A7163">
        <w:rPr>
          <w:rFonts w:eastAsiaTheme="minorHAnsi"/>
          <w:lang w:eastAsia="en-GB"/>
        </w:rPr>
        <w:t>s</w:t>
      </w:r>
      <w:r w:rsidRPr="009A7163">
        <w:rPr>
          <w:rFonts w:eastAsiaTheme="minorHAnsi"/>
          <w:lang w:eastAsia="en-GB"/>
        </w:rPr>
        <w:t>ations and is another time burden for women. If it is a well-known fact that women perform the majority of care tasks, most of which are unpaid; should we as practitioners and feminists therefore need to justify through numbers and costly research instruments this fact? Like Chopra (2015)</w:t>
      </w:r>
      <w:r w:rsidRPr="009A7163">
        <w:rPr>
          <w:rFonts w:eastAsiaTheme="minorHAnsi"/>
          <w:vertAlign w:val="superscript"/>
          <w:lang w:eastAsia="en-GB"/>
        </w:rPr>
        <w:footnoteReference w:id="134"/>
      </w:r>
      <w:r w:rsidRPr="009A7163">
        <w:rPr>
          <w:rFonts w:eastAsiaTheme="minorHAnsi"/>
          <w:lang w:eastAsia="en-GB"/>
        </w:rPr>
        <w:t xml:space="preserve"> argue</w:t>
      </w:r>
      <w:r w:rsidR="00F22C26" w:rsidRPr="009A7163">
        <w:rPr>
          <w:rFonts w:eastAsiaTheme="minorHAnsi"/>
          <w:lang w:eastAsia="en-GB"/>
        </w:rPr>
        <w:t>s</w:t>
      </w:r>
      <w:r w:rsidRPr="009A7163">
        <w:rPr>
          <w:rFonts w:eastAsiaTheme="minorHAnsi"/>
          <w:lang w:eastAsia="en-GB"/>
        </w:rPr>
        <w:t>, evidence is not always needed to push for care-sensitive policies</w:t>
      </w:r>
      <w:r w:rsidR="006563F2" w:rsidRPr="009A7163">
        <w:rPr>
          <w:rFonts w:eastAsiaTheme="minorHAnsi"/>
          <w:lang w:eastAsia="en-GB"/>
        </w:rPr>
        <w:t>.</w:t>
      </w:r>
    </w:p>
    <w:p w14:paraId="7B9F1D42" w14:textId="6525D906"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 xml:space="preserve">This study contributes to literature and debates on TUS by highlighting certain limitations and gaps in the TUS. I would recommend qualitative methods to accompany any research process that measures time with TUS. TUS fall short of providing a full picture and lastly asking men and women together about their time use and working with the family to reflect on time use is essential if long-term, fruitful changes are to occur. The provides a methodological contribution of this thesis to scholarly and policy areas is the time use visualization instrument (TUVI). Lastly, linking to the reflection on using TUS, my findings show that TUS is a useful tool but that firstly three checks should take place before conducting extensive and repetitive TUS: Firstly, TUS should </w:t>
      </w:r>
      <w:r w:rsidRPr="009A7163">
        <w:rPr>
          <w:rFonts w:eastAsiaTheme="minorHAnsi"/>
          <w:lang w:eastAsia="en-GB"/>
        </w:rPr>
        <w:lastRenderedPageBreak/>
        <w:t>firstly be only used when there is a chance of policy change</w:t>
      </w:r>
      <w:r w:rsidR="00F22C26" w:rsidRPr="009A7163">
        <w:rPr>
          <w:rFonts w:eastAsiaTheme="minorHAnsi"/>
          <w:lang w:eastAsia="en-GB"/>
        </w:rPr>
        <w:t>;</w:t>
      </w:r>
      <w:r w:rsidRPr="009A7163">
        <w:rPr>
          <w:rFonts w:eastAsiaTheme="minorHAnsi"/>
          <w:lang w:eastAsia="en-GB"/>
        </w:rPr>
        <w:t xml:space="preserve"> secondly</w:t>
      </w:r>
      <w:r w:rsidR="00F22C26" w:rsidRPr="009A7163">
        <w:rPr>
          <w:rFonts w:eastAsiaTheme="minorHAnsi"/>
          <w:lang w:eastAsia="en-GB"/>
        </w:rPr>
        <w:t>,</w:t>
      </w:r>
      <w:r w:rsidRPr="009A7163">
        <w:rPr>
          <w:rFonts w:eastAsiaTheme="minorHAnsi"/>
          <w:lang w:eastAsia="en-GB"/>
        </w:rPr>
        <w:t xml:space="preserve"> TUS should only be conducted when data is not available in appropriate precision</w:t>
      </w:r>
      <w:r w:rsidR="00F22C26" w:rsidRPr="009A7163">
        <w:rPr>
          <w:rFonts w:eastAsiaTheme="minorHAnsi"/>
          <w:lang w:eastAsia="en-GB"/>
        </w:rPr>
        <w:t>;</w:t>
      </w:r>
      <w:r w:rsidRPr="009A7163">
        <w:rPr>
          <w:rFonts w:eastAsiaTheme="minorHAnsi"/>
          <w:lang w:eastAsia="en-GB"/>
        </w:rPr>
        <w:t xml:space="preserve"> and</w:t>
      </w:r>
      <w:r w:rsidR="00F22C26" w:rsidRPr="009A7163">
        <w:rPr>
          <w:rFonts w:eastAsiaTheme="minorHAnsi"/>
          <w:lang w:eastAsia="en-GB"/>
        </w:rPr>
        <w:t>,</w:t>
      </w:r>
      <w:r w:rsidRPr="009A7163">
        <w:rPr>
          <w:rFonts w:eastAsiaTheme="minorHAnsi"/>
          <w:lang w:eastAsia="en-GB"/>
        </w:rPr>
        <w:t xml:space="preserve"> thirdly</w:t>
      </w:r>
      <w:r w:rsidR="00F22C26" w:rsidRPr="009A7163">
        <w:rPr>
          <w:rFonts w:eastAsiaTheme="minorHAnsi"/>
          <w:lang w:eastAsia="en-GB"/>
        </w:rPr>
        <w:t>,</w:t>
      </w:r>
      <w:r w:rsidRPr="009A7163">
        <w:rPr>
          <w:rFonts w:eastAsiaTheme="minorHAnsi"/>
          <w:lang w:eastAsia="en-GB"/>
        </w:rPr>
        <w:t xml:space="preserve"> it is only appropriate if the high level of time and intrusion on the participants are taken into account and compensated. </w:t>
      </w:r>
    </w:p>
    <w:p w14:paraId="1875F518" w14:textId="5E059CE3" w:rsidR="008C041F" w:rsidRPr="009A7163" w:rsidRDefault="008C041F" w:rsidP="00293176">
      <w:pPr>
        <w:spacing w:line="360" w:lineRule="auto"/>
        <w:jc w:val="both"/>
        <w:rPr>
          <w:rFonts w:eastAsiaTheme="minorHAnsi"/>
          <w:lang w:eastAsia="en-GB"/>
        </w:rPr>
      </w:pPr>
      <w:bookmarkStart w:id="175" w:name="_Toc526710041"/>
      <w:r w:rsidRPr="009A7163">
        <w:rPr>
          <w:rStyle w:val="PlateTOCChar"/>
        </w:rPr>
        <w:t>Plate 9.1. Clocks that Don’t Work, Achuapa 8 February 2015</w:t>
      </w:r>
      <w:bookmarkEnd w:id="175"/>
      <w:r w:rsidRPr="009A7163">
        <w:rPr>
          <w:rFonts w:eastAsiaTheme="minorHAnsi"/>
          <w:lang w:eastAsia="en-GB"/>
        </w:rPr>
        <w:t xml:space="preserve"> (Photo by Fernanda Siles)</w:t>
      </w:r>
    </w:p>
    <w:p w14:paraId="2D7FBCAD" w14:textId="77777777" w:rsidR="008C041F" w:rsidRPr="009A7163" w:rsidRDefault="008C041F" w:rsidP="00293176">
      <w:pPr>
        <w:spacing w:line="360" w:lineRule="auto"/>
        <w:jc w:val="both"/>
        <w:rPr>
          <w:rFonts w:eastAsiaTheme="minorHAnsi"/>
          <w:lang w:eastAsia="en-GB"/>
        </w:rPr>
      </w:pPr>
    </w:p>
    <w:p w14:paraId="0088526F" w14:textId="77777777" w:rsidR="00FD4ABA" w:rsidRPr="009A7163" w:rsidRDefault="00FD4ABA">
      <w:pPr>
        <w:spacing w:line="360" w:lineRule="auto"/>
        <w:ind w:firstLine="720"/>
        <w:jc w:val="both"/>
        <w:rPr>
          <w:rFonts w:eastAsiaTheme="minorHAnsi"/>
          <w:lang w:eastAsia="en-GB"/>
        </w:rPr>
      </w:pPr>
      <w:r w:rsidRPr="009A7163">
        <w:rPr>
          <w:rFonts w:eastAsiaTheme="minorHAnsi"/>
          <w:noProof/>
          <w:lang w:eastAsia="en-GB"/>
        </w:rPr>
        <w:drawing>
          <wp:inline distT="0" distB="0" distL="0" distR="0" wp14:anchorId="38D90689" wp14:editId="78DC8BC9">
            <wp:extent cx="4966335" cy="3721998"/>
            <wp:effectExtent l="0" t="0" r="12065" b="12065"/>
            <wp:docPr id="10" name="Picture 10" descr="../Revisions/Photos%20for%20thesis%20chapter%20covers/Clocks%20that%20dont%20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ions/Photos%20for%20thesis%20chapter%20covers/Clocks%20that%20dont%20wor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8853" cy="3731380"/>
                    </a:xfrm>
                    <a:prstGeom prst="rect">
                      <a:avLst/>
                    </a:prstGeom>
                    <a:noFill/>
                    <a:ln>
                      <a:noFill/>
                    </a:ln>
                  </pic:spPr>
                </pic:pic>
              </a:graphicData>
            </a:graphic>
          </wp:inline>
        </w:drawing>
      </w:r>
    </w:p>
    <w:p w14:paraId="10513CE8" w14:textId="661F1693" w:rsidR="008C041F" w:rsidRPr="009A7163" w:rsidRDefault="008C041F" w:rsidP="00293176">
      <w:pPr>
        <w:pStyle w:val="Heading2"/>
        <w:spacing w:before="360"/>
        <w:rPr>
          <w:rFonts w:eastAsiaTheme="minorHAnsi"/>
          <w:lang w:eastAsia="en-GB"/>
        </w:rPr>
      </w:pPr>
      <w:bookmarkStart w:id="176" w:name="_Toc526819374"/>
      <w:r w:rsidRPr="009A7163">
        <w:rPr>
          <w:rFonts w:eastAsiaTheme="minorHAnsi"/>
          <w:lang w:eastAsia="en-GB"/>
        </w:rPr>
        <w:t>9.4  Pricing Unpaid Work</w:t>
      </w:r>
      <w:bookmarkEnd w:id="176"/>
    </w:p>
    <w:p w14:paraId="309C2623" w14:textId="4B1CD706"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The initiative demonstrates that it is possible to put a price on unpaid work even if it is not precise to begin with this which is a good starting point and an example to other companies that you don’t need hard facts to take on moral leadership as Anita Roddrick rallies for. Pricing women’s work as part of the inputs into a product acknowledges their contribution, which is important; however, the mechanism of payment and model in practice was disconnected from this. There is a contradiction between valuing women’s unpaid work whilst not paying directly for that work. However, the initiative has successfully argued that women's </w:t>
      </w:r>
      <w:r w:rsidRPr="009A7163">
        <w:rPr>
          <w:rFonts w:eastAsiaTheme="minorHAnsi"/>
          <w:bCs/>
          <w:lang w:eastAsia="en-GB"/>
        </w:rPr>
        <w:t xml:space="preserve">unpaid work represents an important input into production and should be valued and recognised. This reflects the literature which claims that </w:t>
      </w:r>
      <w:r w:rsidRPr="009A7163">
        <w:rPr>
          <w:rFonts w:eastAsiaTheme="minorHAnsi"/>
          <w:lang w:eastAsia="en-GB"/>
        </w:rPr>
        <w:t xml:space="preserve">‘naming, framing and programming’ (Eyben, 2012) are </w:t>
      </w:r>
      <w:r w:rsidRPr="009A7163">
        <w:rPr>
          <w:rFonts w:eastAsiaTheme="minorHAnsi"/>
          <w:lang w:eastAsia="en-GB"/>
        </w:rPr>
        <w:lastRenderedPageBreak/>
        <w:t xml:space="preserve">important choices. The example of </w:t>
      </w:r>
      <w:r w:rsidR="001B31D5" w:rsidRPr="009A7163">
        <w:rPr>
          <w:rFonts w:eastAsiaTheme="minorHAnsi"/>
          <w:lang w:eastAsia="en-GB"/>
        </w:rPr>
        <w:t>BSI</w:t>
      </w:r>
      <w:r w:rsidRPr="009A7163">
        <w:rPr>
          <w:rFonts w:eastAsiaTheme="minorHAnsi"/>
          <w:lang w:eastAsia="en-GB"/>
        </w:rPr>
        <w:t xml:space="preserve"> leading this pilot scheme demonstrates a very important point that challenging system bias and strategic ignorance is worth the risk. Eyben (2012) define</w:t>
      </w:r>
      <w:r w:rsidR="00F22C26" w:rsidRPr="009A7163">
        <w:rPr>
          <w:rFonts w:eastAsiaTheme="minorHAnsi"/>
          <w:lang w:eastAsia="en-GB"/>
        </w:rPr>
        <w:t>s</w:t>
      </w:r>
      <w:r w:rsidRPr="009A7163">
        <w:rPr>
          <w:rFonts w:eastAsiaTheme="minorHAnsi"/>
          <w:lang w:eastAsia="en-GB"/>
        </w:rPr>
        <w:t xml:space="preserve"> system bias as ‘the ‘institutional rules of the game– and the norms and systems of thought accompanying and sustaining these rules – determine what is possible to discuss. We may recognize there is a problem; but the threat of sanctions keeps us silent’ (p. 11). System bias also works by making the people seeking to place non-issues onto policy agendas appear inadequate or incapable (which goes back to the TUS reflection). Another issue raised is that ‘when the invisibility of an issue is challenged, the burden of proof is thrown back onto the challenger’ (Eyben, 2012, p.</w:t>
      </w:r>
      <w:r w:rsidR="00DE7E71" w:rsidRPr="009A7163">
        <w:rPr>
          <w:rFonts w:eastAsiaTheme="minorHAnsi"/>
          <w:lang w:eastAsia="en-GB"/>
        </w:rPr>
        <w:t xml:space="preserve"> </w:t>
      </w:r>
      <w:r w:rsidRPr="009A7163">
        <w:rPr>
          <w:rFonts w:eastAsiaTheme="minorHAnsi"/>
          <w:lang w:eastAsia="en-GB"/>
        </w:rPr>
        <w:t>12).</w:t>
      </w:r>
      <w:r w:rsidRPr="009A7163">
        <w:rPr>
          <w:rFonts w:eastAsiaTheme="minorHAnsi"/>
          <w:vertAlign w:val="superscript"/>
          <w:lang w:eastAsia="en-GB"/>
        </w:rPr>
        <w:footnoteReference w:id="135"/>
      </w:r>
      <w:r w:rsidRPr="009A7163">
        <w:rPr>
          <w:rFonts w:eastAsiaTheme="minorHAnsi"/>
          <w:lang w:eastAsia="en-GB"/>
        </w:rPr>
        <w:t xml:space="preserve"> Furthermore</w:t>
      </w:r>
      <w:r w:rsidR="00250728" w:rsidRPr="009A7163">
        <w:rPr>
          <w:rFonts w:eastAsiaTheme="minorHAnsi"/>
          <w:lang w:eastAsia="en-GB"/>
        </w:rPr>
        <w:t>,</w:t>
      </w:r>
      <w:r w:rsidRPr="009A7163">
        <w:rPr>
          <w:rFonts w:eastAsiaTheme="minorHAnsi"/>
          <w:lang w:eastAsia="en-GB"/>
        </w:rPr>
        <w:t xml:space="preserve"> strategic ignorance Eyben (2012) explains why</w:t>
      </w:r>
      <w:r w:rsidR="00250728" w:rsidRPr="009A7163">
        <w:rPr>
          <w:rFonts w:eastAsiaTheme="minorHAnsi"/>
          <w:lang w:eastAsia="en-GB"/>
        </w:rPr>
        <w:t>:</w:t>
      </w:r>
      <w:r w:rsidR="000B2D64" w:rsidRPr="009A7163">
        <w:rPr>
          <w:rFonts w:eastAsiaTheme="minorHAnsi"/>
          <w:lang w:eastAsia="en-GB"/>
        </w:rPr>
        <w:t xml:space="preserve"> ‘</w:t>
      </w:r>
      <w:r w:rsidRPr="009A7163">
        <w:rPr>
          <w:rFonts w:eastAsiaTheme="minorHAnsi"/>
          <w:lang w:eastAsia="en-GB"/>
        </w:rPr>
        <w:t>If unpaid care were given the recognition it merits, then governments and development agencies would have to revise radically their development priorities and budgets. Thus, care has been made invisible</w:t>
      </w:r>
      <w:r w:rsidR="000B2D64" w:rsidRPr="009A7163">
        <w:rPr>
          <w:rFonts w:eastAsiaTheme="minorHAnsi"/>
          <w:lang w:eastAsia="en-GB"/>
        </w:rPr>
        <w:t xml:space="preserve">’ </w:t>
      </w:r>
      <w:r w:rsidRPr="009A7163">
        <w:rPr>
          <w:rFonts w:eastAsiaTheme="minorHAnsi"/>
          <w:lang w:eastAsia="en-GB"/>
        </w:rPr>
        <w:t>(p.</w:t>
      </w:r>
      <w:r w:rsidR="00F22C26" w:rsidRPr="009A7163">
        <w:rPr>
          <w:rFonts w:eastAsiaTheme="minorHAnsi"/>
          <w:lang w:eastAsia="en-GB"/>
        </w:rPr>
        <w:t xml:space="preserve"> </w:t>
      </w:r>
      <w:r w:rsidRPr="009A7163">
        <w:rPr>
          <w:rFonts w:eastAsiaTheme="minorHAnsi"/>
          <w:lang w:eastAsia="en-GB"/>
        </w:rPr>
        <w:t xml:space="preserve">11). The pricing model contests this. It firstly challenges system bias: BSI and the other coffee buyers included a cost for women’s </w:t>
      </w:r>
      <w:r w:rsidR="003A2C87" w:rsidRPr="009A7163">
        <w:rPr>
          <w:rFonts w:eastAsiaTheme="minorHAnsi"/>
          <w:lang w:eastAsia="en-GB"/>
        </w:rPr>
        <w:t>UCW</w:t>
      </w:r>
      <w:r w:rsidRPr="009A7163">
        <w:rPr>
          <w:rFonts w:eastAsiaTheme="minorHAnsi"/>
          <w:lang w:eastAsia="en-GB"/>
        </w:rPr>
        <w:t xml:space="preserve"> into their pricing model without any scientific proof or detailed calculations, which normally would be expected in order to justify the additional cost. Making </w:t>
      </w:r>
      <w:r w:rsidR="003A2C87" w:rsidRPr="009A7163">
        <w:rPr>
          <w:rFonts w:eastAsiaTheme="minorHAnsi"/>
          <w:lang w:eastAsia="en-GB"/>
        </w:rPr>
        <w:t>UCW</w:t>
      </w:r>
      <w:r w:rsidRPr="009A7163">
        <w:rPr>
          <w:rFonts w:eastAsiaTheme="minorHAnsi"/>
          <w:lang w:eastAsia="en-GB"/>
        </w:rPr>
        <w:t xml:space="preserve"> visible, recogni</w:t>
      </w:r>
      <w:r w:rsidR="00F22C26" w:rsidRPr="009A7163">
        <w:rPr>
          <w:rFonts w:eastAsiaTheme="minorHAnsi"/>
          <w:lang w:eastAsia="en-GB"/>
        </w:rPr>
        <w:t>s</w:t>
      </w:r>
      <w:r w:rsidRPr="009A7163">
        <w:rPr>
          <w:rFonts w:eastAsiaTheme="minorHAnsi"/>
          <w:lang w:eastAsia="en-GB"/>
        </w:rPr>
        <w:t>ing it, and giving it a value challenges the arguments that you need ‘sound evidence’ to prove its importance.</w:t>
      </w:r>
    </w:p>
    <w:p w14:paraId="716FCD13" w14:textId="2C71EB81" w:rsidR="00FD4ABA" w:rsidRPr="009A7163" w:rsidRDefault="00FD4ABA">
      <w:pPr>
        <w:spacing w:line="360" w:lineRule="auto"/>
        <w:ind w:firstLine="720"/>
        <w:jc w:val="both"/>
        <w:rPr>
          <w:rFonts w:eastAsiaTheme="minorHAnsi"/>
          <w:lang w:eastAsia="en-GB"/>
        </w:rPr>
      </w:pPr>
      <w:r w:rsidRPr="009A7163">
        <w:rPr>
          <w:rFonts w:eastAsiaTheme="minorHAnsi"/>
          <w:lang w:eastAsia="en-GB"/>
        </w:rPr>
        <w:t xml:space="preserve">Second, the pricing model challenges strategic ignorance as the risk of acknowledging women’s </w:t>
      </w:r>
      <w:r w:rsidR="003A2C87" w:rsidRPr="009A7163">
        <w:rPr>
          <w:rFonts w:eastAsiaTheme="minorHAnsi"/>
          <w:lang w:eastAsia="en-GB"/>
        </w:rPr>
        <w:t>UCW</w:t>
      </w:r>
      <w:r w:rsidRPr="009A7163">
        <w:rPr>
          <w:rFonts w:eastAsiaTheme="minorHAnsi"/>
          <w:lang w:eastAsia="en-GB"/>
        </w:rPr>
        <w:t xml:space="preserve"> would oblige the buyer to pay more; however, the buyers in this instance were brave to assume this added cost, although they did admit that prices were high for sesame and the world market price of sesame was rising at the time that they struck this deal (Butler and Hoskyns, 2016, p. 159). </w:t>
      </w:r>
    </w:p>
    <w:p w14:paraId="691B533A" w14:textId="3E28F4FB"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The recommendation following from these key messages is that pricing women’s unpaid work and making a payment for it as part of a contract has great potential to visibil</w:t>
      </w:r>
      <w:r w:rsidR="00C95A06" w:rsidRPr="009A7163">
        <w:rPr>
          <w:rFonts w:eastAsiaTheme="minorHAnsi"/>
          <w:lang w:eastAsia="en-GB"/>
        </w:rPr>
        <w:t>ise</w:t>
      </w:r>
      <w:r w:rsidRPr="009A7163">
        <w:rPr>
          <w:rFonts w:eastAsiaTheme="minorHAnsi"/>
          <w:lang w:eastAsia="en-GB"/>
        </w:rPr>
        <w:t xml:space="preserve"> women’s contribution</w:t>
      </w:r>
      <w:r w:rsidR="00DE7E71" w:rsidRPr="009A7163">
        <w:rPr>
          <w:rFonts w:eastAsiaTheme="minorHAnsi"/>
          <w:lang w:eastAsia="en-GB"/>
        </w:rPr>
        <w:t>;</w:t>
      </w:r>
      <w:r w:rsidRPr="009A7163">
        <w:rPr>
          <w:rFonts w:eastAsiaTheme="minorHAnsi"/>
          <w:lang w:eastAsia="en-GB"/>
        </w:rPr>
        <w:t xml:space="preserve"> however</w:t>
      </w:r>
      <w:r w:rsidR="00DE7E71" w:rsidRPr="009A7163">
        <w:rPr>
          <w:rFonts w:eastAsiaTheme="minorHAnsi"/>
          <w:lang w:eastAsia="en-GB"/>
        </w:rPr>
        <w:t>,</w:t>
      </w:r>
      <w:r w:rsidRPr="009A7163">
        <w:rPr>
          <w:rFonts w:eastAsiaTheme="minorHAnsi"/>
          <w:lang w:eastAsia="en-GB"/>
        </w:rPr>
        <w:t xml:space="preserve"> the mechanism of which it happens and the ‘developmental’ conditions attached to it of the small-scale credit and savings fund must be reviewed. In the future, a revision should be made as to whether this payment is paid as a premium (a more accurate label of what it is) or whether it </w:t>
      </w:r>
      <w:r w:rsidRPr="009A7163">
        <w:rPr>
          <w:rFonts w:eastAsiaTheme="minorHAnsi"/>
          <w:lang w:eastAsia="en-GB"/>
        </w:rPr>
        <w:lastRenderedPageBreak/>
        <w:t>continues to be paid as part of the product but in a different way. If it is put into a collective premium fund, a recommendation would be that the mechanisms for how this money is accessed should be reviewed because currently those with power to decide are the cooperative and the men. Furthermore, the condition of the fund being used as a small credit and saving scheme should be reconsidered as studies have shown small economic house-based initiatives have the least transformative benefits whilst access to land a very strong one. And finally, companies and policy makers should follow the steps of the BSI and the coffee buyers who through the pricing model challenged system bias and strategic ignorance.  Lastly this is a pioneering initiative which moves forward both the debate and the practice of valuing women’s unpaid work but its concrete implementation process needs some reform.</w:t>
      </w:r>
    </w:p>
    <w:p w14:paraId="09C99248" w14:textId="14FD9665" w:rsidR="008C041F" w:rsidRPr="009A7163" w:rsidRDefault="008C041F" w:rsidP="00293176">
      <w:pPr>
        <w:pStyle w:val="Heading2"/>
        <w:rPr>
          <w:rFonts w:eastAsiaTheme="minorHAnsi"/>
          <w:lang w:val="en-GB" w:eastAsia="en-GB"/>
        </w:rPr>
      </w:pPr>
      <w:bookmarkStart w:id="177" w:name="_Toc526819375"/>
      <w:r w:rsidRPr="009A7163">
        <w:rPr>
          <w:rFonts w:eastAsiaTheme="minorHAnsi"/>
          <w:lang w:val="en-GB" w:eastAsia="en-GB"/>
        </w:rPr>
        <w:t>9.5  Family Distribution of Time Use</w:t>
      </w:r>
      <w:bookmarkEnd w:id="177"/>
    </w:p>
    <w:p w14:paraId="3A2174F3" w14:textId="45C035F5" w:rsidR="00FD4ABA" w:rsidRPr="009A7163" w:rsidRDefault="00FD4ABA" w:rsidP="00DE7E71">
      <w:pPr>
        <w:spacing w:after="240" w:line="360" w:lineRule="auto"/>
        <w:ind w:firstLine="720"/>
        <w:jc w:val="both"/>
        <w:rPr>
          <w:rFonts w:eastAsiaTheme="minorHAnsi"/>
          <w:lang w:eastAsia="en-GB"/>
        </w:rPr>
      </w:pPr>
      <w:r w:rsidRPr="009A7163">
        <w:rPr>
          <w:rFonts w:eastAsiaTheme="minorHAnsi"/>
          <w:lang w:eastAsia="en-GB"/>
        </w:rPr>
        <w:t xml:space="preserve">The findings found that women’s </w:t>
      </w:r>
      <w:r w:rsidR="003A2C87" w:rsidRPr="009A7163">
        <w:rPr>
          <w:rFonts w:eastAsiaTheme="minorHAnsi"/>
          <w:lang w:eastAsia="en-GB"/>
        </w:rPr>
        <w:t>UCW</w:t>
      </w:r>
      <w:r w:rsidRPr="009A7163">
        <w:rPr>
          <w:rFonts w:eastAsiaTheme="minorHAnsi"/>
          <w:lang w:eastAsia="en-GB"/>
        </w:rPr>
        <w:t xml:space="preserve"> had not reduced as a result of the pricing model and has in some instances increased. The inflexibility shown in domestic chores </w:t>
      </w:r>
      <w:r w:rsidR="00DE7E71" w:rsidRPr="009A7163">
        <w:rPr>
          <w:rFonts w:eastAsiaTheme="minorHAnsi"/>
          <w:lang w:eastAsia="en-GB"/>
        </w:rPr>
        <w:t>that</w:t>
      </w:r>
      <w:r w:rsidRPr="009A7163">
        <w:rPr>
          <w:rFonts w:eastAsiaTheme="minorHAnsi"/>
          <w:lang w:eastAsia="en-GB"/>
        </w:rPr>
        <w:t xml:space="preserve"> remains with the women is not replicated in production-related duties, which can often be performed interchangeably between genders. A key message is that care still remains ‘women specific’ and is often shifted to younger or older women in the households. Findings showed that the role of women in rural households is to resolve all the household necessities at all times whereby women act as ‘shock absorbers’ which echoes the literature. Nicaraguan economist, Isolda Espinosa, argued that ‘the burden of responsibilities, in time and energy, of reproductive labor is a serious obstacle for women of all ages to practice their rights to education, dignified employment, to earn a living, to leisure, and to politically participate’ (</w:t>
      </w:r>
      <w:r w:rsidR="00DE7E71" w:rsidRPr="009A7163">
        <w:rPr>
          <w:rFonts w:eastAsiaTheme="minorHAnsi"/>
          <w:lang w:eastAsia="en-GB"/>
        </w:rPr>
        <w:t xml:space="preserve"> Espinosa, </w:t>
      </w:r>
      <w:r w:rsidRPr="009A7163">
        <w:rPr>
          <w:rFonts w:eastAsiaTheme="minorHAnsi"/>
          <w:lang w:eastAsia="en-GB"/>
        </w:rPr>
        <w:t xml:space="preserve">2005, p. 41). The key finding that care remains ‘women specific’ and is often shifted to other women leads us to conclude that we must not assume that women are a homogenous group or that increasing women’s income will always lead to maximizing individual gains or that everyone who participates begins at the same level or under the same circumstances. Neither can it be assumed that the household is a harmonious space (Gonda, 2014). Women and other women in the house continue to bear the brunt. Therefore, a recommendation leading from this is that a co-responsibility of care needs to be proposed and therein addressed at all levels. This can be done addressed by opening up discussions within partner organizations facilitating such initiatives to consider a transformative approach to care. Esquivel (2014) argues: ‘Depending on the way care </w:t>
      </w:r>
      <w:r w:rsidRPr="009A7163">
        <w:rPr>
          <w:rFonts w:eastAsiaTheme="minorHAnsi"/>
          <w:lang w:eastAsia="en-GB"/>
        </w:rPr>
        <w:lastRenderedPageBreak/>
        <w:t>is framed, policies and practices can be designed and implemented in transformative ways, in the sense of supporting carers – predominantly women</w:t>
      </w:r>
      <w:r w:rsidR="00DE7E71" w:rsidRPr="009A7163">
        <w:rPr>
          <w:rFonts w:eastAsiaTheme="minorHAnsi"/>
          <w:lang w:eastAsia="en-GB"/>
        </w:rPr>
        <w:t xml:space="preserve"> –</w:t>
      </w:r>
      <w:r w:rsidRPr="009A7163">
        <w:rPr>
          <w:rFonts w:eastAsiaTheme="minorHAnsi"/>
          <w:lang w:eastAsia="en-GB"/>
        </w:rPr>
        <w:t xml:space="preserve"> and lightening their care burdens, while challenging the notion that their work is ‘intrinsically ‘female’ and of lesser important that works seen as ‘productive’ (p.</w:t>
      </w:r>
      <w:r w:rsidR="00DE7E71" w:rsidRPr="009A7163">
        <w:rPr>
          <w:rFonts w:eastAsiaTheme="minorHAnsi"/>
          <w:lang w:eastAsia="en-GB"/>
        </w:rPr>
        <w:t xml:space="preserve"> </w:t>
      </w:r>
      <w:r w:rsidRPr="009A7163">
        <w:rPr>
          <w:rFonts w:eastAsiaTheme="minorHAnsi"/>
          <w:lang w:eastAsia="en-GB"/>
        </w:rPr>
        <w:t xml:space="preserve">423). A recommendation for future projects is to teach families how to talk about distribution of roles and responsibilities given cultural constraints and social norms, as well as facilitate debate about the construction of gender identities, which inform the division of labour. This is the same for the community and institutional level. Deliberation and spaces of reflection are important in this process. This study has shown spaces of deliberation and reflection can be transformative to understandings of gender is one pathway to addressing the inequality of </w:t>
      </w:r>
      <w:r w:rsidR="003A2C87" w:rsidRPr="009A7163">
        <w:rPr>
          <w:rFonts w:eastAsiaTheme="minorHAnsi"/>
          <w:lang w:eastAsia="en-GB"/>
        </w:rPr>
        <w:t>UCW</w:t>
      </w:r>
      <w:r w:rsidRPr="009A7163">
        <w:rPr>
          <w:rFonts w:eastAsiaTheme="minorHAnsi"/>
          <w:lang w:eastAsia="en-GB"/>
        </w:rPr>
        <w:t>.</w:t>
      </w:r>
    </w:p>
    <w:p w14:paraId="309072AF" w14:textId="252E561A" w:rsidR="00FD4ABA" w:rsidRPr="009A7163" w:rsidRDefault="008C041F" w:rsidP="00293176">
      <w:pPr>
        <w:pStyle w:val="Heading2"/>
        <w:rPr>
          <w:rFonts w:eastAsiaTheme="minorHAnsi"/>
          <w:lang w:eastAsia="en-GB"/>
        </w:rPr>
      </w:pPr>
      <w:bookmarkStart w:id="178" w:name="_Toc526819376"/>
      <w:r w:rsidRPr="009A7163">
        <w:rPr>
          <w:rFonts w:eastAsiaTheme="minorHAnsi"/>
          <w:lang w:eastAsia="en-GB"/>
        </w:rPr>
        <w:t xml:space="preserve">9.6  </w:t>
      </w:r>
      <w:r w:rsidR="00FD4ABA" w:rsidRPr="009A7163">
        <w:rPr>
          <w:rFonts w:eastAsiaTheme="minorHAnsi"/>
          <w:lang w:eastAsia="en-GB"/>
        </w:rPr>
        <w:t>Factors that Influence Time Use</w:t>
      </w:r>
      <w:bookmarkEnd w:id="178"/>
    </w:p>
    <w:p w14:paraId="308C6656" w14:textId="72D64AF9" w:rsidR="00FD4ABA" w:rsidRPr="009A7163" w:rsidRDefault="00FD4ABA">
      <w:pPr>
        <w:spacing w:line="360" w:lineRule="auto"/>
        <w:ind w:firstLine="720"/>
        <w:jc w:val="both"/>
        <w:rPr>
          <w:rFonts w:eastAsiaTheme="minorHAnsi"/>
          <w:lang w:eastAsia="en-GB"/>
        </w:rPr>
      </w:pPr>
      <w:r w:rsidRPr="009A7163">
        <w:rPr>
          <w:rFonts w:eastAsiaTheme="minorHAnsi"/>
          <w:lang w:eastAsia="en-GB"/>
        </w:rPr>
        <w:t>A key finding in this study was how social norms are a key factor in how roles, responsibilities and time use were distributed. However, another finding shows that by recogni</w:t>
      </w:r>
      <w:r w:rsidR="00DE7E71" w:rsidRPr="009A7163">
        <w:rPr>
          <w:rFonts w:eastAsiaTheme="minorHAnsi"/>
          <w:lang w:eastAsia="en-GB"/>
        </w:rPr>
        <w:t>s</w:t>
      </w:r>
      <w:r w:rsidRPr="009A7163">
        <w:rPr>
          <w:rFonts w:eastAsiaTheme="minorHAnsi"/>
          <w:lang w:eastAsia="en-GB"/>
        </w:rPr>
        <w:t>ing the unpaid work of women, which has always been taken for granted, the inequality buried at a deeper level of the ‘doxa’ (Bourdieu, 1977) can begin to be challenged. The implications of these findings for research and practice is that it is not only essential to consider how social norms affect women’s empowerment, but also how they shape formal and social structures that maintain inequality. Therein changes to social norms can be viewed as an indication of systemic change. More work is needed to deepen understanding of gendered social norms and how they engage with pricing models and programmes, as well as an examination of strategies for addressing social norms to cataly</w:t>
      </w:r>
      <w:r w:rsidR="00DE7E71" w:rsidRPr="009A7163">
        <w:rPr>
          <w:rFonts w:eastAsiaTheme="minorHAnsi"/>
          <w:lang w:eastAsia="en-GB"/>
        </w:rPr>
        <w:t>s</w:t>
      </w:r>
      <w:r w:rsidRPr="009A7163">
        <w:rPr>
          <w:rFonts w:eastAsiaTheme="minorHAnsi"/>
          <w:lang w:eastAsia="en-GB"/>
        </w:rPr>
        <w:t>e women’s empowerment. In future work, measurement of perceived norms should be more consistently and explicitly incorporated into the evaluation of social interventions, particularly interventions that involve institutional change such as pricing. </w:t>
      </w:r>
    </w:p>
    <w:p w14:paraId="153EC504" w14:textId="220715F7" w:rsidR="00FD4ABA" w:rsidRPr="009A7163" w:rsidRDefault="00FD4ABA" w:rsidP="00100C2B">
      <w:pPr>
        <w:spacing w:line="360" w:lineRule="auto"/>
        <w:ind w:firstLine="720"/>
        <w:jc w:val="both"/>
        <w:rPr>
          <w:rFonts w:eastAsiaTheme="minorHAnsi"/>
          <w:lang w:eastAsia="en-GB"/>
        </w:rPr>
      </w:pPr>
      <w:r w:rsidRPr="009A7163">
        <w:rPr>
          <w:rFonts w:eastAsiaTheme="minorHAnsi"/>
          <w:lang w:eastAsia="en-GB"/>
        </w:rPr>
        <w:t xml:space="preserve">This study has contributed to the literature on unpaid work and the importance of considering social norms in policies and practices. It also has demonstrated the persistence of social norms and has argued that these must be taken into account, leading on from this a policy recommendation would be accompany any initiative that focuses on unpaid work should consider three other aspects: </w:t>
      </w:r>
      <w:r w:rsidR="00DE7E71" w:rsidRPr="009A7163">
        <w:rPr>
          <w:rFonts w:eastAsiaTheme="minorHAnsi"/>
          <w:lang w:eastAsia="en-GB"/>
        </w:rPr>
        <w:t>F</w:t>
      </w:r>
      <w:r w:rsidRPr="009A7163">
        <w:rPr>
          <w:rFonts w:eastAsiaTheme="minorHAnsi"/>
          <w:lang w:eastAsia="en-GB"/>
        </w:rPr>
        <w:t>irstly</w:t>
      </w:r>
      <w:r w:rsidR="00DE7E71" w:rsidRPr="009A7163">
        <w:rPr>
          <w:rFonts w:eastAsiaTheme="minorHAnsi"/>
          <w:lang w:eastAsia="en-GB"/>
        </w:rPr>
        <w:t>,</w:t>
      </w:r>
      <w:r w:rsidRPr="009A7163">
        <w:rPr>
          <w:rFonts w:eastAsiaTheme="minorHAnsi"/>
          <w:lang w:eastAsia="en-GB"/>
        </w:rPr>
        <w:t xml:space="preserve"> to take into account social norms prior to engaging with unpaid work in any given context and</w:t>
      </w:r>
      <w:r w:rsidR="00DE7E71" w:rsidRPr="009A7163">
        <w:rPr>
          <w:rFonts w:eastAsiaTheme="minorHAnsi"/>
          <w:lang w:eastAsia="en-GB"/>
        </w:rPr>
        <w:t>,</w:t>
      </w:r>
      <w:r w:rsidRPr="009A7163">
        <w:rPr>
          <w:rFonts w:eastAsiaTheme="minorHAnsi"/>
          <w:lang w:eastAsia="en-GB"/>
        </w:rPr>
        <w:t xml:space="preserve"> secondly</w:t>
      </w:r>
      <w:r w:rsidR="00DE7E71" w:rsidRPr="009A7163">
        <w:rPr>
          <w:rFonts w:eastAsiaTheme="minorHAnsi"/>
          <w:lang w:eastAsia="en-GB"/>
        </w:rPr>
        <w:t>,</w:t>
      </w:r>
      <w:r w:rsidRPr="009A7163">
        <w:rPr>
          <w:rFonts w:eastAsiaTheme="minorHAnsi"/>
          <w:lang w:eastAsia="en-GB"/>
        </w:rPr>
        <w:t xml:space="preserve"> programs which deal </w:t>
      </w:r>
      <w:r w:rsidR="00DE7E71" w:rsidRPr="009A7163">
        <w:rPr>
          <w:rFonts w:eastAsiaTheme="minorHAnsi"/>
          <w:lang w:eastAsia="en-GB"/>
        </w:rPr>
        <w:t xml:space="preserve">with </w:t>
      </w:r>
      <w:r w:rsidRPr="009A7163">
        <w:rPr>
          <w:rFonts w:eastAsiaTheme="minorHAnsi"/>
          <w:lang w:eastAsia="en-GB"/>
        </w:rPr>
        <w:t xml:space="preserve">unpaid work should accompany this process or encourage </w:t>
      </w:r>
      <w:r w:rsidRPr="009A7163">
        <w:rPr>
          <w:rFonts w:eastAsiaTheme="minorHAnsi"/>
          <w:lang w:eastAsia="en-GB"/>
        </w:rPr>
        <w:lastRenderedPageBreak/>
        <w:t xml:space="preserve">work that with gender identities and in particular work with masculinities considering the context of Nicaragua. Creative innovations and ones that take on board gender can open avenues for systemic change and a transformative approach depends on engaging with social norms and in particular masculinities. In the book </w:t>
      </w:r>
      <w:r w:rsidRPr="009A7163">
        <w:rPr>
          <w:rFonts w:eastAsiaTheme="minorHAnsi"/>
          <w:i/>
          <w:lang w:eastAsia="en-GB"/>
        </w:rPr>
        <w:t>Masculinidades y Desarrollo Rural</w:t>
      </w:r>
      <w:r w:rsidR="00DE7E71" w:rsidRPr="009A7163">
        <w:rPr>
          <w:rFonts w:eastAsiaTheme="minorHAnsi"/>
          <w:lang w:eastAsia="en-GB"/>
        </w:rPr>
        <w:t xml:space="preserve"> (</w:t>
      </w:r>
      <w:r w:rsidR="00DE7E71" w:rsidRPr="009A7163">
        <w:rPr>
          <w:rFonts w:eastAsiaTheme="minorHAnsi"/>
          <w:i/>
          <w:lang w:eastAsia="en-GB"/>
        </w:rPr>
        <w:t>Masculinities and Rural Development</w:t>
      </w:r>
      <w:r w:rsidR="00DE7E71" w:rsidRPr="009A7163">
        <w:rPr>
          <w:rFonts w:eastAsiaTheme="minorHAnsi"/>
          <w:lang w:eastAsia="en-GB"/>
        </w:rPr>
        <w:t>)</w:t>
      </w:r>
      <w:r w:rsidRPr="009A7163">
        <w:rPr>
          <w:rFonts w:eastAsiaTheme="minorHAnsi"/>
          <w:lang w:eastAsia="en-GB"/>
        </w:rPr>
        <w:t xml:space="preserve">, Alan Bolt </w:t>
      </w:r>
      <w:r w:rsidR="00DE7E71" w:rsidRPr="009A7163">
        <w:rPr>
          <w:rFonts w:eastAsiaTheme="minorHAnsi"/>
          <w:lang w:eastAsia="en-GB"/>
        </w:rPr>
        <w:t xml:space="preserve">(2003) </w:t>
      </w:r>
      <w:r w:rsidRPr="009A7163">
        <w:rPr>
          <w:rFonts w:eastAsiaTheme="minorHAnsi"/>
          <w:lang w:eastAsia="en-GB"/>
        </w:rPr>
        <w:t>reflects on experiences in Nicaragua to argue that the development of new masculinities is inseparable from successful rural development. He argues</w:t>
      </w:r>
      <w:r w:rsidR="00DE7E71" w:rsidRPr="009A7163">
        <w:rPr>
          <w:rFonts w:eastAsiaTheme="minorHAnsi"/>
          <w:lang w:eastAsia="en-GB"/>
        </w:rPr>
        <w:t>:</w:t>
      </w:r>
      <w:r w:rsidRPr="009A7163">
        <w:rPr>
          <w:rFonts w:eastAsiaTheme="minorHAnsi"/>
          <w:lang w:eastAsia="en-GB"/>
        </w:rPr>
        <w:t xml:space="preserve"> </w:t>
      </w:r>
    </w:p>
    <w:p w14:paraId="2418E0C7" w14:textId="04E2609A" w:rsidR="00FD4ABA" w:rsidRPr="009A7163" w:rsidRDefault="00FD4ABA" w:rsidP="00100C2B">
      <w:pPr>
        <w:spacing w:after="180"/>
        <w:ind w:left="720"/>
        <w:jc w:val="both"/>
        <w:rPr>
          <w:rFonts w:eastAsiaTheme="minorHAnsi"/>
          <w:lang w:eastAsia="en-GB"/>
        </w:rPr>
      </w:pPr>
      <w:r w:rsidRPr="009A7163">
        <w:rPr>
          <w:rFonts w:eastAsiaTheme="minorHAnsi"/>
          <w:lang w:eastAsia="en-GB"/>
        </w:rPr>
        <w:t>We cannot think about development if we do not decisively change the relationships between men and women in all spheres of our society (family, church, school, business, political parties, trade union organizations, military, etc.)</w:t>
      </w:r>
      <w:r w:rsidR="00DE7E71" w:rsidRPr="009A7163">
        <w:rPr>
          <w:rFonts w:eastAsiaTheme="minorHAnsi"/>
          <w:lang w:eastAsia="en-GB"/>
        </w:rPr>
        <w:t>.</w:t>
      </w:r>
      <w:r w:rsidRPr="009A7163">
        <w:rPr>
          <w:rFonts w:eastAsiaTheme="minorHAnsi"/>
          <w:lang w:eastAsia="en-GB"/>
        </w:rPr>
        <w:t xml:space="preserve"> Changing that relationship means changing the relations that men maintain with men in every sphere, particularly in the family (relations between father and son), in organizations in general, and particularly in political parties and public administration. Obviously, we also need to change our relationship with ourselves. (p.</w:t>
      </w:r>
      <w:r w:rsidR="00DE7E71" w:rsidRPr="009A7163">
        <w:rPr>
          <w:rFonts w:eastAsiaTheme="minorHAnsi"/>
          <w:lang w:eastAsia="en-GB"/>
        </w:rPr>
        <w:t xml:space="preserve"> </w:t>
      </w:r>
      <w:r w:rsidRPr="009A7163">
        <w:rPr>
          <w:rFonts w:eastAsiaTheme="minorHAnsi"/>
          <w:lang w:eastAsia="en-GB"/>
        </w:rPr>
        <w:t>18)</w:t>
      </w:r>
    </w:p>
    <w:p w14:paraId="5DB91D34" w14:textId="6494736B" w:rsidR="00DE7E71" w:rsidRPr="009A7163" w:rsidRDefault="00FD4ABA" w:rsidP="00100C2B">
      <w:pPr>
        <w:spacing w:after="240" w:line="360" w:lineRule="auto"/>
        <w:ind w:firstLine="720"/>
        <w:jc w:val="both"/>
        <w:rPr>
          <w:rFonts w:eastAsiaTheme="minorHAnsi"/>
          <w:lang w:eastAsia="en-GB"/>
        </w:rPr>
      </w:pPr>
      <w:r w:rsidRPr="009A7163">
        <w:rPr>
          <w:rFonts w:eastAsiaTheme="minorHAnsi"/>
          <w:lang w:eastAsia="en-GB"/>
        </w:rPr>
        <w:t xml:space="preserve">This is an area that has featured in some grass roots development programmes in Nicaragua with organizations such as CANTERA and Puntos de Encuentro (mentioned previously in </w:t>
      </w:r>
      <w:r w:rsidR="00B44AC2" w:rsidRPr="009A7163">
        <w:rPr>
          <w:rFonts w:eastAsiaTheme="minorHAnsi"/>
          <w:lang w:eastAsia="en-GB"/>
        </w:rPr>
        <w:t>Chapter Four</w:t>
      </w:r>
      <w:r w:rsidRPr="009A7163">
        <w:rPr>
          <w:rFonts w:eastAsiaTheme="minorHAnsi"/>
          <w:lang w:eastAsia="en-GB"/>
        </w:rPr>
        <w:t>) who share a common vision that through the ‘dissemination of the idea that men can be different and through a creation of a ‘critical mass’ of men constantly questioning machismo and seeking alternative ways of being in society’ (Walsh, 2011 p.</w:t>
      </w:r>
      <w:r w:rsidR="00DE7E71" w:rsidRPr="009A7163">
        <w:rPr>
          <w:rFonts w:eastAsiaTheme="minorHAnsi"/>
          <w:lang w:eastAsia="en-GB"/>
        </w:rPr>
        <w:t xml:space="preserve"> </w:t>
      </w:r>
      <w:r w:rsidRPr="009A7163">
        <w:rPr>
          <w:rFonts w:eastAsiaTheme="minorHAnsi"/>
          <w:lang w:eastAsia="en-GB"/>
        </w:rPr>
        <w:t>210) change is possible. Furthermore</w:t>
      </w:r>
      <w:r w:rsidR="00DE7E71" w:rsidRPr="009A7163">
        <w:rPr>
          <w:rFonts w:eastAsiaTheme="minorHAnsi"/>
          <w:lang w:eastAsia="en-GB"/>
        </w:rPr>
        <w:t>,</w:t>
      </w:r>
      <w:r w:rsidRPr="009A7163">
        <w:rPr>
          <w:rFonts w:eastAsiaTheme="minorHAnsi"/>
          <w:lang w:eastAsia="en-GB"/>
        </w:rPr>
        <w:t xml:space="preserve"> as Paulson </w:t>
      </w:r>
      <w:r w:rsidR="00DE7E71" w:rsidRPr="009A7163">
        <w:rPr>
          <w:rFonts w:eastAsiaTheme="minorHAnsi"/>
          <w:lang w:eastAsia="en-GB"/>
        </w:rPr>
        <w:t xml:space="preserve">(2016) </w:t>
      </w:r>
      <w:r w:rsidRPr="009A7163">
        <w:rPr>
          <w:rFonts w:eastAsiaTheme="minorHAnsi"/>
          <w:lang w:eastAsia="en-GB"/>
        </w:rPr>
        <w:t>argues, ‘conditions and expectations of masculinity affect not only men but also women, children and households, as well as territorial’ (p.</w:t>
      </w:r>
      <w:r w:rsidR="00DE7E71" w:rsidRPr="009A7163">
        <w:rPr>
          <w:rFonts w:eastAsiaTheme="minorHAnsi"/>
          <w:lang w:eastAsia="en-GB"/>
        </w:rPr>
        <w:t xml:space="preserve"> </w:t>
      </w:r>
      <w:r w:rsidRPr="009A7163">
        <w:rPr>
          <w:rFonts w:eastAsiaTheme="minorHAnsi"/>
          <w:lang w:eastAsia="en-GB"/>
        </w:rPr>
        <w:t xml:space="preserve">2). Recommendations going forward interrogating and working on masculinities is important and as successful organizations in Nicaragua have shown working with methodologies with men to unlearn machismo and to undertake critical analysis of the social and cultural processes of which they form part of is critical. </w:t>
      </w:r>
      <w:r w:rsidR="00DE7E71" w:rsidRPr="009A7163">
        <w:rPr>
          <w:rFonts w:eastAsiaTheme="minorHAnsi"/>
          <w:lang w:eastAsia="en-GB"/>
        </w:rPr>
        <w:t xml:space="preserve"> </w:t>
      </w:r>
    </w:p>
    <w:p w14:paraId="10BC978F" w14:textId="3062EA09" w:rsidR="008C041F" w:rsidRPr="00100C2B" w:rsidRDefault="008C041F" w:rsidP="00100C2B">
      <w:pPr>
        <w:pStyle w:val="Heading2"/>
      </w:pPr>
      <w:bookmarkStart w:id="179" w:name="_Toc526819377"/>
      <w:r w:rsidRPr="00100C2B">
        <w:t>9.7  Empowerment</w:t>
      </w:r>
      <w:bookmarkEnd w:id="179"/>
    </w:p>
    <w:p w14:paraId="24DE1E70" w14:textId="1FB8397C" w:rsidR="00966135" w:rsidRPr="009A7163" w:rsidRDefault="00966135" w:rsidP="00100C2B">
      <w:pPr>
        <w:spacing w:line="360" w:lineRule="auto"/>
        <w:jc w:val="both"/>
        <w:rPr>
          <w:lang w:eastAsia="en-GB"/>
        </w:rPr>
      </w:pPr>
      <w:r w:rsidRPr="009A7163">
        <w:rPr>
          <w:rFonts w:eastAsiaTheme="minorHAnsi"/>
          <w:lang w:eastAsia="en-GB"/>
        </w:rPr>
        <w:t>The central findings from my study showed that WEE does not lead to overall empowerment and not all forms of economic activity are equally empowering</w:t>
      </w:r>
      <w:r w:rsidRPr="009A7163">
        <w:rPr>
          <w:lang w:eastAsia="en-GB"/>
        </w:rPr>
        <w:t xml:space="preserve">. The case studies also raised the issue of </w:t>
      </w:r>
      <w:r w:rsidRPr="009A7163">
        <w:t xml:space="preserve">individual versus collective empowerment strategies and showed both as problematic. </w:t>
      </w:r>
      <w:r w:rsidRPr="009A7163">
        <w:rPr>
          <w:rFonts w:eastAsiaTheme="minorHAnsi"/>
          <w:lang w:eastAsia="en-GB"/>
        </w:rPr>
        <w:t xml:space="preserve">The decision as to whether the women should receive the money individually and/or whether it should be put into a collective pot and used as a revolving credit fund was a common theme in the interviews and focus groups.  On the one hand, promoting individual models of development could be seen to be a Western </w:t>
      </w:r>
      <w:r w:rsidRPr="009A7163">
        <w:rPr>
          <w:rFonts w:eastAsiaTheme="minorHAnsi"/>
          <w:lang w:eastAsia="en-GB"/>
        </w:rPr>
        <w:lastRenderedPageBreak/>
        <w:t>imperialistic model alien to the discourses and social norms in Nicaragua around family, political party, cooperative and collectivist social norms. However, collective strategies for empowerment means working with collective structures like cooperatives and families and other local agencies that can further entrench existing gender roles</w:t>
      </w:r>
      <w:r w:rsidR="00DE7E71" w:rsidRPr="009A7163">
        <w:rPr>
          <w:rFonts w:eastAsiaTheme="minorHAnsi"/>
          <w:lang w:eastAsia="en-GB"/>
        </w:rPr>
        <w:t xml:space="preserve"> and</w:t>
      </w:r>
      <w:r w:rsidRPr="009A7163">
        <w:rPr>
          <w:rFonts w:eastAsiaTheme="minorHAnsi"/>
          <w:lang w:eastAsia="en-GB"/>
        </w:rPr>
        <w:t xml:space="preserve"> inequalities and that do not address wider structural issues and social norms</w:t>
      </w:r>
      <w:r w:rsidRPr="009A7163">
        <w:rPr>
          <w:lang w:eastAsia="en-GB"/>
        </w:rPr>
        <w:t xml:space="preserve">. </w:t>
      </w:r>
    </w:p>
    <w:p w14:paraId="4DC66F48" w14:textId="798216EC" w:rsidR="00966135" w:rsidRPr="009A7163" w:rsidRDefault="00966135" w:rsidP="00100C2B">
      <w:pPr>
        <w:spacing w:line="360" w:lineRule="auto"/>
        <w:jc w:val="both"/>
      </w:pPr>
      <w:r w:rsidRPr="009A7163">
        <w:rPr>
          <w:lang w:eastAsia="en-GB"/>
        </w:rPr>
        <w:t xml:space="preserve">Another finding was that </w:t>
      </w:r>
      <w:r w:rsidRPr="009A7163">
        <w:t xml:space="preserve">individual choice is not a free choice as women have adapted preferences. </w:t>
      </w:r>
      <w:r w:rsidRPr="009A7163">
        <w:rPr>
          <w:rFonts w:eastAsiaTheme="minorHAnsi"/>
          <w:lang w:eastAsia="en-GB"/>
        </w:rPr>
        <w:t xml:space="preserve">Women through the initiative may have more choices in theory, but they have adapted preferences because of internalised norms. So, whilst women could gain more free time or leisure if the </w:t>
      </w:r>
      <w:r w:rsidR="003A2C87" w:rsidRPr="009A7163">
        <w:rPr>
          <w:rFonts w:eastAsiaTheme="minorHAnsi"/>
          <w:lang w:eastAsia="en-GB"/>
        </w:rPr>
        <w:t>UCW</w:t>
      </w:r>
      <w:r w:rsidRPr="009A7163">
        <w:rPr>
          <w:rFonts w:eastAsiaTheme="minorHAnsi"/>
          <w:lang w:eastAsia="en-GB"/>
        </w:rPr>
        <w:t xml:space="preserve"> was distributed with other family members, the women may not choose to rest, for example, because of adaptive preferences or internalised social norms about being a good mother or ‘martyr’</w:t>
      </w:r>
      <w:r w:rsidRPr="009A7163">
        <w:rPr>
          <w:lang w:eastAsia="en-GB"/>
        </w:rPr>
        <w:t xml:space="preserve">. Finally, the research highlighted the issue of depletion and the urgency to measure depletion as part of time use analysis but also depletion as a result of becoming engaged in work. </w:t>
      </w:r>
      <w:r w:rsidR="004735BC" w:rsidRPr="009A7163">
        <w:rPr>
          <w:lang w:eastAsia="en-GB"/>
        </w:rPr>
        <w:t>Thus,</w:t>
      </w:r>
      <w:r w:rsidRPr="009A7163">
        <w:rPr>
          <w:lang w:eastAsia="en-GB"/>
        </w:rPr>
        <w:t xml:space="preserve"> there is an urgent need to measure </w:t>
      </w:r>
      <w:r w:rsidRPr="009A7163">
        <w:rPr>
          <w:rFonts w:eastAsiaTheme="minorHAnsi"/>
          <w:lang w:val="en" w:eastAsia="en-GB"/>
        </w:rPr>
        <w:t>depletion in relation to empowerment.</w:t>
      </w:r>
    </w:p>
    <w:p w14:paraId="78029ECB" w14:textId="6D131C60" w:rsidR="00B807EA" w:rsidRPr="009A7163" w:rsidRDefault="004735BC" w:rsidP="00100C2B">
      <w:pPr>
        <w:spacing w:line="360" w:lineRule="auto"/>
        <w:jc w:val="both"/>
        <w:rPr>
          <w:rFonts w:eastAsiaTheme="minorHAnsi"/>
          <w:lang w:eastAsia="en-GB"/>
        </w:rPr>
      </w:pPr>
      <w:r w:rsidRPr="009A7163">
        <w:rPr>
          <w:rFonts w:eastAsiaTheme="minorHAnsi"/>
          <w:lang w:eastAsia="en-GB"/>
        </w:rPr>
        <w:t>A</w:t>
      </w:r>
      <w:r w:rsidR="00FD4ABA" w:rsidRPr="009A7163">
        <w:rPr>
          <w:rFonts w:eastAsiaTheme="minorHAnsi"/>
          <w:lang w:eastAsia="en-GB"/>
        </w:rPr>
        <w:t>s the findings of this research show, this move in the economic sphere is only one ste</w:t>
      </w:r>
      <w:r w:rsidR="006563F2" w:rsidRPr="009A7163">
        <w:rPr>
          <w:rFonts w:eastAsiaTheme="minorHAnsi"/>
          <w:lang w:eastAsia="en-GB"/>
        </w:rPr>
        <w:t xml:space="preserve">p and that the </w:t>
      </w:r>
      <w:r w:rsidR="00EC76B9" w:rsidRPr="009A7163">
        <w:rPr>
          <w:rFonts w:eastAsiaTheme="minorHAnsi"/>
          <w:lang w:eastAsia="en-GB"/>
        </w:rPr>
        <w:t>initiative</w:t>
      </w:r>
      <w:r w:rsidR="00FD4ABA" w:rsidRPr="009A7163">
        <w:rPr>
          <w:rFonts w:eastAsiaTheme="minorHAnsi"/>
          <w:lang w:eastAsia="en-GB"/>
        </w:rPr>
        <w:t xml:space="preserve"> needs to be supported by other gender policies for it to be truly transformative. The research supports a view of empowerment which sees it as involving structural changes as well as changes in the way policy is conceived and pursued. It also sees a call for a people centred economy to be part of this.</w:t>
      </w:r>
      <w:r w:rsidRPr="009A7163">
        <w:rPr>
          <w:rFonts w:eastAsiaTheme="minorHAnsi"/>
          <w:lang w:eastAsia="en-GB"/>
        </w:rPr>
        <w:t xml:space="preserve"> </w:t>
      </w:r>
      <w:r w:rsidR="00FD4ABA" w:rsidRPr="009A7163">
        <w:rPr>
          <w:rFonts w:eastAsiaTheme="minorHAnsi"/>
          <w:lang w:eastAsia="en-GB"/>
        </w:rPr>
        <w:t xml:space="preserve">Policy and interventions must at best mainstream an understanding of unpaid care and take a ‘do no harm’ approach. </w:t>
      </w:r>
      <w:r w:rsidR="001B31D5" w:rsidRPr="009A7163">
        <w:rPr>
          <w:rFonts w:eastAsiaTheme="minorHAnsi"/>
          <w:lang w:eastAsia="en-GB"/>
        </w:rPr>
        <w:t>BSI</w:t>
      </w:r>
      <w:r w:rsidR="00FD4ABA" w:rsidRPr="009A7163">
        <w:rPr>
          <w:rFonts w:eastAsiaTheme="minorHAnsi"/>
          <w:lang w:eastAsia="en-GB"/>
        </w:rPr>
        <w:t xml:space="preserve">’s innovative pricing model that pays a premium for unpaid work of women is an interesting example of a multinational company piloting a new way of doing business. It is yet to be scaled up and whilst the initiative has positives in terms of ‘recognizing’ and in some cases ‘redistributing’ </w:t>
      </w:r>
      <w:r w:rsidR="003A2C87" w:rsidRPr="009A7163">
        <w:rPr>
          <w:rFonts w:eastAsiaTheme="minorHAnsi"/>
          <w:lang w:eastAsia="en-GB"/>
        </w:rPr>
        <w:t>UCW</w:t>
      </w:r>
      <w:r w:rsidR="00FD4ABA" w:rsidRPr="009A7163">
        <w:rPr>
          <w:rFonts w:eastAsiaTheme="minorHAnsi"/>
          <w:lang w:eastAsia="en-GB"/>
        </w:rPr>
        <w:t xml:space="preserve">, women’s work has not been ‘reduced’ and in some cases has increased because the funds have been pooled into a savings and credit schemes whereby the women have to work more to access the funds – funds which have been paid to acknowledge work already done. </w:t>
      </w:r>
      <w:r w:rsidR="00172856" w:rsidRPr="009A7163">
        <w:rPr>
          <w:rFonts w:eastAsiaTheme="minorHAnsi"/>
          <w:lang w:eastAsia="en-GB"/>
        </w:rPr>
        <w:t xml:space="preserve">It is important to </w:t>
      </w:r>
      <w:r w:rsidR="00B807EA" w:rsidRPr="009A7163">
        <w:rPr>
          <w:rFonts w:eastAsiaTheme="minorHAnsi"/>
          <w:lang w:eastAsia="en-GB"/>
        </w:rPr>
        <w:t>acknowledge that whilst i</w:t>
      </w:r>
      <w:r w:rsidR="00FD4ABA" w:rsidRPr="009A7163">
        <w:rPr>
          <w:rFonts w:eastAsiaTheme="minorHAnsi"/>
          <w:lang w:eastAsia="en-GB"/>
        </w:rPr>
        <w:t xml:space="preserve">nterventions such as this one by </w:t>
      </w:r>
      <w:r w:rsidR="001B31D5" w:rsidRPr="009A7163">
        <w:rPr>
          <w:rFonts w:eastAsiaTheme="minorHAnsi"/>
          <w:lang w:eastAsia="en-GB"/>
        </w:rPr>
        <w:t>BSI</w:t>
      </w:r>
      <w:r w:rsidR="00FD4ABA" w:rsidRPr="009A7163">
        <w:rPr>
          <w:rFonts w:eastAsiaTheme="minorHAnsi"/>
          <w:lang w:eastAsia="en-GB"/>
        </w:rPr>
        <w:t xml:space="preserve"> </w:t>
      </w:r>
      <w:r w:rsidR="00B807EA" w:rsidRPr="009A7163">
        <w:rPr>
          <w:rFonts w:eastAsiaTheme="minorHAnsi"/>
          <w:lang w:eastAsia="en-GB"/>
        </w:rPr>
        <w:t xml:space="preserve">aims to value one of the many components that go into producing the raw materials, the companies are not solely responsible for targeting </w:t>
      </w:r>
      <w:r w:rsidR="00FD4ABA" w:rsidRPr="009A7163">
        <w:rPr>
          <w:rFonts w:eastAsiaTheme="minorHAnsi"/>
          <w:lang w:eastAsia="en-GB"/>
        </w:rPr>
        <w:t xml:space="preserve">underlying constraints linked to </w:t>
      </w:r>
      <w:r w:rsidR="003A2C87" w:rsidRPr="009A7163">
        <w:rPr>
          <w:rFonts w:eastAsiaTheme="minorHAnsi"/>
          <w:lang w:eastAsia="en-GB"/>
        </w:rPr>
        <w:t>UCW</w:t>
      </w:r>
      <w:r w:rsidR="00FD4ABA" w:rsidRPr="009A7163">
        <w:rPr>
          <w:rFonts w:eastAsiaTheme="minorHAnsi"/>
          <w:lang w:eastAsia="en-GB"/>
        </w:rPr>
        <w:t xml:space="preserve"> that affect women’s time, mobility and agency </w:t>
      </w:r>
      <w:r w:rsidR="00DE7E71" w:rsidRPr="009A7163">
        <w:rPr>
          <w:rFonts w:eastAsiaTheme="minorHAnsi"/>
          <w:lang w:eastAsia="en-GB"/>
        </w:rPr>
        <w:t>or</w:t>
      </w:r>
      <w:r w:rsidR="00FD4ABA" w:rsidRPr="009A7163">
        <w:rPr>
          <w:rFonts w:eastAsiaTheme="minorHAnsi"/>
          <w:lang w:eastAsia="en-GB"/>
        </w:rPr>
        <w:t xml:space="preserve"> cultural stereotypes and roles. </w:t>
      </w:r>
      <w:r w:rsidR="00B807EA" w:rsidRPr="009A7163">
        <w:rPr>
          <w:rFonts w:eastAsiaTheme="minorHAnsi"/>
          <w:lang w:eastAsia="en-GB"/>
        </w:rPr>
        <w:t xml:space="preserve">There are many stakeholders and actors involved in the sesame growing communities with CJFPS and not only the end client or buyer, the producer organization or household. There are </w:t>
      </w:r>
      <w:r w:rsidR="00B807EA" w:rsidRPr="009A7163">
        <w:rPr>
          <w:rFonts w:eastAsiaTheme="minorHAnsi"/>
          <w:lang w:eastAsia="en-GB"/>
        </w:rPr>
        <w:lastRenderedPageBreak/>
        <w:t xml:space="preserve">numerous actors with direct responsibility to impact of women’s rights and start the change needed. </w:t>
      </w:r>
    </w:p>
    <w:p w14:paraId="2B732290" w14:textId="28CC1F27" w:rsidR="006563F2" w:rsidRPr="009A7163" w:rsidRDefault="00B807EA" w:rsidP="00100C2B">
      <w:pPr>
        <w:spacing w:after="240" w:line="360" w:lineRule="auto"/>
        <w:jc w:val="both"/>
        <w:rPr>
          <w:rFonts w:eastAsiaTheme="minorHAnsi"/>
          <w:lang w:eastAsia="en-GB"/>
        </w:rPr>
      </w:pPr>
      <w:r w:rsidRPr="009A7163">
        <w:rPr>
          <w:rFonts w:eastAsiaTheme="minorHAnsi"/>
          <w:lang w:eastAsia="en-GB"/>
        </w:rPr>
        <w:t>However, w</w:t>
      </w:r>
      <w:r w:rsidR="00FD4ABA" w:rsidRPr="009A7163">
        <w:rPr>
          <w:rFonts w:eastAsiaTheme="minorHAnsi"/>
          <w:lang w:eastAsia="en-GB"/>
        </w:rPr>
        <w:t>hi</w:t>
      </w:r>
      <w:r w:rsidRPr="009A7163">
        <w:rPr>
          <w:rFonts w:eastAsiaTheme="minorHAnsi"/>
          <w:lang w:eastAsia="en-GB"/>
        </w:rPr>
        <w:t>l</w:t>
      </w:r>
      <w:r w:rsidR="00FD4ABA" w:rsidRPr="009A7163">
        <w:rPr>
          <w:rFonts w:eastAsiaTheme="minorHAnsi"/>
          <w:lang w:eastAsia="en-GB"/>
        </w:rPr>
        <w:t>st for a company it may seem more natural to look at pricing and what makes sense commercially, this can never be done in a neutral way, as the research shows. No space is neutral and supply chains are bearers of gender. Therefore, pricing and payment will always been bound up in the household, family and community. Empowerment is tied up in this too and so the interplay of power and the structural constrains must be taken into consideration by buyers, practitioners, policy makers and scholars.</w:t>
      </w:r>
    </w:p>
    <w:p w14:paraId="4E02F8F4" w14:textId="5E7BD7D5" w:rsidR="003445D7" w:rsidRPr="009A7163" w:rsidRDefault="00DE7E71" w:rsidP="00DB7E8B">
      <w:pPr>
        <w:pStyle w:val="Heading2"/>
        <w:rPr>
          <w:rFonts w:eastAsiaTheme="minorHAnsi"/>
          <w:lang w:eastAsia="en-GB"/>
        </w:rPr>
      </w:pPr>
      <w:bookmarkStart w:id="180" w:name="_Toc526819378"/>
      <w:r w:rsidRPr="009A7163">
        <w:rPr>
          <w:rFonts w:eastAsiaTheme="minorHAnsi"/>
          <w:lang w:eastAsia="en-GB"/>
        </w:rPr>
        <w:t xml:space="preserve">9.8  </w:t>
      </w:r>
      <w:r w:rsidR="003445D7" w:rsidRPr="009A7163">
        <w:rPr>
          <w:rFonts w:eastAsiaTheme="minorHAnsi"/>
          <w:lang w:eastAsia="en-GB"/>
        </w:rPr>
        <w:t>Contributions of My Study</w:t>
      </w:r>
      <w:bookmarkEnd w:id="180"/>
    </w:p>
    <w:p w14:paraId="0DC9F2A4" w14:textId="5013FA5E" w:rsidR="003445D7" w:rsidRPr="009A7163" w:rsidRDefault="003445D7" w:rsidP="007A3A29">
      <w:pPr>
        <w:spacing w:line="360" w:lineRule="auto"/>
        <w:ind w:firstLine="720"/>
        <w:jc w:val="both"/>
        <w:rPr>
          <w:rFonts w:eastAsiaTheme="minorHAnsi"/>
          <w:lang w:eastAsia="en-GB"/>
        </w:rPr>
      </w:pPr>
      <w:r w:rsidRPr="009A7163">
        <w:rPr>
          <w:rFonts w:eastAsiaTheme="minorHAnsi"/>
          <w:lang w:eastAsia="en-GB"/>
        </w:rPr>
        <w:t>Overall my research explores a gap in the literature on the potential of FT pricing models that include unpaid labour to impact on gender equity and women’s empowerment.</w:t>
      </w:r>
      <w:r w:rsidR="00294A35" w:rsidRPr="009A7163">
        <w:rPr>
          <w:rFonts w:eastAsiaTheme="minorHAnsi"/>
          <w:lang w:eastAsia="en-GB"/>
        </w:rPr>
        <w:t xml:space="preserve"> </w:t>
      </w:r>
      <w:r w:rsidRPr="009A7163">
        <w:rPr>
          <w:rFonts w:eastAsiaTheme="minorHAnsi"/>
          <w:lang w:eastAsia="en-GB"/>
        </w:rPr>
        <w:t>The empirical contribution that my study makes is that I have provided new data on women’s time use, the family distribution of labour, and hitherto unmapped labour time in two FT supply chains in Nicaragua.</w:t>
      </w:r>
      <w:r w:rsidR="00294A35" w:rsidRPr="009A7163">
        <w:rPr>
          <w:rFonts w:eastAsiaTheme="minorHAnsi"/>
          <w:lang w:eastAsia="en-GB"/>
        </w:rPr>
        <w:t xml:space="preserve"> The original contribution of my thesis </w:t>
      </w:r>
      <w:r w:rsidR="0064655A" w:rsidRPr="009A7163">
        <w:rPr>
          <w:rFonts w:eastAsiaTheme="minorHAnsi"/>
          <w:lang w:eastAsia="en-GB"/>
        </w:rPr>
        <w:t>is</w:t>
      </w:r>
      <w:r w:rsidR="00294A35" w:rsidRPr="009A7163">
        <w:rPr>
          <w:rFonts w:eastAsiaTheme="minorHAnsi"/>
          <w:lang w:eastAsia="en-GB"/>
        </w:rPr>
        <w:t xml:space="preserve"> the </w:t>
      </w:r>
      <w:r w:rsidR="002507C1" w:rsidRPr="009A7163">
        <w:rPr>
          <w:rFonts w:eastAsiaTheme="minorHAnsi"/>
          <w:lang w:eastAsia="en-GB"/>
        </w:rPr>
        <w:t>mapping of depletion, emotion and social norms</w:t>
      </w:r>
      <w:r w:rsidR="00C06345" w:rsidRPr="009A7163">
        <w:rPr>
          <w:rFonts w:eastAsiaTheme="minorHAnsi"/>
          <w:lang w:eastAsia="en-GB"/>
        </w:rPr>
        <w:t xml:space="preserve"> on the body of the </w:t>
      </w:r>
      <w:r w:rsidR="002507C1" w:rsidRPr="009A7163">
        <w:rPr>
          <w:rFonts w:eastAsiaTheme="minorHAnsi"/>
          <w:lang w:eastAsia="en-GB"/>
        </w:rPr>
        <w:t>women</w:t>
      </w:r>
      <w:r w:rsidR="00C06345" w:rsidRPr="009A7163">
        <w:rPr>
          <w:rFonts w:eastAsiaTheme="minorHAnsi"/>
          <w:lang w:eastAsia="en-GB"/>
        </w:rPr>
        <w:t xml:space="preserve"> and men</w:t>
      </w:r>
      <w:r w:rsidR="002507C1" w:rsidRPr="009A7163">
        <w:rPr>
          <w:rFonts w:eastAsiaTheme="minorHAnsi"/>
          <w:lang w:eastAsia="en-GB"/>
        </w:rPr>
        <w:t xml:space="preserve"> in these two supply chains.</w:t>
      </w:r>
      <w:r w:rsidR="00860524" w:rsidRPr="009A7163">
        <w:rPr>
          <w:rFonts w:eastAsiaTheme="minorHAnsi"/>
          <w:lang w:eastAsia="en-GB"/>
        </w:rPr>
        <w:t xml:space="preserve"> </w:t>
      </w:r>
      <w:r w:rsidRPr="009A7163">
        <w:rPr>
          <w:rFonts w:eastAsiaTheme="minorHAnsi"/>
          <w:lang w:eastAsia="en-GB"/>
        </w:rPr>
        <w:t xml:space="preserve">My main methodological contribution is that my work adds to the literature on TUS methodology by highlighting certain limitations and gaps. Building on from this, it contributes a time use visualisation instrument </w:t>
      </w:r>
      <w:r w:rsidR="000A1D06" w:rsidRPr="009A7163">
        <w:rPr>
          <w:rFonts w:eastAsiaTheme="minorHAnsi"/>
          <w:lang w:eastAsia="en-GB"/>
        </w:rPr>
        <w:t>(</w:t>
      </w:r>
      <w:r w:rsidRPr="009A7163">
        <w:rPr>
          <w:rFonts w:eastAsiaTheme="minorHAnsi"/>
          <w:lang w:eastAsia="en-GB"/>
        </w:rPr>
        <w:t>TUVI</w:t>
      </w:r>
      <w:r w:rsidR="000A1D06" w:rsidRPr="009A7163">
        <w:rPr>
          <w:rFonts w:eastAsiaTheme="minorHAnsi"/>
          <w:lang w:eastAsia="en-GB"/>
        </w:rPr>
        <w:t>)</w:t>
      </w:r>
      <w:r w:rsidRPr="009A7163">
        <w:rPr>
          <w:rFonts w:eastAsiaTheme="minorHAnsi"/>
          <w:lang w:eastAsia="en-GB"/>
        </w:rPr>
        <w:t>. It also offers methodological insights on using TUS and TUVI in rural areas.</w:t>
      </w:r>
      <w:r w:rsidR="00860524" w:rsidRPr="009A7163">
        <w:rPr>
          <w:rFonts w:eastAsiaTheme="minorHAnsi"/>
          <w:lang w:eastAsia="en-GB"/>
        </w:rPr>
        <w:t xml:space="preserve"> </w:t>
      </w:r>
      <w:r w:rsidRPr="009A7163">
        <w:rPr>
          <w:rFonts w:eastAsiaTheme="minorHAnsi"/>
          <w:lang w:eastAsia="en-GB"/>
        </w:rPr>
        <w:t xml:space="preserve">In terms of the theoretical </w:t>
      </w:r>
      <w:r w:rsidR="00860524" w:rsidRPr="009A7163">
        <w:rPr>
          <w:rFonts w:eastAsiaTheme="minorHAnsi"/>
          <w:lang w:eastAsia="en-GB"/>
        </w:rPr>
        <w:t xml:space="preserve">contribution, </w:t>
      </w:r>
      <w:r w:rsidRPr="009A7163">
        <w:rPr>
          <w:rFonts w:eastAsiaTheme="minorHAnsi"/>
          <w:lang w:eastAsia="en-GB"/>
        </w:rPr>
        <w:t>I have theorised the role of social norms on unpaid work (and division of labour) and contributed to current discourse and literature on this relationship. </w:t>
      </w:r>
    </w:p>
    <w:p w14:paraId="4D728297" w14:textId="76247808" w:rsidR="003445D7" w:rsidRPr="009A7163" w:rsidRDefault="003445D7" w:rsidP="000A1D06">
      <w:pPr>
        <w:spacing w:after="240" w:line="360" w:lineRule="auto"/>
        <w:ind w:firstLine="720"/>
        <w:jc w:val="both"/>
        <w:rPr>
          <w:rFonts w:eastAsiaTheme="minorHAnsi"/>
          <w:lang w:eastAsia="en-GB"/>
        </w:rPr>
      </w:pPr>
      <w:r w:rsidRPr="009A7163">
        <w:rPr>
          <w:rFonts w:eastAsiaTheme="minorHAnsi"/>
          <w:lang w:eastAsia="en-GB"/>
        </w:rPr>
        <w:t xml:space="preserve">Finally, the study’s contribution to policy is that my research </w:t>
      </w:r>
      <w:r w:rsidR="00860524" w:rsidRPr="009A7163">
        <w:rPr>
          <w:rFonts w:eastAsiaTheme="minorHAnsi"/>
          <w:lang w:eastAsia="en-GB"/>
        </w:rPr>
        <w:t xml:space="preserve">on the pricing model and its ability to empower and in particular the focus on economic empowerment without considering non-market constrains such as unpaid work </w:t>
      </w:r>
      <w:r w:rsidRPr="009A7163">
        <w:rPr>
          <w:rFonts w:eastAsiaTheme="minorHAnsi"/>
          <w:lang w:eastAsia="en-GB"/>
        </w:rPr>
        <w:t>offers insights for organi</w:t>
      </w:r>
      <w:r w:rsidR="000A1D06" w:rsidRPr="009A7163">
        <w:rPr>
          <w:rFonts w:eastAsiaTheme="minorHAnsi"/>
          <w:lang w:eastAsia="en-GB"/>
        </w:rPr>
        <w:t>s</w:t>
      </w:r>
      <w:r w:rsidRPr="009A7163">
        <w:rPr>
          <w:rFonts w:eastAsiaTheme="minorHAnsi"/>
          <w:lang w:eastAsia="en-GB"/>
        </w:rPr>
        <w:t>ations and businesses</w:t>
      </w:r>
      <w:r w:rsidR="00860524" w:rsidRPr="009A7163">
        <w:rPr>
          <w:rFonts w:eastAsiaTheme="minorHAnsi"/>
          <w:lang w:eastAsia="en-GB"/>
        </w:rPr>
        <w:t xml:space="preserve"> for business that may want to adopt and/or adapt the</w:t>
      </w:r>
      <w:r w:rsidR="00250728" w:rsidRPr="009A7163">
        <w:rPr>
          <w:rFonts w:eastAsiaTheme="minorHAnsi"/>
          <w:lang w:eastAsia="en-GB"/>
        </w:rPr>
        <w:t xml:space="preserve"> </w:t>
      </w:r>
      <w:r w:rsidR="00860524" w:rsidRPr="009A7163">
        <w:rPr>
          <w:rFonts w:eastAsiaTheme="minorHAnsi"/>
          <w:lang w:eastAsia="en-GB"/>
        </w:rPr>
        <w:t xml:space="preserve"> pricing model</w:t>
      </w:r>
      <w:r w:rsidR="000A1D06" w:rsidRPr="009A7163">
        <w:rPr>
          <w:rFonts w:eastAsiaTheme="minorHAnsi"/>
          <w:lang w:eastAsia="en-GB"/>
        </w:rPr>
        <w:t>.</w:t>
      </w:r>
      <w:r w:rsidR="00860524" w:rsidRPr="009A7163">
        <w:rPr>
          <w:rFonts w:eastAsiaTheme="minorHAnsi"/>
          <w:lang w:eastAsia="en-GB"/>
        </w:rPr>
        <w:t xml:space="preserve"> </w:t>
      </w:r>
      <w:r w:rsidRPr="009A7163">
        <w:rPr>
          <w:rFonts w:eastAsiaTheme="minorHAnsi"/>
          <w:lang w:eastAsia="en-GB"/>
        </w:rPr>
        <w:t>This echoes Kabeer’s theory of change WEE vs women’s empowerment argument (2017)</w:t>
      </w:r>
      <w:r w:rsidR="00860524" w:rsidRPr="009A7163">
        <w:rPr>
          <w:rFonts w:eastAsiaTheme="minorHAnsi"/>
          <w:lang w:eastAsia="en-GB"/>
        </w:rPr>
        <w:t>. My research</w:t>
      </w:r>
      <w:r w:rsidRPr="009A7163">
        <w:rPr>
          <w:rFonts w:eastAsiaTheme="minorHAnsi"/>
          <w:lang w:eastAsia="en-GB"/>
        </w:rPr>
        <w:t xml:space="preserve"> questions the links between </w:t>
      </w:r>
      <w:r w:rsidR="003A2C87" w:rsidRPr="009A7163">
        <w:rPr>
          <w:rFonts w:eastAsiaTheme="minorHAnsi"/>
          <w:lang w:eastAsia="en-GB"/>
        </w:rPr>
        <w:t>UCW</w:t>
      </w:r>
      <w:r w:rsidRPr="009A7163">
        <w:rPr>
          <w:rFonts w:eastAsiaTheme="minorHAnsi"/>
          <w:lang w:eastAsia="en-GB"/>
        </w:rPr>
        <w:t xml:space="preserve"> with the vision of empowering women through economic empowerment without taking into account more holistic and political forms of empowerment. The study also highlights how WEE policy and practice could better integrate considerations of unpaid work so that the gains to WEE could be optimised. Lastly, it highlights an area of poverty which is not </w:t>
      </w:r>
      <w:r w:rsidRPr="009A7163">
        <w:rPr>
          <w:rFonts w:eastAsiaTheme="minorHAnsi"/>
          <w:lang w:eastAsia="en-GB"/>
        </w:rPr>
        <w:lastRenderedPageBreak/>
        <w:t xml:space="preserve">often considered in programmes and reporting </w:t>
      </w:r>
      <w:r w:rsidR="000A1D06" w:rsidRPr="009A7163">
        <w:rPr>
          <w:rFonts w:eastAsiaTheme="minorHAnsi"/>
          <w:lang w:eastAsia="en-GB"/>
        </w:rPr>
        <w:t>–</w:t>
      </w:r>
      <w:r w:rsidRPr="009A7163">
        <w:rPr>
          <w:rFonts w:eastAsiaTheme="minorHAnsi"/>
          <w:lang w:eastAsia="en-GB"/>
        </w:rPr>
        <w:t xml:space="preserve"> time poverty and well-being. As part of this</w:t>
      </w:r>
      <w:r w:rsidR="00860524" w:rsidRPr="009A7163">
        <w:rPr>
          <w:rFonts w:eastAsiaTheme="minorHAnsi"/>
          <w:lang w:eastAsia="en-GB"/>
        </w:rPr>
        <w:t>,</w:t>
      </w:r>
      <w:r w:rsidRPr="009A7163">
        <w:rPr>
          <w:rFonts w:eastAsiaTheme="minorHAnsi"/>
          <w:lang w:eastAsia="en-GB"/>
        </w:rPr>
        <w:t xml:space="preserve"> the study also warns of how empowering women is not just about </w:t>
      </w:r>
      <w:r w:rsidR="00860524" w:rsidRPr="009A7163">
        <w:rPr>
          <w:rFonts w:eastAsiaTheme="minorHAnsi"/>
          <w:lang w:eastAsia="en-GB"/>
        </w:rPr>
        <w:t xml:space="preserve">economically empowering women </w:t>
      </w:r>
      <w:r w:rsidRPr="009A7163">
        <w:rPr>
          <w:rFonts w:eastAsiaTheme="minorHAnsi"/>
          <w:lang w:eastAsia="en-GB"/>
        </w:rPr>
        <w:t xml:space="preserve">but instead </w:t>
      </w:r>
      <w:r w:rsidR="00860524" w:rsidRPr="009A7163">
        <w:rPr>
          <w:rFonts w:eastAsiaTheme="minorHAnsi"/>
          <w:lang w:eastAsia="en-GB"/>
        </w:rPr>
        <w:t xml:space="preserve">it </w:t>
      </w:r>
      <w:r w:rsidRPr="009A7163">
        <w:rPr>
          <w:rFonts w:eastAsiaTheme="minorHAnsi"/>
          <w:lang w:val="en-US" w:eastAsia="en-GB"/>
        </w:rPr>
        <w:t>must</w:t>
      </w:r>
      <w:r w:rsidR="00860524" w:rsidRPr="009A7163">
        <w:rPr>
          <w:rFonts w:eastAsiaTheme="minorHAnsi"/>
          <w:lang w:val="en-US" w:eastAsia="en-GB"/>
        </w:rPr>
        <w:t xml:space="preserve"> be about</w:t>
      </w:r>
      <w:r w:rsidRPr="009A7163">
        <w:rPr>
          <w:rFonts w:eastAsiaTheme="minorHAnsi"/>
          <w:lang w:val="en-US" w:eastAsia="en-GB"/>
        </w:rPr>
        <w:t xml:space="preserve"> </w:t>
      </w:r>
      <w:r w:rsidR="000A1D06" w:rsidRPr="009A7163">
        <w:rPr>
          <w:rFonts w:eastAsiaTheme="minorHAnsi"/>
          <w:lang w:val="en-US" w:eastAsia="en-GB"/>
        </w:rPr>
        <w:t>‘</w:t>
      </w:r>
      <w:r w:rsidRPr="009A7163">
        <w:rPr>
          <w:rFonts w:eastAsiaTheme="minorHAnsi"/>
          <w:lang w:val="en-US" w:eastAsia="en-GB"/>
        </w:rPr>
        <w:t>the processes by which those who have been denied the ability to make choices acquire such an ability</w:t>
      </w:r>
      <w:r w:rsidR="000A1D06" w:rsidRPr="009A7163">
        <w:rPr>
          <w:rFonts w:eastAsiaTheme="minorHAnsi"/>
          <w:lang w:val="en-US" w:eastAsia="en-GB"/>
        </w:rPr>
        <w:t>’</w:t>
      </w:r>
      <w:r w:rsidRPr="009A7163">
        <w:rPr>
          <w:rFonts w:eastAsiaTheme="minorHAnsi"/>
          <w:lang w:val="en-US" w:eastAsia="en-GB"/>
        </w:rPr>
        <w:t xml:space="preserve"> (Kabeer, 1999</w:t>
      </w:r>
      <w:r w:rsidR="000B2D64" w:rsidRPr="009A7163">
        <w:rPr>
          <w:rFonts w:eastAsiaTheme="minorHAnsi"/>
          <w:lang w:val="en-US" w:eastAsia="en-GB"/>
        </w:rPr>
        <w:t>, p.</w:t>
      </w:r>
      <w:r w:rsidR="00250728" w:rsidRPr="009A7163">
        <w:rPr>
          <w:rFonts w:eastAsiaTheme="minorHAnsi"/>
          <w:lang w:val="en-US" w:eastAsia="en-GB"/>
        </w:rPr>
        <w:t xml:space="preserve"> </w:t>
      </w:r>
      <w:r w:rsidR="000B2D64" w:rsidRPr="009A7163">
        <w:rPr>
          <w:rFonts w:eastAsiaTheme="minorHAnsi"/>
          <w:lang w:val="en-US" w:eastAsia="en-GB"/>
        </w:rPr>
        <w:t>435</w:t>
      </w:r>
      <w:r w:rsidRPr="009A7163">
        <w:rPr>
          <w:rFonts w:eastAsiaTheme="minorHAnsi"/>
          <w:lang w:val="en-US" w:eastAsia="en-GB"/>
        </w:rPr>
        <w:t>)</w:t>
      </w:r>
      <w:r w:rsidR="00860524" w:rsidRPr="009A7163">
        <w:rPr>
          <w:rFonts w:eastAsiaTheme="minorHAnsi"/>
          <w:lang w:val="en-US" w:eastAsia="en-GB"/>
        </w:rPr>
        <w:t xml:space="preserve">. And further, that the decisions that are available to </w:t>
      </w:r>
      <w:r w:rsidR="006563F2" w:rsidRPr="009A7163">
        <w:rPr>
          <w:rFonts w:eastAsiaTheme="minorHAnsi"/>
          <w:lang w:val="en-US" w:eastAsia="en-GB"/>
        </w:rPr>
        <w:t>women do</w:t>
      </w:r>
      <w:r w:rsidR="00860524" w:rsidRPr="009A7163">
        <w:rPr>
          <w:rFonts w:eastAsiaTheme="minorHAnsi"/>
          <w:lang w:val="en-US" w:eastAsia="en-GB"/>
        </w:rPr>
        <w:t xml:space="preserve"> no lead to more physical or emotional exhaustion but rather lead them to what Chopra and Zambrelli (2017) call the ‘double boon’ – a condition in which (a) women have access to decent, empowering work, and (b) unpaid care and ancillary work is redistributed such that women undertake no more than their fair share of the labour of reproducing their society (p.</w:t>
      </w:r>
      <w:r w:rsidR="000A1D06" w:rsidRPr="009A7163">
        <w:rPr>
          <w:rFonts w:eastAsiaTheme="minorHAnsi"/>
          <w:lang w:val="en-US" w:eastAsia="en-GB"/>
        </w:rPr>
        <w:t xml:space="preserve"> </w:t>
      </w:r>
      <w:r w:rsidR="00860524" w:rsidRPr="009A7163">
        <w:rPr>
          <w:rFonts w:eastAsiaTheme="minorHAnsi"/>
          <w:lang w:val="en-US" w:eastAsia="en-GB"/>
        </w:rPr>
        <w:t>3)</w:t>
      </w:r>
      <w:r w:rsidR="000A1D06" w:rsidRPr="009A7163">
        <w:rPr>
          <w:rFonts w:eastAsiaTheme="minorHAnsi"/>
          <w:lang w:val="en-US" w:eastAsia="en-GB"/>
        </w:rPr>
        <w:t>.</w:t>
      </w:r>
    </w:p>
    <w:p w14:paraId="7E6E71AF" w14:textId="701DB8F9" w:rsidR="00FD4ABA" w:rsidRPr="009A7163" w:rsidRDefault="008C041F" w:rsidP="00293176">
      <w:pPr>
        <w:pStyle w:val="Heading2"/>
        <w:rPr>
          <w:rFonts w:eastAsiaTheme="minorHAnsi"/>
          <w:lang w:eastAsia="en-GB"/>
        </w:rPr>
      </w:pPr>
      <w:bookmarkStart w:id="181" w:name="_Toc526819379"/>
      <w:r w:rsidRPr="009A7163">
        <w:rPr>
          <w:rFonts w:eastAsiaTheme="minorHAnsi"/>
          <w:lang w:eastAsia="en-GB"/>
        </w:rPr>
        <w:t>9.</w:t>
      </w:r>
      <w:r w:rsidR="000A1D06" w:rsidRPr="009A7163">
        <w:rPr>
          <w:rFonts w:eastAsiaTheme="minorHAnsi"/>
          <w:lang w:eastAsia="en-GB"/>
        </w:rPr>
        <w:t>9</w:t>
      </w:r>
      <w:r w:rsidRPr="009A7163">
        <w:rPr>
          <w:rFonts w:eastAsiaTheme="minorHAnsi"/>
          <w:lang w:eastAsia="en-GB"/>
        </w:rPr>
        <w:t xml:space="preserve">  </w:t>
      </w:r>
      <w:r w:rsidR="00FD4ABA" w:rsidRPr="009A7163">
        <w:rPr>
          <w:rFonts w:eastAsiaTheme="minorHAnsi"/>
          <w:lang w:eastAsia="en-GB"/>
        </w:rPr>
        <w:t>Final Reflection</w:t>
      </w:r>
      <w:bookmarkEnd w:id="181"/>
    </w:p>
    <w:p w14:paraId="648E3E9C" w14:textId="3F4E2237" w:rsidR="00084AD3" w:rsidRPr="009A7163" w:rsidRDefault="00084AD3" w:rsidP="007A3A29">
      <w:pPr>
        <w:spacing w:line="360" w:lineRule="auto"/>
        <w:ind w:firstLine="720"/>
        <w:jc w:val="both"/>
        <w:rPr>
          <w:rFonts w:eastAsiaTheme="minorHAnsi"/>
          <w:lang w:eastAsia="en-GB"/>
        </w:rPr>
      </w:pPr>
      <w:r w:rsidRPr="009A7163">
        <w:rPr>
          <w:rFonts w:eastAsiaTheme="minorHAnsi"/>
          <w:lang w:eastAsia="en-GB"/>
        </w:rPr>
        <w:t>In concluding this thesis, I have chosen to start with Anita Rodrick’s powerful call for businesses to take moral leadership and to prioritise public good over private greed and with this reflect on this pioneering initiative by the BSI to address the unpaid and unrecognised work of women. Women’s work remains unpaid, unrecognised, and invisible despite decades of feminist campaigning and even in the context of a fair price it has until recently not been accounted for. Eyben (2012) names this ‘the persistent neglect of Unpaid Care’ (p. 7). BSI however has been the first company to recognise the unpaid work of women through a pricing model and acknowledge that women are the ‘most responsible and those with the most at stake’ (Sen,</w:t>
      </w:r>
      <w:r w:rsidR="000A1D06" w:rsidRPr="009A7163">
        <w:rPr>
          <w:rFonts w:eastAsiaTheme="minorHAnsi"/>
          <w:lang w:eastAsia="en-GB"/>
        </w:rPr>
        <w:t xml:space="preserve"> </w:t>
      </w:r>
      <w:r w:rsidRPr="009A7163">
        <w:rPr>
          <w:rFonts w:eastAsiaTheme="minorHAnsi"/>
          <w:lang w:eastAsia="en-GB"/>
        </w:rPr>
        <w:t>1995, p. 12) when they stand at the ‘crossroads of production and reproduction’</w:t>
      </w:r>
      <w:r w:rsidR="000A1D06" w:rsidRPr="009A7163">
        <w:rPr>
          <w:rFonts w:eastAsiaTheme="minorHAnsi"/>
          <w:lang w:eastAsia="en-GB"/>
        </w:rPr>
        <w:t>,</w:t>
      </w:r>
      <w:r w:rsidRPr="009A7163">
        <w:rPr>
          <w:rFonts w:eastAsiaTheme="minorHAnsi"/>
          <w:lang w:eastAsia="en-GB"/>
        </w:rPr>
        <w:t xml:space="preserve"> as I highlighted in the introduction to this thesis. And whilst the results have shown that church and politics still hold a powerful grip over discourses of identity and social norms in Nicaragua, the</w:t>
      </w:r>
      <w:r w:rsidR="002D4C78" w:rsidRPr="009A7163">
        <w:rPr>
          <w:rFonts w:eastAsiaTheme="minorHAnsi"/>
          <w:lang w:eastAsia="en-GB"/>
        </w:rPr>
        <w:t xml:space="preserve"> pricing</w:t>
      </w:r>
      <w:r w:rsidRPr="009A7163">
        <w:rPr>
          <w:rFonts w:eastAsiaTheme="minorHAnsi"/>
          <w:lang w:eastAsia="en-GB"/>
        </w:rPr>
        <w:t xml:space="preserve"> initiative has opened pathways of change for the women and men by creating more self-awareness and critical consciousness of a better need to integrate the two; as well as drawing attention to this inequality at the community, cooperative and policy level. It has helped drive a new wave of policy debate and scholarly interest on unpaid work forward, in particular in relation to supply chains and gender equity.</w:t>
      </w:r>
    </w:p>
    <w:p w14:paraId="676BB8F8" w14:textId="55A98BD6" w:rsidR="00FD4ABA" w:rsidRPr="009A7163" w:rsidRDefault="00FD4ABA" w:rsidP="00293176">
      <w:pPr>
        <w:spacing w:after="240" w:line="360" w:lineRule="auto"/>
        <w:ind w:firstLine="720"/>
        <w:jc w:val="both"/>
        <w:rPr>
          <w:rFonts w:eastAsiaTheme="minorHAnsi"/>
          <w:lang w:eastAsia="en-GB"/>
        </w:rPr>
      </w:pPr>
      <w:r w:rsidRPr="009A7163">
        <w:rPr>
          <w:rFonts w:eastAsiaTheme="minorHAnsi"/>
          <w:lang w:eastAsia="en-GB"/>
        </w:rPr>
        <w:t xml:space="preserve">One unexpected finding was the discussion, reflection and learning has been a key part of the initiative and this was in part due to the longitudinal research and the funding that was made available by BSI in the first place. The repeated visits for TUS, community meetings, focus groups and interviews has led to people viewing their roles and responsibilities differently, and this had an influence of the same magnitude as the </w:t>
      </w:r>
      <w:r w:rsidRPr="009A7163">
        <w:rPr>
          <w:rFonts w:eastAsiaTheme="minorHAnsi"/>
          <w:lang w:eastAsia="en-GB"/>
        </w:rPr>
        <w:lastRenderedPageBreak/>
        <w:t>payment to the fund. The emphasis on learning and research, therefore, can be viewed as a lever for change. Asking the right kind of questions can contribute to change at a deeper level. Prioritising learning, collaboration and alliance-building is key and investing in research as part of process is beneficial. The pilot pricing scheme initiative by BSI has put care on the agenda locally and internationally. By naming and framing it has demonstrated that it has the potential to influence a paradigm shift.</w:t>
      </w:r>
    </w:p>
    <w:p w14:paraId="2AA3DDBC" w14:textId="35DA70E1" w:rsidR="00FD4ABA" w:rsidRPr="009A7163" w:rsidRDefault="008C041F" w:rsidP="00293176">
      <w:pPr>
        <w:pStyle w:val="Heading2"/>
        <w:rPr>
          <w:rFonts w:eastAsiaTheme="minorHAnsi"/>
          <w:lang w:eastAsia="en-GB"/>
        </w:rPr>
      </w:pPr>
      <w:bookmarkStart w:id="182" w:name="_Toc526819380"/>
      <w:r w:rsidRPr="009A7163">
        <w:rPr>
          <w:rFonts w:eastAsiaTheme="minorHAnsi"/>
          <w:lang w:eastAsia="en-GB"/>
        </w:rPr>
        <w:t>9.</w:t>
      </w:r>
      <w:r w:rsidR="000A1D06" w:rsidRPr="009A7163">
        <w:rPr>
          <w:rFonts w:eastAsiaTheme="minorHAnsi"/>
          <w:lang w:eastAsia="en-GB"/>
        </w:rPr>
        <w:t>10</w:t>
      </w:r>
      <w:r w:rsidRPr="009A7163">
        <w:rPr>
          <w:rFonts w:eastAsiaTheme="minorHAnsi"/>
          <w:lang w:eastAsia="en-GB"/>
        </w:rPr>
        <w:t xml:space="preserve">  </w:t>
      </w:r>
      <w:r w:rsidR="00FD4ABA" w:rsidRPr="009A7163">
        <w:rPr>
          <w:rFonts w:eastAsiaTheme="minorHAnsi"/>
          <w:lang w:eastAsia="en-GB"/>
        </w:rPr>
        <w:t xml:space="preserve">Future </w:t>
      </w:r>
      <w:r w:rsidRPr="009A7163">
        <w:rPr>
          <w:rFonts w:eastAsiaTheme="minorHAnsi"/>
          <w:lang w:eastAsia="en-GB"/>
        </w:rPr>
        <w:t>D</w:t>
      </w:r>
      <w:r w:rsidR="00FD4ABA" w:rsidRPr="009A7163">
        <w:rPr>
          <w:rFonts w:eastAsiaTheme="minorHAnsi"/>
          <w:lang w:eastAsia="en-GB"/>
        </w:rPr>
        <w:t>irections</w:t>
      </w:r>
      <w:bookmarkEnd w:id="182"/>
      <w:r w:rsidR="00FD4ABA" w:rsidRPr="009A7163">
        <w:rPr>
          <w:rFonts w:eastAsiaTheme="minorHAnsi"/>
          <w:lang w:eastAsia="en-GB"/>
        </w:rPr>
        <w:t xml:space="preserve"> </w:t>
      </w:r>
    </w:p>
    <w:p w14:paraId="6B7E2E64" w14:textId="0A5DF45D" w:rsidR="00FD4ABA" w:rsidRPr="009A7163" w:rsidRDefault="00FD4ABA">
      <w:pPr>
        <w:spacing w:line="360" w:lineRule="auto"/>
        <w:ind w:firstLine="720"/>
        <w:jc w:val="both"/>
        <w:rPr>
          <w:rFonts w:eastAsiaTheme="minorHAnsi"/>
          <w:lang w:eastAsia="en-GB"/>
        </w:rPr>
      </w:pPr>
      <w:r w:rsidRPr="009A7163">
        <w:rPr>
          <w:rFonts w:eastAsiaTheme="minorHAnsi"/>
          <w:lang w:eastAsia="en-GB"/>
        </w:rPr>
        <w:t>At present, it is unclear whether BS</w:t>
      </w:r>
      <w:r w:rsidR="00CA419E" w:rsidRPr="009A7163">
        <w:rPr>
          <w:rFonts w:eastAsiaTheme="minorHAnsi"/>
          <w:lang w:eastAsia="en-GB"/>
        </w:rPr>
        <w:t>I</w:t>
      </w:r>
      <w:r w:rsidRPr="009A7163">
        <w:rPr>
          <w:rFonts w:eastAsiaTheme="minorHAnsi"/>
          <w:lang w:eastAsia="en-GB"/>
        </w:rPr>
        <w:t xml:space="preserve"> will scale up this initiative to its other supply chains although they remain very interested in the research and initiatives progress or if any other coffee buyers who source their coffee from the cooperatives in the San Ramon case study will include a premium for women’s unpaid work. </w:t>
      </w:r>
      <w:r w:rsidR="00CA419E" w:rsidRPr="009A7163">
        <w:rPr>
          <w:rFonts w:eastAsiaTheme="minorHAnsi"/>
          <w:lang w:eastAsia="en-GB"/>
        </w:rPr>
        <w:t>However,</w:t>
      </w:r>
      <w:r w:rsidRPr="009A7163">
        <w:rPr>
          <w:rFonts w:eastAsiaTheme="minorHAnsi"/>
          <w:lang w:eastAsia="en-GB"/>
        </w:rPr>
        <w:t xml:space="preserve"> I hope that BSI will retain its ambition to be a leader in this area and in the spirit of Anita Roddick’s passion and continue to show that it is possible through innovation to create a paradigm shift.</w:t>
      </w:r>
    </w:p>
    <w:p w14:paraId="7857C435" w14:textId="1E9E2552" w:rsidR="00FD4ABA" w:rsidRPr="009A7163" w:rsidRDefault="00FD4ABA" w:rsidP="00021D80">
      <w:pPr>
        <w:spacing w:line="360" w:lineRule="auto"/>
        <w:ind w:firstLine="720"/>
        <w:jc w:val="both"/>
        <w:rPr>
          <w:rFonts w:eastAsiaTheme="minorHAnsi"/>
          <w:lang w:eastAsia="en-GB"/>
        </w:rPr>
      </w:pPr>
      <w:r w:rsidRPr="009A7163">
        <w:rPr>
          <w:rFonts w:eastAsiaTheme="minorHAnsi"/>
          <w:lang w:eastAsia="en-GB"/>
        </w:rPr>
        <w:t xml:space="preserve"> Looking to the future, more work is needed to deepen understanding of gendered social norms and how they engage with pricing models and programmes, as well as an examination of strategies for addressing social norms to catalyse women’s empowerment. In future work, measurement of perceived norms should be more consistently and explicitly incorporated into the evaluation of social interventions, particularly interventions that involve institutional change such as pricing. Furthermore, I would suggest additional research on the viability of applying this model to other supply chains and other crops and development of a depletion framework for unpaid work to evaluate interventions in Fair Trade supply chains.</w:t>
      </w:r>
      <w:r w:rsidR="00833E24" w:rsidRPr="009A7163">
        <w:rPr>
          <w:rFonts w:eastAsiaTheme="minorHAnsi"/>
          <w:lang w:eastAsia="en-GB"/>
        </w:rPr>
        <w:t xml:space="preserve"> For future research on TUS, clearly, combining TUS with a systematic study of different forms of violence experienced by the women is an opportunity for future research</w:t>
      </w:r>
    </w:p>
    <w:p w14:paraId="1BA1B529" w14:textId="7782289E" w:rsidR="00021D80" w:rsidRPr="009A7163" w:rsidRDefault="00833E24" w:rsidP="00021D80">
      <w:pPr>
        <w:spacing w:after="240" w:line="360" w:lineRule="auto"/>
        <w:ind w:firstLine="720"/>
        <w:jc w:val="both"/>
        <w:rPr>
          <w:rFonts w:eastAsiaTheme="minorHAnsi"/>
          <w:lang w:eastAsia="en-GB"/>
        </w:rPr>
      </w:pPr>
      <w:r w:rsidRPr="009A7163">
        <w:rPr>
          <w:rFonts w:eastAsiaTheme="minorHAnsi"/>
          <w:lang w:eastAsia="en-GB"/>
        </w:rPr>
        <w:t>Lastly i</w:t>
      </w:r>
      <w:r w:rsidR="00021D80" w:rsidRPr="009A7163">
        <w:rPr>
          <w:rFonts w:eastAsiaTheme="minorHAnsi"/>
          <w:lang w:eastAsia="en-GB"/>
        </w:rPr>
        <w:t>n terms of policy, from Eyben’s (2012) ‘naming, framing, claiming and programming’ proposal</w:t>
      </w:r>
      <w:r w:rsidR="006E6EA2" w:rsidRPr="009A7163">
        <w:rPr>
          <w:rFonts w:eastAsiaTheme="minorHAnsi"/>
          <w:lang w:eastAsia="en-GB"/>
        </w:rPr>
        <w:t xml:space="preserve"> (see Chapter </w:t>
      </w:r>
      <w:r w:rsidR="000A1D06" w:rsidRPr="009A7163">
        <w:rPr>
          <w:rFonts w:eastAsiaTheme="minorHAnsi"/>
          <w:lang w:eastAsia="en-GB"/>
        </w:rPr>
        <w:t xml:space="preserve">One, Section </w:t>
      </w:r>
      <w:r w:rsidRPr="009A7163">
        <w:rPr>
          <w:rFonts w:eastAsiaTheme="minorHAnsi"/>
          <w:lang w:eastAsia="en-GB"/>
        </w:rPr>
        <w:t>1.3</w:t>
      </w:r>
      <w:r w:rsidR="006E6EA2" w:rsidRPr="009A7163">
        <w:rPr>
          <w:rFonts w:eastAsiaTheme="minorHAnsi"/>
          <w:lang w:eastAsia="en-GB"/>
        </w:rPr>
        <w:t>)</w:t>
      </w:r>
      <w:r w:rsidR="00021D80" w:rsidRPr="009A7163">
        <w:rPr>
          <w:rFonts w:eastAsiaTheme="minorHAnsi"/>
          <w:lang w:eastAsia="en-GB"/>
        </w:rPr>
        <w:t xml:space="preserve">, ‘claiming’, would involve mapping out stakeholders around </w:t>
      </w:r>
      <w:r w:rsidR="003A2C87" w:rsidRPr="009A7163">
        <w:rPr>
          <w:rFonts w:eastAsiaTheme="minorHAnsi"/>
          <w:lang w:eastAsia="en-GB"/>
        </w:rPr>
        <w:t>UCW</w:t>
      </w:r>
      <w:r w:rsidR="006E6EA2" w:rsidRPr="009A7163">
        <w:rPr>
          <w:rFonts w:eastAsiaTheme="minorHAnsi"/>
          <w:lang w:eastAsia="en-GB"/>
        </w:rPr>
        <w:t>,</w:t>
      </w:r>
      <w:r w:rsidR="000A1D06" w:rsidRPr="009A7163">
        <w:rPr>
          <w:rFonts w:eastAsiaTheme="minorHAnsi"/>
          <w:lang w:eastAsia="en-GB"/>
        </w:rPr>
        <w:t xml:space="preserve"> </w:t>
      </w:r>
      <w:r w:rsidR="00021D80" w:rsidRPr="009A7163">
        <w:rPr>
          <w:rFonts w:eastAsiaTheme="minorHAnsi"/>
          <w:lang w:eastAsia="en-GB"/>
        </w:rPr>
        <w:t xml:space="preserve">their </w:t>
      </w:r>
      <w:r w:rsidR="006E6EA2" w:rsidRPr="009A7163">
        <w:rPr>
          <w:rFonts w:eastAsiaTheme="minorHAnsi"/>
          <w:lang w:eastAsia="en-GB"/>
        </w:rPr>
        <w:t xml:space="preserve">current and futures </w:t>
      </w:r>
      <w:r w:rsidR="00021D80" w:rsidRPr="009A7163">
        <w:rPr>
          <w:rFonts w:eastAsiaTheme="minorHAnsi"/>
          <w:lang w:eastAsia="en-GB"/>
        </w:rPr>
        <w:t>in</w:t>
      </w:r>
      <w:r w:rsidR="006E6EA2" w:rsidRPr="009A7163">
        <w:rPr>
          <w:rFonts w:eastAsiaTheme="minorHAnsi"/>
          <w:lang w:eastAsia="en-GB"/>
        </w:rPr>
        <w:t>itiatives. Like this study, research should be carried out on such initiatives, examining strengths and weaknesses and</w:t>
      </w:r>
      <w:r w:rsidR="00021D80" w:rsidRPr="009A7163">
        <w:rPr>
          <w:rFonts w:eastAsiaTheme="minorHAnsi"/>
          <w:lang w:eastAsia="en-GB"/>
        </w:rPr>
        <w:t>, and identifying gaps in existing policies and strategies</w:t>
      </w:r>
      <w:r w:rsidR="006E6EA2" w:rsidRPr="009A7163">
        <w:rPr>
          <w:rFonts w:eastAsiaTheme="minorHAnsi"/>
          <w:lang w:eastAsia="en-GB"/>
        </w:rPr>
        <w:t xml:space="preserve">. </w:t>
      </w:r>
      <w:r w:rsidR="00021D80" w:rsidRPr="009A7163">
        <w:rPr>
          <w:rFonts w:eastAsiaTheme="minorHAnsi"/>
          <w:lang w:eastAsia="en-GB"/>
        </w:rPr>
        <w:t xml:space="preserve"> </w:t>
      </w:r>
      <w:r w:rsidR="006E6EA2" w:rsidRPr="009A7163">
        <w:rPr>
          <w:rFonts w:eastAsiaTheme="minorHAnsi"/>
          <w:lang w:eastAsia="en-GB"/>
        </w:rPr>
        <w:t xml:space="preserve">Only once the body of research on such initiatives has grown and has been synthesised can broader policy recommendations be reached. </w:t>
      </w:r>
      <w:r w:rsidR="00E35BE4" w:rsidRPr="009A7163">
        <w:rPr>
          <w:rFonts w:eastAsiaTheme="minorHAnsi"/>
          <w:lang w:eastAsia="en-GB"/>
        </w:rPr>
        <w:t>In this pioneering phase</w:t>
      </w:r>
      <w:r w:rsidR="000A1D06" w:rsidRPr="009A7163">
        <w:rPr>
          <w:rFonts w:eastAsiaTheme="minorHAnsi"/>
          <w:lang w:eastAsia="en-GB"/>
        </w:rPr>
        <w:t>,</w:t>
      </w:r>
      <w:r w:rsidR="00E35BE4" w:rsidRPr="009A7163">
        <w:rPr>
          <w:rFonts w:eastAsiaTheme="minorHAnsi"/>
          <w:lang w:eastAsia="en-GB"/>
        </w:rPr>
        <w:t xml:space="preserve"> a careful balance needs to be struck between encouraging businesses to take the initiative and innovate their </w:t>
      </w:r>
      <w:r w:rsidR="00E35BE4" w:rsidRPr="009A7163">
        <w:rPr>
          <w:rFonts w:eastAsiaTheme="minorHAnsi"/>
          <w:lang w:eastAsia="en-GB"/>
        </w:rPr>
        <w:lastRenderedPageBreak/>
        <w:t xml:space="preserve">ways of doing business and offering in-depth analysis of the intended and unintended consequences of these changes.  </w:t>
      </w:r>
    </w:p>
    <w:p w14:paraId="5A0F168B" w14:textId="60BBB1D2" w:rsidR="00FD4ABA" w:rsidRPr="009A7163" w:rsidRDefault="00FD4ABA">
      <w:pPr>
        <w:spacing w:line="360" w:lineRule="auto"/>
        <w:ind w:firstLine="720"/>
        <w:jc w:val="both"/>
        <w:rPr>
          <w:rFonts w:eastAsiaTheme="minorHAnsi"/>
          <w:lang w:eastAsia="en-GB"/>
        </w:rPr>
      </w:pPr>
    </w:p>
    <w:p w14:paraId="0FE0C4EA" w14:textId="77777777" w:rsidR="00FD4ABA" w:rsidRPr="00FD4ABA" w:rsidRDefault="00FD4ABA">
      <w:pPr>
        <w:spacing w:line="360" w:lineRule="auto"/>
        <w:ind w:firstLine="720"/>
        <w:jc w:val="both"/>
        <w:rPr>
          <w:rFonts w:eastAsiaTheme="minorHAnsi"/>
          <w:lang w:eastAsia="en-GB"/>
        </w:rPr>
      </w:pPr>
    </w:p>
    <w:p w14:paraId="7545ECBD" w14:textId="77777777" w:rsidR="008C041F" w:rsidRDefault="008C041F">
      <w:pPr>
        <w:rPr>
          <w:rFonts w:eastAsiaTheme="minorHAnsi"/>
        </w:rPr>
      </w:pPr>
    </w:p>
    <w:p w14:paraId="1697F7E6" w14:textId="77777777" w:rsidR="008C041F" w:rsidRDefault="008C041F">
      <w:pPr>
        <w:rPr>
          <w:rFonts w:eastAsiaTheme="minorHAnsi"/>
        </w:rPr>
      </w:pPr>
    </w:p>
    <w:p w14:paraId="5F0DFDB5" w14:textId="77777777" w:rsidR="008C041F" w:rsidRDefault="008C041F">
      <w:pPr>
        <w:rPr>
          <w:rFonts w:eastAsiaTheme="minorHAnsi"/>
        </w:rPr>
      </w:pPr>
    </w:p>
    <w:p w14:paraId="36CAE9B6" w14:textId="77777777" w:rsidR="008C041F" w:rsidRDefault="008C041F">
      <w:pPr>
        <w:rPr>
          <w:rFonts w:eastAsiaTheme="minorHAnsi"/>
        </w:rPr>
      </w:pPr>
    </w:p>
    <w:p w14:paraId="2174C69B" w14:textId="77777777" w:rsidR="008C041F" w:rsidRDefault="008C041F">
      <w:pPr>
        <w:rPr>
          <w:rFonts w:eastAsiaTheme="minorHAnsi"/>
        </w:rPr>
      </w:pPr>
    </w:p>
    <w:p w14:paraId="703A2667" w14:textId="77777777" w:rsidR="008C041F" w:rsidRDefault="008C041F" w:rsidP="00FE246F">
      <w:pPr>
        <w:rPr>
          <w:rFonts w:eastAsiaTheme="minorHAnsi"/>
        </w:rPr>
        <w:sectPr w:rsidR="008C041F" w:rsidSect="00171CF0">
          <w:footnotePr>
            <w:numRestart w:val="eachSect"/>
          </w:footnotePr>
          <w:pgSz w:w="11907" w:h="16839" w:code="9"/>
          <w:pgMar w:top="1440" w:right="1440" w:bottom="1440" w:left="2160" w:header="706" w:footer="706" w:gutter="0"/>
          <w:cols w:space="708"/>
          <w:docGrid w:linePitch="360"/>
        </w:sectPr>
      </w:pPr>
    </w:p>
    <w:p w14:paraId="17F3F9D5" w14:textId="10A64596" w:rsidR="008C041F" w:rsidRDefault="008C041F" w:rsidP="00293176">
      <w:pPr>
        <w:pStyle w:val="Heading1"/>
      </w:pPr>
      <w:bookmarkStart w:id="183" w:name="_Toc526819381"/>
      <w:r>
        <w:lastRenderedPageBreak/>
        <w:t>BIBLIOGRAPHY</w:t>
      </w:r>
      <w:bookmarkEnd w:id="183"/>
    </w:p>
    <w:p w14:paraId="6B2CF146" w14:textId="3606EF56" w:rsidR="007A6126" w:rsidRPr="00EA1365" w:rsidRDefault="007A6126" w:rsidP="007A6126">
      <w:pPr>
        <w:rPr>
          <w:b/>
          <w:bCs/>
          <w:color w:val="000000"/>
          <w:lang w:val="en-US"/>
        </w:rPr>
      </w:pPr>
    </w:p>
    <w:p w14:paraId="7123CABE" w14:textId="77777777" w:rsidR="00A96CF7" w:rsidRPr="00147E8C" w:rsidRDefault="00A96CF7" w:rsidP="00A96CF7">
      <w:pPr>
        <w:spacing w:line="276" w:lineRule="auto"/>
        <w:rPr>
          <w:b/>
          <w:bCs/>
          <w:color w:val="000000" w:themeColor="text1"/>
          <w:lang w:val="en-US"/>
        </w:rPr>
      </w:pPr>
    </w:p>
    <w:p w14:paraId="0525E20C" w14:textId="77777777" w:rsidR="00A96CF7" w:rsidRPr="00147E8C" w:rsidRDefault="00A96CF7" w:rsidP="00A96CF7">
      <w:pPr>
        <w:pStyle w:val="NormalWeb"/>
        <w:spacing w:line="276" w:lineRule="auto"/>
        <w:rPr>
          <w:color w:val="000000" w:themeColor="text1"/>
        </w:rPr>
      </w:pPr>
      <w:r w:rsidRPr="00147E8C">
        <w:rPr>
          <w:color w:val="000000" w:themeColor="text1"/>
        </w:rPr>
        <w:t>ActionAid</w:t>
      </w:r>
      <w:r w:rsidRPr="00147E8C">
        <w:rPr>
          <w:iCs/>
          <w:color w:val="000000" w:themeColor="text1"/>
        </w:rPr>
        <w:t>. (2013)</w:t>
      </w:r>
      <w:r w:rsidRPr="00147E8C">
        <w:rPr>
          <w:i/>
          <w:iCs/>
          <w:color w:val="000000" w:themeColor="text1"/>
        </w:rPr>
        <w:t xml:space="preserve"> Making Care Visible: Women’s Unpaid Care Work in Nepal, Nigeria, Uganda, and Kenya. </w:t>
      </w:r>
      <w:r w:rsidRPr="00147E8C">
        <w:rPr>
          <w:color w:val="000000" w:themeColor="text1"/>
        </w:rPr>
        <w:t>ActionAid International, February 2013.</w:t>
      </w:r>
    </w:p>
    <w:p w14:paraId="195DA620" w14:textId="77777777"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t xml:space="preserve">Addati, L., Umberto, C., Esquivel, V., Valarino, I. (2018) </w:t>
      </w:r>
      <w:r w:rsidRPr="00147E8C">
        <w:rPr>
          <w:i/>
          <w:color w:val="000000" w:themeColor="text1"/>
        </w:rPr>
        <w:t>Care and care jobs for the future of decent work, ILO.</w:t>
      </w:r>
      <w:r w:rsidRPr="00147E8C">
        <w:rPr>
          <w:color w:val="000000" w:themeColor="text1"/>
        </w:rPr>
        <w:t xml:space="preserve"> </w:t>
      </w:r>
    </w:p>
    <w:p w14:paraId="38BAE335" w14:textId="77777777" w:rsidR="00A96CF7" w:rsidRPr="00147E8C" w:rsidRDefault="00A96CF7" w:rsidP="00A96CF7">
      <w:pPr>
        <w:spacing w:line="276" w:lineRule="auto"/>
        <w:rPr>
          <w:color w:val="000000" w:themeColor="text1"/>
        </w:rPr>
      </w:pPr>
    </w:p>
    <w:p w14:paraId="74AB29F7"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Agurto, S. and Guido A. (2001)  </w:t>
      </w:r>
      <w:r w:rsidRPr="00147E8C">
        <w:rPr>
          <w:i/>
          <w:iCs/>
          <w:color w:val="000000" w:themeColor="text1"/>
          <w:lang w:val="es-NI"/>
        </w:rPr>
        <w:t>Mujeres: pilares fundamentales de la economía nicaragüense</w:t>
      </w:r>
      <w:r w:rsidRPr="00147E8C">
        <w:rPr>
          <w:color w:val="000000" w:themeColor="text1"/>
          <w:lang w:val="es-NI"/>
        </w:rPr>
        <w:t xml:space="preserve">. Managua: FIDEG. </w:t>
      </w:r>
    </w:p>
    <w:p w14:paraId="6575CE08" w14:textId="77777777" w:rsidR="00A96CF7" w:rsidRPr="00147E8C" w:rsidRDefault="00A96CF7" w:rsidP="00A96CF7">
      <w:pPr>
        <w:spacing w:line="276" w:lineRule="auto"/>
        <w:rPr>
          <w:color w:val="000000" w:themeColor="text1"/>
          <w:lang w:val="es-NI"/>
        </w:rPr>
      </w:pPr>
    </w:p>
    <w:p w14:paraId="736DF8EC"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Agurto, S. and Guido, A. (2003) </w:t>
      </w:r>
      <w:r w:rsidRPr="00147E8C">
        <w:rPr>
          <w:i/>
          <w:color w:val="000000" w:themeColor="text1"/>
          <w:lang w:val="es-NI"/>
        </w:rPr>
        <w:t>Después de una década de investigaciones la esperanza tiene nombre de mujer</w:t>
      </w:r>
      <w:r w:rsidRPr="00147E8C">
        <w:rPr>
          <w:color w:val="000000" w:themeColor="text1"/>
          <w:lang w:val="es-NI"/>
        </w:rPr>
        <w:t xml:space="preserve">. Managua: Fundación Internacional para el Desafío Económico Global, FIDEG. </w:t>
      </w:r>
    </w:p>
    <w:p w14:paraId="5CF364C7" w14:textId="77777777" w:rsidR="00A96CF7" w:rsidRPr="00147E8C" w:rsidRDefault="00A96CF7" w:rsidP="00A96CF7">
      <w:pPr>
        <w:spacing w:line="276" w:lineRule="auto"/>
        <w:rPr>
          <w:color w:val="000000" w:themeColor="text1"/>
          <w:lang w:val="es-NI"/>
        </w:rPr>
      </w:pPr>
    </w:p>
    <w:p w14:paraId="006E07A1"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Akerlof, G.and Kranton, R. (2000) ‘Economics and identity’, </w:t>
      </w:r>
      <w:r w:rsidRPr="00147E8C">
        <w:rPr>
          <w:i/>
          <w:iCs/>
          <w:color w:val="000000" w:themeColor="text1"/>
          <w:lang w:val="es-NI"/>
        </w:rPr>
        <w:t>Quarterly Journal of Economics</w:t>
      </w:r>
      <w:r w:rsidRPr="00147E8C">
        <w:rPr>
          <w:color w:val="000000" w:themeColor="text1"/>
          <w:lang w:val="es-NI"/>
        </w:rPr>
        <w:t>, 115 (3), pp. 715–53.</w:t>
      </w:r>
    </w:p>
    <w:p w14:paraId="18275D18" w14:textId="77777777" w:rsidR="00A96CF7" w:rsidRPr="00147E8C" w:rsidRDefault="00A96CF7" w:rsidP="00A96CF7">
      <w:pPr>
        <w:spacing w:line="276" w:lineRule="auto"/>
        <w:rPr>
          <w:color w:val="000000" w:themeColor="text1"/>
          <w:lang w:val="es-NI"/>
        </w:rPr>
      </w:pPr>
    </w:p>
    <w:p w14:paraId="392B1EA3" w14:textId="77777777" w:rsidR="00A96CF7" w:rsidRPr="00147E8C" w:rsidRDefault="00A96CF7" w:rsidP="00A96CF7">
      <w:pPr>
        <w:spacing w:line="276" w:lineRule="auto"/>
        <w:rPr>
          <w:color w:val="000000" w:themeColor="text1"/>
        </w:rPr>
      </w:pPr>
      <w:r w:rsidRPr="00147E8C">
        <w:rPr>
          <w:color w:val="000000" w:themeColor="text1"/>
        </w:rPr>
        <w:t xml:space="preserve">Alexander-Scott, M. Bell, E. and Holden, J. (2016) </w:t>
      </w:r>
      <w:r w:rsidRPr="00147E8C">
        <w:rPr>
          <w:i/>
          <w:iCs/>
          <w:color w:val="000000" w:themeColor="text1"/>
        </w:rPr>
        <w:t>DFID Guidance note: shifting social norms to tackle violence against women and girls (VAWG).</w:t>
      </w:r>
      <w:r w:rsidRPr="00147E8C">
        <w:rPr>
          <w:color w:val="000000" w:themeColor="text1"/>
        </w:rPr>
        <w:t xml:space="preserve"> London: VAWG Helpdesk.</w:t>
      </w:r>
    </w:p>
    <w:p w14:paraId="46432C0B" w14:textId="77777777" w:rsidR="00A96CF7" w:rsidRPr="00147E8C" w:rsidRDefault="00A96CF7" w:rsidP="00A96CF7">
      <w:pPr>
        <w:spacing w:line="276" w:lineRule="auto"/>
        <w:rPr>
          <w:color w:val="000000" w:themeColor="text1"/>
          <w:lang w:val="en-US"/>
        </w:rPr>
      </w:pPr>
    </w:p>
    <w:p w14:paraId="19FD7578" w14:textId="77777777" w:rsidR="00A96CF7" w:rsidRPr="00147E8C" w:rsidRDefault="00A96CF7" w:rsidP="00A96CF7">
      <w:pPr>
        <w:spacing w:line="276" w:lineRule="auto"/>
        <w:rPr>
          <w:color w:val="000000" w:themeColor="text1"/>
        </w:rPr>
      </w:pPr>
      <w:r w:rsidRPr="00147E8C">
        <w:rPr>
          <w:color w:val="000000" w:themeColor="text1"/>
        </w:rPr>
        <w:t xml:space="preserve">Alkire S; Meinzen-Dick R; Peterman A; Quisumbing A; Seymour G; Vaz A. (2012). </w:t>
      </w:r>
      <w:r w:rsidRPr="00147E8C">
        <w:rPr>
          <w:i/>
          <w:color w:val="000000" w:themeColor="text1"/>
        </w:rPr>
        <w:t xml:space="preserve">The Women’s Empowerment in Agriculture Index. </w:t>
      </w:r>
      <w:r w:rsidRPr="00147E8C">
        <w:rPr>
          <w:color w:val="000000" w:themeColor="text1"/>
        </w:rPr>
        <w:t>IFPRI Discussion Paper 1240. Washington, DC, United States: International Food Policy Research Institute.</w:t>
      </w:r>
    </w:p>
    <w:p w14:paraId="2B903D69" w14:textId="77777777" w:rsidR="00A96CF7" w:rsidRPr="00147E8C" w:rsidRDefault="00A96CF7" w:rsidP="00A96CF7">
      <w:pPr>
        <w:spacing w:line="276" w:lineRule="auto"/>
        <w:rPr>
          <w:color w:val="000000" w:themeColor="text1"/>
          <w:lang w:val="en-US"/>
        </w:rPr>
      </w:pPr>
    </w:p>
    <w:p w14:paraId="57909D31" w14:textId="77777777" w:rsidR="00A96CF7" w:rsidRPr="00147E8C" w:rsidRDefault="00A96CF7" w:rsidP="00A96CF7">
      <w:pPr>
        <w:spacing w:line="276" w:lineRule="auto"/>
        <w:rPr>
          <w:color w:val="000000" w:themeColor="text1"/>
        </w:rPr>
      </w:pPr>
      <w:r w:rsidRPr="00147E8C">
        <w:rPr>
          <w:color w:val="000000" w:themeColor="text1"/>
        </w:rPr>
        <w:t xml:space="preserve">Alsop, R., Bertelsen, M., and Holland, J. (2006) </w:t>
      </w:r>
      <w:r w:rsidRPr="00147E8C">
        <w:rPr>
          <w:i/>
          <w:iCs/>
          <w:color w:val="000000" w:themeColor="text1"/>
        </w:rPr>
        <w:t xml:space="preserve">Empowerment in practice from analysis to implementation. </w:t>
      </w:r>
      <w:r w:rsidRPr="00147E8C">
        <w:rPr>
          <w:color w:val="000000" w:themeColor="text1"/>
        </w:rPr>
        <w:t>Washington D.C.: The World Bank.</w:t>
      </w:r>
    </w:p>
    <w:p w14:paraId="61EB358B" w14:textId="77777777" w:rsidR="00A96CF7" w:rsidRPr="00147E8C" w:rsidRDefault="00A96CF7" w:rsidP="00A96CF7">
      <w:pPr>
        <w:spacing w:line="276" w:lineRule="auto"/>
        <w:rPr>
          <w:color w:val="000000" w:themeColor="text1"/>
        </w:rPr>
      </w:pPr>
    </w:p>
    <w:p w14:paraId="1772000C" w14:textId="77777777" w:rsidR="00A96CF7" w:rsidRPr="00147E8C" w:rsidRDefault="00A96CF7" w:rsidP="00A96CF7">
      <w:pPr>
        <w:spacing w:line="276" w:lineRule="auto"/>
        <w:rPr>
          <w:color w:val="000000" w:themeColor="text1"/>
        </w:rPr>
      </w:pPr>
      <w:r w:rsidRPr="00147E8C">
        <w:rPr>
          <w:color w:val="000000" w:themeColor="text1"/>
        </w:rPr>
        <w:t xml:space="preserve">Alsop, R. and Heinsohn, N. (2005) </w:t>
      </w:r>
      <w:r w:rsidRPr="00147E8C">
        <w:rPr>
          <w:i/>
          <w:iCs/>
          <w:color w:val="000000" w:themeColor="text1"/>
        </w:rPr>
        <w:t>Measuring empowerment in practice – structuring analysis and framing indicators</w:t>
      </w:r>
      <w:r w:rsidRPr="00147E8C">
        <w:rPr>
          <w:color w:val="000000" w:themeColor="text1"/>
        </w:rPr>
        <w:t>. Washington D.C: World Bank.</w:t>
      </w:r>
    </w:p>
    <w:p w14:paraId="0B788B14" w14:textId="77777777" w:rsidR="00A96CF7" w:rsidRPr="00147E8C" w:rsidRDefault="00A96CF7" w:rsidP="00A96CF7">
      <w:pPr>
        <w:spacing w:line="276" w:lineRule="auto"/>
        <w:rPr>
          <w:color w:val="000000" w:themeColor="text1"/>
        </w:rPr>
      </w:pPr>
    </w:p>
    <w:p w14:paraId="2A7C3304" w14:textId="77777777" w:rsidR="00A96CF7" w:rsidRPr="00147E8C" w:rsidRDefault="00A96CF7" w:rsidP="00A96CF7">
      <w:pPr>
        <w:spacing w:line="276" w:lineRule="auto"/>
        <w:rPr>
          <w:color w:val="000000" w:themeColor="text1"/>
        </w:rPr>
      </w:pPr>
      <w:r w:rsidRPr="00147E8C">
        <w:rPr>
          <w:color w:val="000000" w:themeColor="text1"/>
        </w:rPr>
        <w:t xml:space="preserve">Ambler, K., Doss, C., Kieran, C. and Passarelli, S. (2017) </w:t>
      </w:r>
      <w:r w:rsidRPr="00147E8C">
        <w:rPr>
          <w:i/>
          <w:color w:val="000000" w:themeColor="text1"/>
        </w:rPr>
        <w:t>‘He says, she says: exploring patterns of spousal agreement in Bangladesh’</w:t>
      </w:r>
      <w:r w:rsidRPr="00147E8C">
        <w:rPr>
          <w:color w:val="000000" w:themeColor="text1"/>
        </w:rPr>
        <w:t xml:space="preserve">, </w:t>
      </w:r>
      <w:r w:rsidRPr="00147E8C">
        <w:rPr>
          <w:i/>
          <w:color w:val="000000" w:themeColor="text1"/>
        </w:rPr>
        <w:t>IFPRI Discussion Paper</w:t>
      </w:r>
      <w:r w:rsidRPr="00147E8C">
        <w:rPr>
          <w:color w:val="000000" w:themeColor="text1"/>
        </w:rPr>
        <w:t xml:space="preserve">, 1616. Washington, D.C.: International Food Policy Research Institute. </w:t>
      </w:r>
    </w:p>
    <w:p w14:paraId="79BDF57E" w14:textId="77777777" w:rsidR="00A96CF7" w:rsidRPr="00147E8C" w:rsidRDefault="00A96CF7" w:rsidP="00A96CF7">
      <w:pPr>
        <w:pStyle w:val="NormalWeb"/>
        <w:spacing w:before="0" w:beforeAutospacing="0" w:after="0" w:afterAutospacing="0" w:line="276" w:lineRule="auto"/>
        <w:rPr>
          <w:color w:val="000000" w:themeColor="text1"/>
        </w:rPr>
      </w:pPr>
    </w:p>
    <w:p w14:paraId="077FE933" w14:textId="77777777"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t xml:space="preserve">Anker, R, and Anker, M., (2013). </w:t>
      </w:r>
      <w:r w:rsidRPr="00147E8C">
        <w:rPr>
          <w:i/>
          <w:color w:val="000000" w:themeColor="text1"/>
        </w:rPr>
        <w:t>A Shared Approach to Estimating Living Wages, Short description of the agreed methodology.</w:t>
      </w:r>
      <w:r w:rsidRPr="00147E8C">
        <w:rPr>
          <w:color w:val="000000" w:themeColor="text1"/>
        </w:rPr>
        <w:t xml:space="preserve"> Global Living Wage Coalition.</w:t>
      </w:r>
    </w:p>
    <w:p w14:paraId="5121F7E8" w14:textId="77777777" w:rsidR="00A96CF7" w:rsidRPr="00147E8C" w:rsidRDefault="00A96CF7" w:rsidP="00A96CF7">
      <w:pPr>
        <w:spacing w:line="276" w:lineRule="auto"/>
        <w:rPr>
          <w:color w:val="000000" w:themeColor="text1"/>
        </w:rPr>
      </w:pPr>
    </w:p>
    <w:p w14:paraId="1F3069D5" w14:textId="77777777" w:rsidR="00A96CF7" w:rsidRPr="00147E8C" w:rsidRDefault="00A96CF7" w:rsidP="00A96CF7">
      <w:pPr>
        <w:spacing w:line="276" w:lineRule="auto"/>
        <w:rPr>
          <w:color w:val="000000" w:themeColor="text1"/>
        </w:rPr>
      </w:pPr>
      <w:r w:rsidRPr="00147E8C">
        <w:rPr>
          <w:color w:val="000000" w:themeColor="text1"/>
        </w:rPr>
        <w:t xml:space="preserve">Agarwal, B. (1997) ‘Bargaining and gender relations within and beyond the household’, </w:t>
      </w:r>
      <w:r w:rsidRPr="00147E8C">
        <w:rPr>
          <w:i/>
          <w:iCs/>
          <w:color w:val="000000" w:themeColor="text1"/>
        </w:rPr>
        <w:t>Feminist Economics</w:t>
      </w:r>
      <w:r w:rsidRPr="00147E8C">
        <w:rPr>
          <w:color w:val="000000" w:themeColor="text1"/>
        </w:rPr>
        <w:t>, 3 (1), pp. 1-51.</w:t>
      </w:r>
    </w:p>
    <w:p w14:paraId="1F58CF19" w14:textId="77777777" w:rsidR="00A96CF7" w:rsidRPr="00147E8C" w:rsidRDefault="00A96CF7" w:rsidP="00A96CF7">
      <w:pPr>
        <w:pStyle w:val="NormalWeb"/>
        <w:spacing w:before="0" w:beforeAutospacing="0" w:after="0" w:afterAutospacing="0" w:line="276" w:lineRule="auto"/>
        <w:rPr>
          <w:color w:val="000000" w:themeColor="text1"/>
        </w:rPr>
      </w:pPr>
    </w:p>
    <w:p w14:paraId="2D0DA6D5" w14:textId="003D6E55"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lastRenderedPageBreak/>
        <w:t xml:space="preserve">Anker, R, and Anker, M., (2013). </w:t>
      </w:r>
      <w:r w:rsidRPr="00147E8C">
        <w:rPr>
          <w:i/>
          <w:color w:val="000000" w:themeColor="text1"/>
        </w:rPr>
        <w:t>A Shared Approach to Estimating Living Wages, Short description of the agreed methodology.</w:t>
      </w:r>
      <w:r w:rsidRPr="00147E8C">
        <w:rPr>
          <w:color w:val="000000" w:themeColor="text1"/>
        </w:rPr>
        <w:t xml:space="preserve"> Global Living Wage Coalition. </w:t>
      </w:r>
      <w:r w:rsidRPr="004A20C9">
        <w:rPr>
          <w:color w:val="000000" w:themeColor="text1"/>
        </w:rPr>
        <w:t xml:space="preserve">Available from: </w:t>
      </w:r>
      <w:r w:rsidRPr="004A20C9">
        <w:rPr>
          <w:rStyle w:val="Hyperlink"/>
          <w:color w:val="000000" w:themeColor="text1"/>
          <w:u w:val="none"/>
        </w:rPr>
        <w:t>https://www.fairtrade.net/fileadmin/user_upload/content/2009/standards/documents/GLWC_Anker_Methodology.pdf</w:t>
      </w:r>
      <w:r w:rsidRPr="00147E8C">
        <w:rPr>
          <w:color w:val="000000" w:themeColor="text1"/>
        </w:rPr>
        <w:t xml:space="preserve"> [Accessed 13th May 2018]</w:t>
      </w:r>
    </w:p>
    <w:p w14:paraId="7FC60E6B" w14:textId="77777777" w:rsidR="00A96CF7" w:rsidRPr="00147E8C" w:rsidRDefault="00A96CF7" w:rsidP="00A96CF7">
      <w:pPr>
        <w:spacing w:line="276" w:lineRule="auto"/>
        <w:rPr>
          <w:color w:val="000000" w:themeColor="text1"/>
        </w:rPr>
      </w:pPr>
    </w:p>
    <w:p w14:paraId="6C24254A" w14:textId="77777777" w:rsidR="00A96CF7" w:rsidRPr="00147E8C" w:rsidRDefault="00A96CF7" w:rsidP="00A96CF7">
      <w:pPr>
        <w:spacing w:line="276" w:lineRule="auto"/>
        <w:rPr>
          <w:color w:val="000000" w:themeColor="text1"/>
        </w:rPr>
      </w:pPr>
      <w:r w:rsidRPr="00147E8C">
        <w:rPr>
          <w:color w:val="000000" w:themeColor="text1"/>
        </w:rPr>
        <w:t xml:space="preserve">Antonopoulos, R. (2009) </w:t>
      </w:r>
      <w:r w:rsidRPr="00147E8C">
        <w:rPr>
          <w:i/>
          <w:color w:val="000000" w:themeColor="text1"/>
        </w:rPr>
        <w:t>The unpaid care work - paid work connection</w:t>
      </w:r>
      <w:r w:rsidRPr="00147E8C">
        <w:rPr>
          <w:color w:val="000000" w:themeColor="text1"/>
        </w:rPr>
        <w:t xml:space="preserve">, </w:t>
      </w:r>
      <w:r w:rsidRPr="00147E8C">
        <w:rPr>
          <w:iCs/>
          <w:color w:val="000000" w:themeColor="text1"/>
        </w:rPr>
        <w:t xml:space="preserve">Working Paper No. 86. </w:t>
      </w:r>
      <w:r w:rsidRPr="00147E8C">
        <w:rPr>
          <w:color w:val="000000" w:themeColor="text1"/>
        </w:rPr>
        <w:t>Geneva: International Labour Office, Policy Integration and Statistics Department</w:t>
      </w:r>
    </w:p>
    <w:p w14:paraId="41B782FD"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Antonopoulos, R. and Hirway, I. (eds) (2010) </w:t>
      </w:r>
      <w:r w:rsidRPr="00147E8C">
        <w:rPr>
          <w:i/>
          <w:iCs/>
          <w:color w:val="000000" w:themeColor="text1"/>
        </w:rPr>
        <w:t xml:space="preserve">Unpaid work and the economy – gender, time use and poverty in developing countries. </w:t>
      </w:r>
      <w:r w:rsidRPr="00147E8C">
        <w:rPr>
          <w:color w:val="000000" w:themeColor="text1"/>
        </w:rPr>
        <w:t xml:space="preserve">London: Palgrave Macmillan </w:t>
      </w:r>
    </w:p>
    <w:p w14:paraId="38290E89" w14:textId="77777777" w:rsidR="00A96CF7" w:rsidRPr="00447A7B" w:rsidRDefault="00A96CF7" w:rsidP="00A96CF7">
      <w:pPr>
        <w:pStyle w:val="NormalWeb"/>
        <w:spacing w:line="276" w:lineRule="auto"/>
        <w:rPr>
          <w:color w:val="000000" w:themeColor="text1"/>
          <w:lang w:val="en-US"/>
        </w:rPr>
      </w:pPr>
      <w:r w:rsidRPr="00447A7B">
        <w:rPr>
          <w:rStyle w:val="Hyperlink"/>
          <w:color w:val="000000" w:themeColor="text1"/>
          <w:u w:val="none"/>
        </w:rPr>
        <w:t>Sussman, A.</w:t>
      </w:r>
      <w:r w:rsidRPr="00447A7B">
        <w:rPr>
          <w:color w:val="000000" w:themeColor="text1"/>
          <w:shd w:val="clear" w:color="auto" w:fill="FFFFFF"/>
        </w:rPr>
        <w:t xml:space="preserve"> </w:t>
      </w:r>
      <w:r w:rsidRPr="00447A7B">
        <w:rPr>
          <w:color w:val="000000" w:themeColor="text1"/>
        </w:rPr>
        <w:t xml:space="preserve">(2018) How to value unpaid care work: the $10 trillion question. Available from: </w:t>
      </w:r>
      <w:hyperlink r:id="rId27" w:history="1">
        <w:r w:rsidRPr="00447A7B">
          <w:rPr>
            <w:rStyle w:val="Hyperlink"/>
            <w:color w:val="000000" w:themeColor="text1"/>
            <w:u w:val="none"/>
          </w:rPr>
          <w:t>https://apolitical.co/solution_article/how-to-value-unpaid-care-work-the-10-trillion-question</w:t>
        </w:r>
      </w:hyperlink>
      <w:r w:rsidRPr="00447A7B">
        <w:rPr>
          <w:color w:val="000000" w:themeColor="text1"/>
        </w:rPr>
        <w:t xml:space="preserve"> [Accessed:</w:t>
      </w:r>
      <w:r w:rsidRPr="00447A7B">
        <w:rPr>
          <w:color w:val="000000" w:themeColor="text1"/>
          <w:lang w:val="en-US"/>
        </w:rPr>
        <w:t xml:space="preserve"> 17th July 2018]</w:t>
      </w:r>
    </w:p>
    <w:p w14:paraId="1A1F6375" w14:textId="77777777" w:rsidR="00A96CF7" w:rsidRPr="00447A7B" w:rsidRDefault="00A96CF7" w:rsidP="00A96CF7">
      <w:pPr>
        <w:spacing w:line="276" w:lineRule="auto"/>
        <w:rPr>
          <w:iCs/>
          <w:color w:val="000000" w:themeColor="text1"/>
          <w:lang w:val="es-NI"/>
        </w:rPr>
      </w:pPr>
      <w:r w:rsidRPr="00447A7B">
        <w:rPr>
          <w:color w:val="000000" w:themeColor="text1"/>
        </w:rPr>
        <w:t>Appadurai, A. (2004) ‘</w:t>
      </w:r>
      <w:r w:rsidRPr="00447A7B">
        <w:rPr>
          <w:iCs/>
          <w:color w:val="000000" w:themeColor="text1"/>
        </w:rPr>
        <w:t>The capacity to aspire: culture and the terms of recognition</w:t>
      </w:r>
      <w:r w:rsidRPr="00447A7B">
        <w:rPr>
          <w:color w:val="000000" w:themeColor="text1"/>
        </w:rPr>
        <w:t xml:space="preserve">’, </w:t>
      </w:r>
      <w:r w:rsidRPr="00447A7B">
        <w:rPr>
          <w:iCs/>
          <w:color w:val="000000" w:themeColor="text1"/>
        </w:rPr>
        <w:t>in Rao, V. And Walton M. (ed.)</w:t>
      </w:r>
      <w:r w:rsidRPr="00447A7B">
        <w:rPr>
          <w:i/>
          <w:iCs/>
          <w:color w:val="000000" w:themeColor="text1"/>
        </w:rPr>
        <w:t xml:space="preserve"> Culture and public action. </w:t>
      </w:r>
      <w:r w:rsidRPr="00447A7B">
        <w:rPr>
          <w:iCs/>
          <w:color w:val="000000" w:themeColor="text1"/>
          <w:lang w:val="es-NI"/>
        </w:rPr>
        <w:t>Stanford: Stanford University Press, pp.59-84.</w:t>
      </w:r>
    </w:p>
    <w:p w14:paraId="41373022" w14:textId="77777777" w:rsidR="00A96CF7" w:rsidRPr="00447A7B" w:rsidRDefault="00A96CF7" w:rsidP="00A96CF7">
      <w:pPr>
        <w:spacing w:line="276" w:lineRule="auto"/>
        <w:rPr>
          <w:iCs/>
          <w:color w:val="000000" w:themeColor="text1"/>
          <w:lang w:val="es-NI"/>
        </w:rPr>
      </w:pPr>
    </w:p>
    <w:p w14:paraId="7D3E5DC4" w14:textId="77777777" w:rsidR="00A96CF7" w:rsidRPr="00447A7B" w:rsidRDefault="00A96CF7" w:rsidP="00A96CF7">
      <w:pPr>
        <w:spacing w:line="276" w:lineRule="auto"/>
        <w:rPr>
          <w:color w:val="000000" w:themeColor="text1"/>
          <w:lang w:val="en-US"/>
        </w:rPr>
      </w:pPr>
      <w:r w:rsidRPr="00447A7B">
        <w:rPr>
          <w:color w:val="000000" w:themeColor="text1"/>
          <w:lang w:val="es-NI"/>
        </w:rPr>
        <w:t xml:space="preserve">Asamblea Nacional de Nicaragua (2007) </w:t>
      </w:r>
      <w:r w:rsidRPr="00447A7B">
        <w:rPr>
          <w:i/>
          <w:color w:val="000000" w:themeColor="text1"/>
          <w:lang w:val="es-NI"/>
        </w:rPr>
        <w:t>Ley de salario mínimo</w:t>
      </w:r>
      <w:r w:rsidRPr="00447A7B">
        <w:rPr>
          <w:color w:val="000000" w:themeColor="text1"/>
          <w:lang w:val="es-NI"/>
        </w:rPr>
        <w:t xml:space="preserve">. </w:t>
      </w:r>
      <w:r w:rsidRPr="00447A7B">
        <w:rPr>
          <w:color w:val="000000" w:themeColor="text1"/>
          <w:lang w:val="en-US"/>
        </w:rPr>
        <w:t>[Online]. Available from:</w:t>
      </w:r>
    </w:p>
    <w:p w14:paraId="5CA02B1A" w14:textId="77777777" w:rsidR="00A96CF7" w:rsidRPr="00447A7B" w:rsidRDefault="0082537D" w:rsidP="00A96CF7">
      <w:pPr>
        <w:spacing w:line="276" w:lineRule="auto"/>
        <w:rPr>
          <w:color w:val="000000" w:themeColor="text1"/>
        </w:rPr>
      </w:pPr>
      <w:hyperlink r:id="rId28" w:history="1">
        <w:r w:rsidR="00A96CF7" w:rsidRPr="00447A7B">
          <w:rPr>
            <w:rStyle w:val="Hyperlink"/>
            <w:rFonts w:eastAsiaTheme="majorEastAsia"/>
            <w:color w:val="000000" w:themeColor="text1"/>
            <w:u w:val="none"/>
          </w:rPr>
          <w:t>http://legislacion.asamblea.gob.ni/Normaweb.nsf/($All)/D4A4AB6A3935BB7906257331005B6D2C?OpenDocument</w:t>
        </w:r>
      </w:hyperlink>
      <w:r w:rsidR="00A96CF7" w:rsidRPr="00447A7B">
        <w:rPr>
          <w:color w:val="000000" w:themeColor="text1"/>
        </w:rPr>
        <w:t xml:space="preserve"> [Accessed 4th August 2017]. </w:t>
      </w:r>
    </w:p>
    <w:p w14:paraId="07A26AE0" w14:textId="77777777" w:rsidR="00A96CF7" w:rsidRPr="00447A7B" w:rsidRDefault="00A96CF7" w:rsidP="00A96CF7">
      <w:pPr>
        <w:spacing w:line="276" w:lineRule="auto"/>
        <w:rPr>
          <w:color w:val="000000" w:themeColor="text1"/>
        </w:rPr>
      </w:pPr>
    </w:p>
    <w:p w14:paraId="7CEAD276" w14:textId="77777777" w:rsidR="00A96CF7" w:rsidRPr="00147E8C" w:rsidRDefault="00A96CF7" w:rsidP="00A96CF7">
      <w:pPr>
        <w:spacing w:line="276" w:lineRule="auto"/>
        <w:rPr>
          <w:color w:val="000000" w:themeColor="text1"/>
        </w:rPr>
      </w:pPr>
      <w:r w:rsidRPr="00147E8C">
        <w:rPr>
          <w:color w:val="000000" w:themeColor="text1"/>
        </w:rPr>
        <w:t xml:space="preserve">Babb, F. (1996). ‘After the Revolution: neoliberal policy and gender in Nicaragua’, </w:t>
      </w:r>
      <w:r w:rsidRPr="00147E8C">
        <w:rPr>
          <w:i/>
          <w:color w:val="000000" w:themeColor="text1"/>
        </w:rPr>
        <w:t>LatinAmerican Perspectives</w:t>
      </w:r>
      <w:r w:rsidRPr="00147E8C">
        <w:rPr>
          <w:color w:val="000000" w:themeColor="text1"/>
        </w:rPr>
        <w:t>, 23 (1), Women in Latin America, Part 2 (winter), pp.27-48.</w:t>
      </w:r>
    </w:p>
    <w:p w14:paraId="5798F6D2" w14:textId="77777777" w:rsidR="00A96CF7" w:rsidRPr="00147E8C" w:rsidRDefault="00A96CF7" w:rsidP="00A96CF7">
      <w:pPr>
        <w:spacing w:line="276" w:lineRule="auto"/>
        <w:rPr>
          <w:color w:val="000000" w:themeColor="text1"/>
        </w:rPr>
      </w:pPr>
    </w:p>
    <w:p w14:paraId="2241BD2B" w14:textId="77777777" w:rsidR="00A96CF7" w:rsidRPr="00147E8C" w:rsidRDefault="00A96CF7" w:rsidP="00A96CF7">
      <w:pPr>
        <w:spacing w:line="276" w:lineRule="auto"/>
        <w:rPr>
          <w:color w:val="000000" w:themeColor="text1"/>
        </w:rPr>
      </w:pPr>
      <w:r w:rsidRPr="00147E8C">
        <w:rPr>
          <w:color w:val="000000" w:themeColor="text1"/>
          <w:lang w:val="en-US"/>
        </w:rPr>
        <w:t xml:space="preserve">Babb, F. (2001) </w:t>
      </w:r>
      <w:r w:rsidRPr="00147E8C">
        <w:rPr>
          <w:i/>
          <w:iCs/>
          <w:color w:val="000000" w:themeColor="text1"/>
          <w:lang w:val="en-US"/>
        </w:rPr>
        <w:t>A</w:t>
      </w:r>
      <w:r w:rsidRPr="00147E8C">
        <w:rPr>
          <w:i/>
          <w:iCs/>
          <w:color w:val="000000" w:themeColor="text1"/>
        </w:rPr>
        <w:t>fter revolution: mapping gender and cultural politics in neoliberal Nicaragua</w:t>
      </w:r>
      <w:r w:rsidRPr="00147E8C">
        <w:rPr>
          <w:color w:val="000000" w:themeColor="text1"/>
        </w:rPr>
        <w:t xml:space="preserve">. Austin: University of Texas Press. </w:t>
      </w:r>
    </w:p>
    <w:p w14:paraId="4F02DD28" w14:textId="77777777" w:rsidR="00A96CF7" w:rsidRPr="00147E8C" w:rsidRDefault="00A96CF7" w:rsidP="00A96CF7">
      <w:pPr>
        <w:spacing w:line="276" w:lineRule="auto"/>
        <w:rPr>
          <w:color w:val="000000" w:themeColor="text1"/>
        </w:rPr>
      </w:pPr>
    </w:p>
    <w:p w14:paraId="3BEB2CC3" w14:textId="77777777" w:rsidR="00A96CF7" w:rsidRPr="00147E8C" w:rsidRDefault="00A96CF7" w:rsidP="00A96CF7">
      <w:pPr>
        <w:spacing w:line="276" w:lineRule="auto"/>
        <w:rPr>
          <w:color w:val="000000" w:themeColor="text1"/>
        </w:rPr>
      </w:pPr>
      <w:r w:rsidRPr="00147E8C">
        <w:rPr>
          <w:color w:val="000000" w:themeColor="text1"/>
        </w:rPr>
        <w:t xml:space="preserve">Babb, F. (2003) ‘Out in Nicaragua: local and transnational desires after the revolution’, </w:t>
      </w:r>
      <w:r w:rsidRPr="00147E8C">
        <w:rPr>
          <w:i/>
          <w:color w:val="000000" w:themeColor="text1"/>
        </w:rPr>
        <w:t>Cultural Anthropology</w:t>
      </w:r>
      <w:r w:rsidRPr="00147E8C">
        <w:rPr>
          <w:color w:val="000000" w:themeColor="text1"/>
        </w:rPr>
        <w:t>, 18 (3), pp. 304-328.</w:t>
      </w:r>
    </w:p>
    <w:p w14:paraId="4820F787" w14:textId="77777777" w:rsidR="00A96CF7" w:rsidRPr="00147E8C" w:rsidRDefault="00A96CF7" w:rsidP="00A96CF7">
      <w:pPr>
        <w:spacing w:line="276" w:lineRule="auto"/>
        <w:rPr>
          <w:color w:val="000000" w:themeColor="text1"/>
        </w:rPr>
      </w:pPr>
    </w:p>
    <w:p w14:paraId="33C4C2D8" w14:textId="77777777" w:rsidR="00A96CF7" w:rsidRPr="00147E8C" w:rsidRDefault="00A96CF7" w:rsidP="00A96CF7">
      <w:pPr>
        <w:spacing w:line="276" w:lineRule="auto"/>
        <w:rPr>
          <w:color w:val="000000" w:themeColor="text1"/>
        </w:rPr>
      </w:pPr>
      <w:r w:rsidRPr="00147E8C">
        <w:rPr>
          <w:color w:val="000000" w:themeColor="text1"/>
        </w:rPr>
        <w:t xml:space="preserve">Babb, F. (2006) </w:t>
      </w:r>
      <w:r w:rsidRPr="00147E8C">
        <w:rPr>
          <w:i/>
          <w:color w:val="000000" w:themeColor="text1"/>
        </w:rPr>
        <w:t>‘Resisting the feminist threat: antifeminist politics in Post-Sandinista Nicaragua’</w:t>
      </w:r>
      <w:r w:rsidRPr="00147E8C">
        <w:rPr>
          <w:color w:val="000000" w:themeColor="text1"/>
        </w:rPr>
        <w:t xml:space="preserve">, </w:t>
      </w:r>
      <w:r w:rsidRPr="00147E8C">
        <w:rPr>
          <w:i/>
          <w:color w:val="000000" w:themeColor="text1"/>
        </w:rPr>
        <w:t>NWSN journal</w:t>
      </w:r>
      <w:r w:rsidRPr="00147E8C">
        <w:rPr>
          <w:color w:val="000000" w:themeColor="text1"/>
        </w:rPr>
        <w:t xml:space="preserve">, 18 (2), pp. 73-100. </w:t>
      </w:r>
    </w:p>
    <w:p w14:paraId="1E73B947" w14:textId="77777777" w:rsidR="00A96CF7" w:rsidRPr="00147E8C" w:rsidRDefault="00A96CF7" w:rsidP="00A96CF7">
      <w:pPr>
        <w:spacing w:line="276" w:lineRule="auto"/>
        <w:rPr>
          <w:color w:val="000000" w:themeColor="text1"/>
        </w:rPr>
      </w:pPr>
    </w:p>
    <w:p w14:paraId="5897A658" w14:textId="77777777" w:rsidR="00A96CF7" w:rsidRPr="00147E8C" w:rsidRDefault="00A96CF7" w:rsidP="00A96CF7">
      <w:pPr>
        <w:spacing w:line="276" w:lineRule="auto"/>
        <w:rPr>
          <w:color w:val="000000" w:themeColor="text1"/>
        </w:rPr>
      </w:pPr>
      <w:r w:rsidRPr="00147E8C">
        <w:rPr>
          <w:color w:val="000000" w:themeColor="text1"/>
        </w:rPr>
        <w:t xml:space="preserve">Bacon, C. (2005) ‘Confronting the coffee crisis: can Fair Trade, organic and specialty coffees reduce small-scale farmer vulnerability in Northern Nicaragua?’, </w:t>
      </w:r>
      <w:r w:rsidRPr="00147E8C">
        <w:rPr>
          <w:i/>
          <w:iCs/>
          <w:color w:val="000000" w:themeColor="text1"/>
        </w:rPr>
        <w:t>World Development</w:t>
      </w:r>
      <w:r w:rsidRPr="00147E8C">
        <w:rPr>
          <w:iCs/>
          <w:color w:val="000000" w:themeColor="text1"/>
        </w:rPr>
        <w:t xml:space="preserve">, </w:t>
      </w:r>
      <w:r w:rsidRPr="00147E8C">
        <w:rPr>
          <w:color w:val="000000" w:themeColor="text1"/>
        </w:rPr>
        <w:t>33 (3), pp. 497–511.</w:t>
      </w:r>
    </w:p>
    <w:p w14:paraId="4CD557BB" w14:textId="77777777" w:rsidR="00A96CF7" w:rsidRPr="00147E8C" w:rsidRDefault="00A96CF7" w:rsidP="00A96CF7">
      <w:pPr>
        <w:spacing w:line="276" w:lineRule="auto"/>
        <w:rPr>
          <w:color w:val="000000" w:themeColor="text1"/>
        </w:rPr>
      </w:pPr>
    </w:p>
    <w:p w14:paraId="2F939200"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Bacon, C. (2010) ‘A spot of coffee in crisis: Nicaraguan smallholder cooperatives, Fair Trade networks and gendered empowerment processes’, </w:t>
      </w:r>
      <w:r w:rsidRPr="00147E8C">
        <w:rPr>
          <w:i/>
          <w:iCs/>
          <w:color w:val="000000" w:themeColor="text1"/>
        </w:rPr>
        <w:t>Latin American Perspectives</w:t>
      </w:r>
      <w:r w:rsidRPr="00147E8C">
        <w:rPr>
          <w:color w:val="000000" w:themeColor="text1"/>
        </w:rPr>
        <w:t>, 37 (2), pp.50-71.</w:t>
      </w:r>
    </w:p>
    <w:p w14:paraId="4B54E783" w14:textId="77777777" w:rsidR="00A96CF7" w:rsidRPr="00147E8C" w:rsidRDefault="00A96CF7" w:rsidP="00A96CF7">
      <w:pPr>
        <w:spacing w:line="276" w:lineRule="auto"/>
        <w:rPr>
          <w:color w:val="000000" w:themeColor="text1"/>
        </w:rPr>
      </w:pPr>
    </w:p>
    <w:p w14:paraId="13425A72" w14:textId="77777777" w:rsidR="00A96CF7" w:rsidRPr="00147E8C" w:rsidRDefault="00A96CF7" w:rsidP="00A96CF7">
      <w:pPr>
        <w:spacing w:line="276" w:lineRule="auto"/>
        <w:rPr>
          <w:color w:val="000000" w:themeColor="text1"/>
        </w:rPr>
      </w:pPr>
      <w:r w:rsidRPr="00147E8C">
        <w:rPr>
          <w:color w:val="000000" w:themeColor="text1"/>
        </w:rPr>
        <w:t xml:space="preserve">Bacon, C. (2013a) ‘Contested agrifood governance: Nicaraguan smallholder cooperatives navigate the split in fair trade and start the struggle for food sovereignty’, </w:t>
      </w:r>
      <w:r w:rsidRPr="00147E8C">
        <w:rPr>
          <w:i/>
          <w:color w:val="000000" w:themeColor="text1"/>
        </w:rPr>
        <w:t>Food Sovereignty: A Critical Dialogue International Conference</w:t>
      </w:r>
      <w:r w:rsidRPr="00147E8C">
        <w:rPr>
          <w:color w:val="000000" w:themeColor="text1"/>
        </w:rPr>
        <w:t>. Yale University. September 14-15. Conference Paper, 80.</w:t>
      </w:r>
    </w:p>
    <w:p w14:paraId="73947052" w14:textId="77777777" w:rsidR="00A96CF7" w:rsidRPr="00147E8C" w:rsidRDefault="00A96CF7" w:rsidP="00A96CF7">
      <w:pPr>
        <w:spacing w:line="276" w:lineRule="auto"/>
        <w:rPr>
          <w:color w:val="000000" w:themeColor="text1"/>
        </w:rPr>
      </w:pPr>
    </w:p>
    <w:p w14:paraId="20A600BD" w14:textId="77777777" w:rsidR="00A96CF7" w:rsidRPr="00147E8C" w:rsidRDefault="00A96CF7" w:rsidP="00A96CF7">
      <w:pPr>
        <w:spacing w:line="276" w:lineRule="auto"/>
        <w:rPr>
          <w:color w:val="000000" w:themeColor="text1"/>
        </w:rPr>
      </w:pPr>
      <w:r w:rsidRPr="00147E8C">
        <w:rPr>
          <w:color w:val="000000" w:themeColor="text1"/>
        </w:rPr>
        <w:t>Bacon, C. (2013b) ‘</w:t>
      </w:r>
      <w:r w:rsidRPr="00147E8C">
        <w:rPr>
          <w:bCs/>
          <w:color w:val="000000" w:themeColor="text1"/>
        </w:rPr>
        <w:t xml:space="preserve">Quality revolutions, solidarity networks, and sustainability innovations: following Fair Trade coffee from Nicaragua to California’, </w:t>
      </w:r>
      <w:r w:rsidRPr="00147E8C">
        <w:rPr>
          <w:bCs/>
          <w:i/>
          <w:color w:val="000000" w:themeColor="text1"/>
        </w:rPr>
        <w:t>Journal of Political Economy</w:t>
      </w:r>
      <w:r w:rsidRPr="00147E8C">
        <w:rPr>
          <w:bCs/>
          <w:color w:val="000000" w:themeColor="text1"/>
        </w:rPr>
        <w:t>, 20 (2013), pp.98-115.</w:t>
      </w:r>
    </w:p>
    <w:p w14:paraId="1B770B62" w14:textId="77777777" w:rsidR="00A96CF7" w:rsidRPr="00147E8C" w:rsidRDefault="00A96CF7" w:rsidP="00A96CF7">
      <w:pPr>
        <w:spacing w:line="276" w:lineRule="auto"/>
        <w:rPr>
          <w:color w:val="000000" w:themeColor="text1"/>
        </w:rPr>
      </w:pPr>
    </w:p>
    <w:p w14:paraId="40FC7556" w14:textId="77777777" w:rsidR="00A96CF7" w:rsidRPr="00147E8C" w:rsidRDefault="00A96CF7" w:rsidP="00A96CF7">
      <w:pPr>
        <w:spacing w:line="276" w:lineRule="auto"/>
        <w:rPr>
          <w:color w:val="000000" w:themeColor="text1"/>
        </w:rPr>
      </w:pPr>
      <w:r w:rsidRPr="00147E8C">
        <w:rPr>
          <w:color w:val="000000" w:themeColor="text1"/>
        </w:rPr>
        <w:t>Bacon, C., Sundstrom, W., Flores, M., Méndez, E., Santos, R., Goldoftas, B. and Dougherty, I. (2014) ‘Explaining the ‘hungry farmer paradox’: smallholders and Fair Trade cooperatives navigate seasonality and change in Nicaragua's corn and coffee markets’, </w:t>
      </w:r>
      <w:r w:rsidRPr="00147E8C">
        <w:rPr>
          <w:i/>
          <w:iCs/>
          <w:color w:val="000000" w:themeColor="text1"/>
        </w:rPr>
        <w:t>Global Environmental Change</w:t>
      </w:r>
      <w:r w:rsidRPr="00147E8C">
        <w:rPr>
          <w:color w:val="000000" w:themeColor="text1"/>
        </w:rPr>
        <w:t>, 25 (2014), pp.133-149.</w:t>
      </w:r>
    </w:p>
    <w:p w14:paraId="302E29B4" w14:textId="77777777" w:rsidR="00A96CF7" w:rsidRPr="00147E8C" w:rsidRDefault="00A96CF7" w:rsidP="00A96CF7">
      <w:pPr>
        <w:spacing w:line="276" w:lineRule="auto"/>
        <w:rPr>
          <w:color w:val="000000" w:themeColor="text1"/>
        </w:rPr>
      </w:pPr>
    </w:p>
    <w:p w14:paraId="7602A079" w14:textId="77777777" w:rsidR="00A96CF7" w:rsidRPr="00447A7B" w:rsidRDefault="00A96CF7" w:rsidP="00A96CF7">
      <w:pPr>
        <w:spacing w:line="276" w:lineRule="auto"/>
        <w:rPr>
          <w:color w:val="000000" w:themeColor="text1"/>
        </w:rPr>
      </w:pPr>
      <w:r w:rsidRPr="00147E8C">
        <w:rPr>
          <w:color w:val="000000" w:themeColor="text1"/>
        </w:rPr>
        <w:t xml:space="preserve">Bailey, R. (2016) ‘Resistance and resilience, politized art and anti-feminicide activisms in Ciuidad Juarez and abroad’ [Online], </w:t>
      </w:r>
      <w:r w:rsidRPr="00147E8C">
        <w:rPr>
          <w:i/>
          <w:color w:val="000000" w:themeColor="text1"/>
        </w:rPr>
        <w:t>The Yale Historical Review</w:t>
      </w:r>
      <w:r w:rsidRPr="00147E8C">
        <w:rPr>
          <w:color w:val="000000" w:themeColor="text1"/>
        </w:rPr>
        <w:t>.  Available from</w:t>
      </w:r>
      <w:r w:rsidRPr="00447A7B">
        <w:rPr>
          <w:color w:val="000000" w:themeColor="text1"/>
        </w:rPr>
        <w:t xml:space="preserve">: </w:t>
      </w:r>
      <w:r w:rsidRPr="00447A7B">
        <w:rPr>
          <w:rStyle w:val="Hyperlink"/>
          <w:rFonts w:eastAsiaTheme="majorEastAsia"/>
          <w:color w:val="000000" w:themeColor="text1"/>
          <w:u w:val="none"/>
        </w:rPr>
        <w:t>http://historicalreview.yale.edu/sites/default/files/files/Patterson.pdf</w:t>
      </w:r>
      <w:r w:rsidRPr="00447A7B">
        <w:rPr>
          <w:color w:val="000000" w:themeColor="text1"/>
        </w:rPr>
        <w:t xml:space="preserve"> [Accessed 25 March 2017]. </w:t>
      </w:r>
    </w:p>
    <w:p w14:paraId="5DD34A1A" w14:textId="77777777" w:rsidR="00A96CF7" w:rsidRPr="00447A7B" w:rsidRDefault="00A96CF7" w:rsidP="00A96CF7">
      <w:pPr>
        <w:spacing w:line="276" w:lineRule="auto"/>
        <w:rPr>
          <w:color w:val="000000" w:themeColor="text1"/>
        </w:rPr>
      </w:pPr>
    </w:p>
    <w:p w14:paraId="0DCEA2F0" w14:textId="77777777" w:rsidR="00A96CF7" w:rsidRPr="00447A7B" w:rsidRDefault="00A96CF7" w:rsidP="00A96CF7">
      <w:pPr>
        <w:spacing w:line="276" w:lineRule="auto"/>
        <w:rPr>
          <w:color w:val="000000" w:themeColor="text1"/>
          <w:lang w:val="en-US"/>
        </w:rPr>
      </w:pPr>
      <w:r w:rsidRPr="00447A7B">
        <w:rPr>
          <w:color w:val="000000" w:themeColor="text1"/>
          <w:lang w:val="en-US"/>
        </w:rPr>
        <w:t xml:space="preserve">Bakker, I. (2007) </w:t>
      </w:r>
      <w:r w:rsidRPr="00447A7B">
        <w:rPr>
          <w:color w:val="000000" w:themeColor="text1"/>
        </w:rPr>
        <w:t>‘</w:t>
      </w:r>
      <w:r w:rsidRPr="00447A7B">
        <w:rPr>
          <w:color w:val="000000" w:themeColor="text1"/>
          <w:lang w:val="en-US"/>
        </w:rPr>
        <w:t>Social reproduction and the constitution of a gendered political economy</w:t>
      </w:r>
      <w:r w:rsidRPr="00447A7B">
        <w:rPr>
          <w:color w:val="000000" w:themeColor="text1"/>
        </w:rPr>
        <w:t>’</w:t>
      </w:r>
      <w:r w:rsidRPr="00447A7B">
        <w:rPr>
          <w:color w:val="000000" w:themeColor="text1"/>
          <w:lang w:val="en-US"/>
        </w:rPr>
        <w:t xml:space="preserve">, </w:t>
      </w:r>
      <w:r w:rsidRPr="00447A7B">
        <w:rPr>
          <w:i/>
          <w:color w:val="000000" w:themeColor="text1"/>
          <w:lang w:val="en-US"/>
        </w:rPr>
        <w:t>New Political Economy</w:t>
      </w:r>
      <w:r w:rsidRPr="00447A7B">
        <w:rPr>
          <w:color w:val="000000" w:themeColor="text1"/>
          <w:lang w:val="en-US"/>
        </w:rPr>
        <w:t>, 12 (4), pp. 541–56.</w:t>
      </w:r>
    </w:p>
    <w:p w14:paraId="4B4D7C59" w14:textId="77777777" w:rsidR="00A96CF7" w:rsidRPr="00447A7B" w:rsidRDefault="00A96CF7" w:rsidP="00A96CF7">
      <w:pPr>
        <w:spacing w:line="276" w:lineRule="auto"/>
        <w:rPr>
          <w:color w:val="000000" w:themeColor="text1"/>
        </w:rPr>
      </w:pPr>
    </w:p>
    <w:p w14:paraId="76A82DC8" w14:textId="77777777" w:rsidR="00A96CF7" w:rsidRPr="00447A7B" w:rsidRDefault="00A96CF7" w:rsidP="00A96CF7">
      <w:pPr>
        <w:spacing w:line="276" w:lineRule="auto"/>
        <w:rPr>
          <w:color w:val="000000" w:themeColor="text1"/>
        </w:rPr>
      </w:pPr>
      <w:r w:rsidRPr="00447A7B">
        <w:rPr>
          <w:color w:val="000000" w:themeColor="text1"/>
        </w:rPr>
        <w:t xml:space="preserve">Ball Cooper, L. and Fletcher, E. (2012) </w:t>
      </w:r>
      <w:r w:rsidRPr="00447A7B">
        <w:rPr>
          <w:i/>
          <w:iCs/>
          <w:color w:val="000000" w:themeColor="text1"/>
        </w:rPr>
        <w:t>Reducing societal discrimination against adolescent girls using social norms to promote behaviour change</w:t>
      </w:r>
      <w:r w:rsidRPr="00447A7B">
        <w:rPr>
          <w:color w:val="000000" w:themeColor="text1"/>
        </w:rPr>
        <w:t>. London: Girl Hub.</w:t>
      </w:r>
    </w:p>
    <w:p w14:paraId="2CF14E7D" w14:textId="77777777" w:rsidR="00A96CF7" w:rsidRPr="00447A7B" w:rsidRDefault="00A96CF7" w:rsidP="00A96CF7">
      <w:pPr>
        <w:spacing w:line="276" w:lineRule="auto"/>
        <w:rPr>
          <w:color w:val="000000" w:themeColor="text1"/>
        </w:rPr>
      </w:pPr>
    </w:p>
    <w:p w14:paraId="405CDC90" w14:textId="77777777" w:rsidR="00A96CF7" w:rsidRPr="00447A7B" w:rsidRDefault="00A96CF7" w:rsidP="00A96CF7">
      <w:pPr>
        <w:spacing w:line="276" w:lineRule="auto"/>
        <w:rPr>
          <w:color w:val="000000" w:themeColor="text1"/>
        </w:rPr>
      </w:pPr>
      <w:r w:rsidRPr="00447A7B">
        <w:rPr>
          <w:color w:val="000000" w:themeColor="text1"/>
        </w:rPr>
        <w:t xml:space="preserve">Barrientos, S., Dolan C. and Tallontire, A. (2003) ‘A gendered value chain approach to codes of conduct in African horticulture’, </w:t>
      </w:r>
      <w:r w:rsidRPr="00447A7B">
        <w:rPr>
          <w:i/>
          <w:iCs/>
          <w:color w:val="000000" w:themeColor="text1"/>
        </w:rPr>
        <w:t>World Development</w:t>
      </w:r>
      <w:r w:rsidRPr="00447A7B">
        <w:rPr>
          <w:color w:val="000000" w:themeColor="text1"/>
        </w:rPr>
        <w:t>, 31, pp.1511-1526. </w:t>
      </w:r>
    </w:p>
    <w:p w14:paraId="45866145" w14:textId="77777777" w:rsidR="00A96CF7" w:rsidRPr="00447A7B" w:rsidRDefault="00A96CF7" w:rsidP="00A96CF7">
      <w:pPr>
        <w:spacing w:line="276" w:lineRule="auto"/>
        <w:rPr>
          <w:color w:val="000000" w:themeColor="text1"/>
        </w:rPr>
      </w:pPr>
    </w:p>
    <w:p w14:paraId="4F4E6F8E" w14:textId="77777777" w:rsidR="00A96CF7" w:rsidRPr="00447A7B" w:rsidRDefault="00A96CF7" w:rsidP="00A96CF7">
      <w:pPr>
        <w:spacing w:line="276" w:lineRule="auto"/>
        <w:rPr>
          <w:color w:val="000000" w:themeColor="text1"/>
        </w:rPr>
      </w:pPr>
      <w:r w:rsidRPr="00447A7B">
        <w:rPr>
          <w:color w:val="000000" w:themeColor="text1"/>
        </w:rPr>
        <w:t>Batliwala, S. (1993) </w:t>
      </w:r>
      <w:r w:rsidRPr="00447A7B">
        <w:rPr>
          <w:i/>
          <w:iCs/>
          <w:color w:val="000000" w:themeColor="text1"/>
        </w:rPr>
        <w:t>Women’s empowerment in South Asia: concepts and practices.</w:t>
      </w:r>
      <w:r w:rsidRPr="00447A7B">
        <w:rPr>
          <w:color w:val="000000" w:themeColor="text1"/>
        </w:rPr>
        <w:t> New Delhi: ASPBAE/FAO.</w:t>
      </w:r>
    </w:p>
    <w:p w14:paraId="0F1A6C1C" w14:textId="77777777" w:rsidR="00A96CF7" w:rsidRPr="00447A7B" w:rsidRDefault="00A96CF7" w:rsidP="00A96CF7">
      <w:pPr>
        <w:spacing w:line="276" w:lineRule="auto"/>
        <w:rPr>
          <w:color w:val="000000" w:themeColor="text1"/>
        </w:rPr>
      </w:pPr>
    </w:p>
    <w:p w14:paraId="03B239A1" w14:textId="77777777" w:rsidR="00A96CF7" w:rsidRPr="00447A7B" w:rsidRDefault="00A96CF7" w:rsidP="00A96CF7">
      <w:pPr>
        <w:spacing w:line="276" w:lineRule="auto"/>
        <w:rPr>
          <w:color w:val="000000" w:themeColor="text1"/>
        </w:rPr>
      </w:pPr>
      <w:r w:rsidRPr="00447A7B">
        <w:rPr>
          <w:color w:val="000000" w:themeColor="text1"/>
        </w:rPr>
        <w:t xml:space="preserve">Batliwala, S. (2007) ‘Taking the power out of empowerment – an experiential account’, </w:t>
      </w:r>
      <w:r w:rsidRPr="00447A7B">
        <w:rPr>
          <w:i/>
          <w:color w:val="000000" w:themeColor="text1"/>
        </w:rPr>
        <w:t>Development</w:t>
      </w:r>
      <w:r w:rsidRPr="00447A7B">
        <w:rPr>
          <w:i/>
          <w:iCs/>
          <w:color w:val="000000" w:themeColor="text1"/>
        </w:rPr>
        <w:t xml:space="preserve"> in Practice</w:t>
      </w:r>
      <w:r w:rsidRPr="00447A7B">
        <w:rPr>
          <w:color w:val="000000" w:themeColor="text1"/>
        </w:rPr>
        <w:t>, 17 (4-5), pp.557-565.</w:t>
      </w:r>
    </w:p>
    <w:p w14:paraId="67598597" w14:textId="77777777" w:rsidR="00A96CF7" w:rsidRPr="00447A7B" w:rsidRDefault="00A96CF7" w:rsidP="00A96CF7">
      <w:pPr>
        <w:spacing w:line="276" w:lineRule="auto"/>
        <w:rPr>
          <w:color w:val="000000" w:themeColor="text1"/>
        </w:rPr>
      </w:pPr>
    </w:p>
    <w:p w14:paraId="7066E338" w14:textId="09C87B6A" w:rsidR="00A96CF7" w:rsidRPr="00447A7B" w:rsidRDefault="00A96CF7" w:rsidP="00A96CF7">
      <w:pPr>
        <w:spacing w:line="276" w:lineRule="auto"/>
        <w:rPr>
          <w:color w:val="000000" w:themeColor="text1"/>
          <w:lang w:val="en-US"/>
        </w:rPr>
      </w:pPr>
      <w:r w:rsidRPr="00447A7B">
        <w:rPr>
          <w:color w:val="000000" w:themeColor="text1"/>
          <w:lang w:val="es-NI"/>
        </w:rPr>
        <w:t xml:space="preserve">Baumeister, E. (1989) ‘El </w:t>
      </w:r>
      <w:r w:rsidRPr="00447A7B">
        <w:rPr>
          <w:color w:val="000000" w:themeColor="text1"/>
          <w:lang w:val="es-ES"/>
        </w:rPr>
        <w:t xml:space="preserve">problema agrario y los sujetos del desarrollo Nicaragüense’,  </w:t>
      </w:r>
      <w:r w:rsidRPr="00447A7B">
        <w:rPr>
          <w:i/>
          <w:color w:val="000000" w:themeColor="text1"/>
          <w:lang w:val="es-ES"/>
        </w:rPr>
        <w:t>Debate Agrario [Online]</w:t>
      </w:r>
      <w:r w:rsidRPr="00447A7B">
        <w:rPr>
          <w:color w:val="000000" w:themeColor="text1"/>
          <w:lang w:val="es-ES"/>
        </w:rPr>
        <w:t xml:space="preserve">, </w:t>
      </w:r>
      <w:r w:rsidRPr="00447A7B">
        <w:rPr>
          <w:color w:val="000000" w:themeColor="text1"/>
          <w:lang w:val="es-NI"/>
        </w:rPr>
        <w:t xml:space="preserve">4, pp. 95-113. </w:t>
      </w:r>
      <w:r w:rsidRPr="00447A7B">
        <w:rPr>
          <w:color w:val="000000" w:themeColor="text1"/>
          <w:lang w:val="en-US"/>
        </w:rPr>
        <w:t xml:space="preserve">Available from: </w:t>
      </w:r>
      <w:r w:rsidRPr="00447A7B">
        <w:rPr>
          <w:rStyle w:val="Hyperlink"/>
          <w:rFonts w:eastAsiaTheme="majorEastAsia"/>
          <w:color w:val="000000" w:themeColor="text1"/>
          <w:u w:val="none"/>
        </w:rPr>
        <w:t>http://www.cepes.org.pe/debate/debate004/05_articulo.pdf</w:t>
      </w:r>
      <w:r w:rsidR="00447A7B">
        <w:rPr>
          <w:color w:val="000000" w:themeColor="text1"/>
        </w:rPr>
        <w:t xml:space="preserve"> </w:t>
      </w:r>
      <w:r w:rsidRPr="00447A7B">
        <w:rPr>
          <w:color w:val="000000" w:themeColor="text1"/>
        </w:rPr>
        <w:t>[Accessed 7 February 2017].</w:t>
      </w:r>
    </w:p>
    <w:p w14:paraId="3627D4BA" w14:textId="77777777" w:rsidR="00A96CF7" w:rsidRPr="00147E8C" w:rsidRDefault="00A96CF7" w:rsidP="00A96CF7">
      <w:pPr>
        <w:spacing w:line="276" w:lineRule="auto"/>
        <w:rPr>
          <w:color w:val="000000" w:themeColor="text1"/>
        </w:rPr>
      </w:pPr>
    </w:p>
    <w:p w14:paraId="3118C74D"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Bayard de Volo L (2001) </w:t>
      </w:r>
      <w:r w:rsidRPr="00147E8C">
        <w:rPr>
          <w:i/>
          <w:iCs/>
          <w:color w:val="000000" w:themeColor="text1"/>
        </w:rPr>
        <w:t>Mothers of Heroes and Martyrs: Gender Identity Politics in Nicaragua, 1979–1999</w:t>
      </w:r>
      <w:r w:rsidRPr="00147E8C">
        <w:rPr>
          <w:color w:val="000000" w:themeColor="text1"/>
        </w:rPr>
        <w:t>. Baltimore, MD: The Johns Hopkins University Press.</w:t>
      </w:r>
    </w:p>
    <w:p w14:paraId="1EA2A5BF" w14:textId="77777777" w:rsidR="00A96CF7" w:rsidRPr="00147E8C" w:rsidRDefault="00A96CF7" w:rsidP="00A96CF7">
      <w:pPr>
        <w:spacing w:line="276" w:lineRule="auto"/>
        <w:rPr>
          <w:color w:val="000000" w:themeColor="text1"/>
          <w:lang w:val="en-US"/>
        </w:rPr>
      </w:pPr>
    </w:p>
    <w:p w14:paraId="60BD62E2" w14:textId="77777777" w:rsidR="00A96CF7" w:rsidRPr="00147E8C" w:rsidRDefault="00A96CF7" w:rsidP="00A96CF7">
      <w:pPr>
        <w:spacing w:line="276" w:lineRule="auto"/>
        <w:rPr>
          <w:color w:val="000000" w:themeColor="text1"/>
        </w:rPr>
      </w:pPr>
      <w:r w:rsidRPr="00147E8C">
        <w:rPr>
          <w:color w:val="000000" w:themeColor="text1"/>
        </w:rPr>
        <w:t xml:space="preserve">BEAM (2017) </w:t>
      </w:r>
      <w:r w:rsidRPr="00147E8C">
        <w:rPr>
          <w:i/>
          <w:color w:val="000000" w:themeColor="text1"/>
        </w:rPr>
        <w:t>Glossary: Market systems</w:t>
      </w:r>
      <w:r w:rsidRPr="00147E8C">
        <w:rPr>
          <w:color w:val="000000" w:themeColor="text1"/>
        </w:rPr>
        <w:t xml:space="preserve">. [Online] Available from: </w:t>
      </w:r>
      <w:r w:rsidRPr="004A20C9">
        <w:rPr>
          <w:rStyle w:val="Hyperlink"/>
          <w:rFonts w:eastAsiaTheme="majorEastAsia"/>
          <w:color w:val="000000" w:themeColor="text1"/>
          <w:u w:val="none"/>
        </w:rPr>
        <w:t>https://beamexchange.org/market-systems/glossary/</w:t>
      </w:r>
      <w:r w:rsidRPr="00147E8C">
        <w:rPr>
          <w:color w:val="000000" w:themeColor="text1"/>
        </w:rPr>
        <w:t xml:space="preserve"> [Accessed: 14th June 2017]. </w:t>
      </w:r>
    </w:p>
    <w:p w14:paraId="5C87516A" w14:textId="77777777" w:rsidR="00A96CF7" w:rsidRPr="00147E8C" w:rsidRDefault="00A96CF7" w:rsidP="00A96CF7">
      <w:pPr>
        <w:spacing w:line="276" w:lineRule="auto"/>
        <w:rPr>
          <w:color w:val="000000" w:themeColor="text1"/>
        </w:rPr>
      </w:pPr>
    </w:p>
    <w:p w14:paraId="4E4B3D21" w14:textId="77777777" w:rsidR="00A96CF7" w:rsidRPr="00147E8C" w:rsidRDefault="00A96CF7" w:rsidP="00A96CF7">
      <w:pPr>
        <w:spacing w:line="276" w:lineRule="auto"/>
        <w:rPr>
          <w:color w:val="000000" w:themeColor="text1"/>
        </w:rPr>
      </w:pPr>
      <w:r w:rsidRPr="00147E8C">
        <w:rPr>
          <w:color w:val="000000" w:themeColor="text1"/>
        </w:rPr>
        <w:t xml:space="preserve">Bedford, K. (2008) ‘Holding it together in a crisis: family strengthening and embedding neoliberalism’, </w:t>
      </w:r>
      <w:r w:rsidRPr="00147E8C">
        <w:rPr>
          <w:i/>
          <w:color w:val="000000" w:themeColor="text1"/>
        </w:rPr>
        <w:t>IDS Bulletin</w:t>
      </w:r>
      <w:r w:rsidRPr="00147E8C">
        <w:rPr>
          <w:color w:val="000000" w:themeColor="text1"/>
        </w:rPr>
        <w:t xml:space="preserve">, 39, pp. 60–66. </w:t>
      </w:r>
    </w:p>
    <w:p w14:paraId="3774EADD" w14:textId="77777777" w:rsidR="00A96CF7" w:rsidRPr="00147E8C" w:rsidRDefault="00A96CF7" w:rsidP="00A96CF7">
      <w:pPr>
        <w:spacing w:line="276" w:lineRule="auto"/>
        <w:rPr>
          <w:color w:val="000000" w:themeColor="text1"/>
          <w:lang w:val="en-US"/>
        </w:rPr>
      </w:pPr>
    </w:p>
    <w:p w14:paraId="1B62EBE4"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Belsky, J. (1980). </w:t>
      </w:r>
      <w:r w:rsidRPr="00147E8C">
        <w:rPr>
          <w:i/>
          <w:color w:val="000000" w:themeColor="text1"/>
          <w:lang w:val="en-US"/>
        </w:rPr>
        <w:t>Child maltreatment: An ecological integration.</w:t>
      </w:r>
      <w:r w:rsidRPr="00147E8C">
        <w:rPr>
          <w:color w:val="000000" w:themeColor="text1"/>
          <w:lang w:val="en-US"/>
        </w:rPr>
        <w:t xml:space="preserve"> American Psychologist, 35(4), pp. 320-335.</w:t>
      </w:r>
    </w:p>
    <w:p w14:paraId="3D0047DF" w14:textId="77777777" w:rsidR="00A96CF7" w:rsidRPr="00147E8C" w:rsidRDefault="00A96CF7" w:rsidP="00A96CF7">
      <w:pPr>
        <w:spacing w:line="276" w:lineRule="auto"/>
        <w:rPr>
          <w:color w:val="000000" w:themeColor="text1"/>
          <w:lang w:val="en-US"/>
        </w:rPr>
      </w:pPr>
    </w:p>
    <w:p w14:paraId="4ED1F8C6" w14:textId="77777777" w:rsidR="00A96CF7" w:rsidRPr="00147E8C" w:rsidRDefault="00A96CF7" w:rsidP="00A96CF7">
      <w:pPr>
        <w:spacing w:line="276" w:lineRule="auto"/>
        <w:rPr>
          <w:color w:val="000000" w:themeColor="text1"/>
        </w:rPr>
      </w:pPr>
      <w:r w:rsidRPr="00147E8C">
        <w:rPr>
          <w:color w:val="000000" w:themeColor="text1"/>
        </w:rPr>
        <w:t xml:space="preserve">Berg, B. (2004) </w:t>
      </w:r>
      <w:r w:rsidRPr="00147E8C">
        <w:rPr>
          <w:i/>
          <w:iCs/>
          <w:color w:val="000000" w:themeColor="text1"/>
        </w:rPr>
        <w:t xml:space="preserve">Qualitative research methods for social sciences. </w:t>
      </w:r>
      <w:r w:rsidRPr="00147E8C">
        <w:rPr>
          <w:iCs/>
          <w:color w:val="000000" w:themeColor="text1"/>
        </w:rPr>
        <w:t>5</w:t>
      </w:r>
      <w:r w:rsidRPr="00147E8C">
        <w:rPr>
          <w:iCs/>
          <w:color w:val="000000" w:themeColor="text1"/>
          <w:vertAlign w:val="superscript"/>
        </w:rPr>
        <w:t xml:space="preserve">th </w:t>
      </w:r>
      <w:r w:rsidRPr="00147E8C">
        <w:rPr>
          <w:iCs/>
          <w:color w:val="000000" w:themeColor="text1"/>
        </w:rPr>
        <w:t>edn.</w:t>
      </w:r>
      <w:r w:rsidRPr="00147E8C">
        <w:rPr>
          <w:color w:val="000000" w:themeColor="text1"/>
        </w:rPr>
        <w:t xml:space="preserve"> Boston: Pearson. </w:t>
      </w:r>
    </w:p>
    <w:p w14:paraId="684197B3" w14:textId="77777777" w:rsidR="00A96CF7" w:rsidRPr="00147E8C" w:rsidRDefault="00A96CF7" w:rsidP="00A96CF7">
      <w:pPr>
        <w:spacing w:line="276" w:lineRule="auto"/>
        <w:rPr>
          <w:color w:val="000000" w:themeColor="text1"/>
        </w:rPr>
      </w:pPr>
    </w:p>
    <w:p w14:paraId="37658AB7" w14:textId="77777777" w:rsidR="00A96CF7" w:rsidRPr="00147E8C" w:rsidRDefault="00A96CF7" w:rsidP="00A96CF7">
      <w:pPr>
        <w:spacing w:line="276" w:lineRule="auto"/>
        <w:rPr>
          <w:color w:val="000000" w:themeColor="text1"/>
        </w:rPr>
      </w:pPr>
      <w:r w:rsidRPr="00147E8C">
        <w:rPr>
          <w:color w:val="000000" w:themeColor="text1"/>
        </w:rPr>
        <w:t xml:space="preserve">Bicchieri, C. (2006) </w:t>
      </w:r>
      <w:r w:rsidRPr="00147E8C">
        <w:rPr>
          <w:i/>
          <w:iCs/>
          <w:color w:val="000000" w:themeColor="text1"/>
        </w:rPr>
        <w:t>The grammar of society: the nature and dynamics of social norms</w:t>
      </w:r>
      <w:r w:rsidRPr="00147E8C">
        <w:rPr>
          <w:color w:val="000000" w:themeColor="text1"/>
        </w:rPr>
        <w:t>. New York: Cambridge University Press.</w:t>
      </w:r>
    </w:p>
    <w:p w14:paraId="4D875C68" w14:textId="77777777" w:rsidR="00A96CF7" w:rsidRPr="00147E8C" w:rsidRDefault="00A96CF7" w:rsidP="00A96CF7">
      <w:pPr>
        <w:spacing w:line="276" w:lineRule="auto"/>
        <w:rPr>
          <w:color w:val="000000" w:themeColor="text1"/>
        </w:rPr>
      </w:pPr>
    </w:p>
    <w:p w14:paraId="5CF0D806" w14:textId="77777777" w:rsidR="00A96CF7" w:rsidRPr="00147E8C" w:rsidRDefault="00A96CF7" w:rsidP="00A96CF7">
      <w:pPr>
        <w:spacing w:line="276" w:lineRule="auto"/>
        <w:rPr>
          <w:color w:val="000000" w:themeColor="text1"/>
          <w:lang w:val="en-US"/>
        </w:rPr>
      </w:pPr>
      <w:r w:rsidRPr="00147E8C">
        <w:rPr>
          <w:color w:val="000000" w:themeColor="text1"/>
        </w:rPr>
        <w:t xml:space="preserve">Bicchieri, C. (2015) </w:t>
      </w:r>
      <w:r w:rsidRPr="00147E8C">
        <w:rPr>
          <w:i/>
          <w:iCs/>
          <w:color w:val="000000" w:themeColor="text1"/>
        </w:rPr>
        <w:t>Norms in the wild: how to diagnose measure and change social norm</w:t>
      </w:r>
      <w:r w:rsidRPr="00147E8C">
        <w:rPr>
          <w:color w:val="000000" w:themeColor="text1"/>
        </w:rPr>
        <w:t xml:space="preserve">s. [pdf] </w:t>
      </w:r>
      <w:r w:rsidRPr="00147E8C">
        <w:rPr>
          <w:color w:val="000000" w:themeColor="text1"/>
          <w:lang w:val="en-US"/>
        </w:rPr>
        <w:t xml:space="preserve">Cambridge: Cambridge University Press. Available from: http://www.sas.upenn.edu/ppe/Events/uniconf_2013/documents/NormsintheWild_Chapter1.pdf [Accessed 7th June 2017]. </w:t>
      </w:r>
    </w:p>
    <w:p w14:paraId="1E9C3AA5" w14:textId="77777777" w:rsidR="00A96CF7" w:rsidRPr="00147E8C" w:rsidRDefault="00A96CF7" w:rsidP="00A96CF7">
      <w:pPr>
        <w:spacing w:line="276" w:lineRule="auto"/>
        <w:rPr>
          <w:color w:val="000000" w:themeColor="text1"/>
        </w:rPr>
      </w:pPr>
    </w:p>
    <w:p w14:paraId="6A8284F6" w14:textId="77777777" w:rsidR="00A96CF7" w:rsidRPr="00147E8C" w:rsidRDefault="00A96CF7" w:rsidP="00A96CF7">
      <w:pPr>
        <w:spacing w:line="276" w:lineRule="auto"/>
        <w:rPr>
          <w:color w:val="000000" w:themeColor="text1"/>
        </w:rPr>
      </w:pPr>
      <w:r w:rsidRPr="00147E8C">
        <w:rPr>
          <w:color w:val="000000" w:themeColor="text1"/>
        </w:rPr>
        <w:t xml:space="preserve">Bicchieri, C. and Mercier, H. (2012) ‘Norms and beliefs: the dynamics of change’, in B. Edmonds (ed.) </w:t>
      </w:r>
      <w:r w:rsidRPr="00147E8C">
        <w:rPr>
          <w:i/>
          <w:iCs/>
          <w:color w:val="000000" w:themeColor="text1"/>
        </w:rPr>
        <w:t xml:space="preserve">The dynamic view of norms. </w:t>
      </w:r>
      <w:r w:rsidRPr="00147E8C">
        <w:rPr>
          <w:color w:val="000000" w:themeColor="text1"/>
        </w:rPr>
        <w:t xml:space="preserve">Cambridge: Cambridge University Press. </w:t>
      </w:r>
    </w:p>
    <w:p w14:paraId="2C33B3F9" w14:textId="77777777" w:rsidR="00A96CF7" w:rsidRPr="00147E8C" w:rsidRDefault="00A96CF7" w:rsidP="00A96CF7">
      <w:pPr>
        <w:spacing w:line="276" w:lineRule="auto"/>
        <w:rPr>
          <w:color w:val="000000" w:themeColor="text1"/>
        </w:rPr>
      </w:pPr>
    </w:p>
    <w:p w14:paraId="568C32CB" w14:textId="77777777" w:rsidR="00A96CF7" w:rsidRPr="00147E8C" w:rsidRDefault="00A96CF7" w:rsidP="00A96CF7">
      <w:pPr>
        <w:spacing w:line="276" w:lineRule="auto"/>
        <w:rPr>
          <w:color w:val="000000" w:themeColor="text1"/>
        </w:rPr>
      </w:pPr>
      <w:r w:rsidRPr="00147E8C">
        <w:rPr>
          <w:color w:val="000000" w:themeColor="text1"/>
        </w:rPr>
        <w:t xml:space="preserve">Bicchieri, C. and Muldoon, R. (2011) ‘Social norms’, in: </w:t>
      </w:r>
      <w:r w:rsidRPr="00147E8C">
        <w:rPr>
          <w:i/>
          <w:color w:val="000000" w:themeColor="text1"/>
        </w:rPr>
        <w:t xml:space="preserve"> </w:t>
      </w:r>
      <w:r w:rsidRPr="00147E8C">
        <w:rPr>
          <w:color w:val="000000" w:themeColor="text1"/>
        </w:rPr>
        <w:t>Zalta, E. (ed)</w:t>
      </w:r>
      <w:r w:rsidRPr="00147E8C">
        <w:rPr>
          <w:i/>
          <w:color w:val="000000" w:themeColor="text1"/>
        </w:rPr>
        <w:t xml:space="preserve"> The Stanford Encyclopedia of Philosophy</w:t>
      </w:r>
      <w:r w:rsidRPr="00147E8C">
        <w:rPr>
          <w:color w:val="000000" w:themeColor="text1"/>
        </w:rPr>
        <w:t xml:space="preserve">. [ebook] Stanford: Metaphysics Research Lab, Stanford University. Available from: https://plato.stanford.edu/archives/spr2014/entries/social-norms/ [Accessed: 24th August 2017]. </w:t>
      </w:r>
    </w:p>
    <w:p w14:paraId="5B857FB1" w14:textId="77777777" w:rsidR="00A96CF7" w:rsidRPr="00B23C22" w:rsidRDefault="00A96CF7" w:rsidP="00A96CF7">
      <w:pPr>
        <w:pStyle w:val="NormalWeb"/>
        <w:spacing w:line="276" w:lineRule="auto"/>
        <w:rPr>
          <w:color w:val="000000" w:themeColor="text1"/>
          <w:lang w:val="en-US"/>
        </w:rPr>
      </w:pPr>
      <w:r w:rsidRPr="00B23C22">
        <w:rPr>
          <w:color w:val="000000" w:themeColor="text1"/>
        </w:rPr>
        <w:t xml:space="preserve">Bill and Melinda Gates (2016) </w:t>
      </w:r>
      <w:r w:rsidRPr="00B23C22">
        <w:rPr>
          <w:i/>
          <w:color w:val="000000" w:themeColor="text1"/>
        </w:rPr>
        <w:t>2016 Open letter</w:t>
      </w:r>
      <w:r w:rsidRPr="00B23C22">
        <w:rPr>
          <w:color w:val="000000" w:themeColor="text1"/>
        </w:rPr>
        <w:t>, ‘</w:t>
      </w:r>
      <w:r w:rsidRPr="00B23C22">
        <w:rPr>
          <w:i/>
          <w:color w:val="000000" w:themeColor="text1"/>
        </w:rPr>
        <w:t>If you could have one superpower, what would it be</w:t>
      </w:r>
      <w:r w:rsidRPr="00B23C22">
        <w:rPr>
          <w:color w:val="000000" w:themeColor="text1"/>
        </w:rPr>
        <w:t xml:space="preserve">?’ [Online] February 22, 2017. Available from: </w:t>
      </w:r>
      <w:hyperlink r:id="rId29" w:history="1">
        <w:r w:rsidRPr="00B23C22">
          <w:rPr>
            <w:rStyle w:val="Hyperlink"/>
            <w:color w:val="000000" w:themeColor="text1"/>
            <w:u w:val="none"/>
          </w:rPr>
          <w:t>https://www.gatesnotes.com/2016-Annual-Letter?WT.mc_id=02_22_2016_20_AL2016_MED-media_&amp;WT.tsrc=MEDmedia</w:t>
        </w:r>
      </w:hyperlink>
      <w:r w:rsidRPr="00B23C22">
        <w:rPr>
          <w:rStyle w:val="Hyperlink"/>
          <w:color w:val="000000" w:themeColor="text1"/>
          <w:u w:val="none"/>
        </w:rPr>
        <w:t>. [</w:t>
      </w:r>
      <w:r w:rsidRPr="00B23C22">
        <w:rPr>
          <w:color w:val="000000" w:themeColor="text1"/>
          <w:lang w:val="en-US"/>
        </w:rPr>
        <w:t>Accessed: 3</w:t>
      </w:r>
      <w:r w:rsidRPr="00B23C22">
        <w:rPr>
          <w:color w:val="000000" w:themeColor="text1"/>
          <w:vertAlign w:val="superscript"/>
          <w:lang w:val="en-US"/>
        </w:rPr>
        <w:t>rd</w:t>
      </w:r>
      <w:r w:rsidRPr="00B23C22">
        <w:rPr>
          <w:color w:val="000000" w:themeColor="text1"/>
          <w:lang w:val="en-US"/>
        </w:rPr>
        <w:t xml:space="preserve"> May 2017].</w:t>
      </w:r>
    </w:p>
    <w:p w14:paraId="2B80A35C" w14:textId="77777777" w:rsidR="00A96CF7" w:rsidRPr="00147E8C" w:rsidRDefault="00A96CF7" w:rsidP="00A96CF7">
      <w:pPr>
        <w:pStyle w:val="NormalWeb"/>
        <w:spacing w:line="276" w:lineRule="auto"/>
        <w:rPr>
          <w:color w:val="000000" w:themeColor="text1"/>
          <w:lang w:val="es-NI"/>
        </w:rPr>
      </w:pPr>
      <w:r w:rsidRPr="00147E8C">
        <w:rPr>
          <w:color w:val="000000" w:themeColor="text1"/>
          <w:lang w:val="en-US"/>
        </w:rPr>
        <w:t xml:space="preserve">Bishop D., and K. Bowman. 2014. “Still learning: a critical reflection on three years of measuring women’s empowerment in Oxfam.” </w:t>
      </w:r>
      <w:r w:rsidRPr="00147E8C">
        <w:rPr>
          <w:color w:val="000000" w:themeColor="text1"/>
          <w:lang w:val="es-NI"/>
        </w:rPr>
        <w:t>Gender and Development 22(2): 253–69.</w:t>
      </w:r>
    </w:p>
    <w:p w14:paraId="0107D625" w14:textId="77777777" w:rsidR="00A96CF7" w:rsidRPr="00147E8C" w:rsidRDefault="00A96CF7" w:rsidP="00A96CF7">
      <w:pPr>
        <w:pStyle w:val="NormalWeb"/>
        <w:spacing w:line="276" w:lineRule="auto"/>
        <w:rPr>
          <w:color w:val="000000" w:themeColor="text1"/>
        </w:rPr>
      </w:pPr>
      <w:r w:rsidRPr="00147E8C">
        <w:rPr>
          <w:color w:val="000000" w:themeColor="text1"/>
          <w:lang w:val="es-NI"/>
        </w:rPr>
        <w:lastRenderedPageBreak/>
        <w:t xml:space="preserve">Blijdenstein, J, H. Nusselder &amp; P. Rosales (2002), </w:t>
      </w:r>
      <w:r w:rsidRPr="00147E8C">
        <w:rPr>
          <w:i/>
          <w:color w:val="000000" w:themeColor="text1"/>
          <w:lang w:val="es-NI"/>
        </w:rPr>
        <w:t>Nuevas Políticas sobre las Microfinanzas: Coordinación para su viabilidad en Nicaragua.</w:t>
      </w:r>
      <w:r w:rsidRPr="00147E8C">
        <w:rPr>
          <w:color w:val="000000" w:themeColor="text1"/>
          <w:lang w:val="es-NI"/>
        </w:rPr>
        <w:t xml:space="preserve"> Informe CDR-ULA y Faceta Central para la Embajada Real de los Países Bajos. </w:t>
      </w:r>
      <w:r w:rsidRPr="00147E8C">
        <w:rPr>
          <w:color w:val="000000" w:themeColor="text1"/>
        </w:rPr>
        <w:t>Managua, Nicaragua.</w:t>
      </w:r>
    </w:p>
    <w:p w14:paraId="24AEF520" w14:textId="77777777" w:rsidR="00A96CF7" w:rsidRPr="00147E8C" w:rsidRDefault="00A96CF7" w:rsidP="00A96CF7">
      <w:pPr>
        <w:spacing w:line="276" w:lineRule="auto"/>
        <w:rPr>
          <w:color w:val="000000" w:themeColor="text1"/>
        </w:rPr>
      </w:pPr>
      <w:r w:rsidRPr="00147E8C">
        <w:rPr>
          <w:color w:val="000000" w:themeColor="text1"/>
        </w:rPr>
        <w:t xml:space="preserve">Blunt, A. (2003) ‘Home and identity: life stories in text and in person’, in Blunt, A., Gruffudd, P., May J., Ogborn, M. And Pinder, D. (eds.) </w:t>
      </w:r>
      <w:r w:rsidRPr="00147E8C">
        <w:rPr>
          <w:i/>
          <w:color w:val="000000" w:themeColor="text1"/>
        </w:rPr>
        <w:t xml:space="preserve">Cultural geography in practice. </w:t>
      </w:r>
      <w:r w:rsidRPr="00147E8C">
        <w:rPr>
          <w:color w:val="000000" w:themeColor="text1"/>
        </w:rPr>
        <w:t>London:</w:t>
      </w:r>
      <w:r w:rsidRPr="00147E8C">
        <w:rPr>
          <w:i/>
          <w:color w:val="000000" w:themeColor="text1"/>
        </w:rPr>
        <w:t xml:space="preserve"> </w:t>
      </w:r>
      <w:r w:rsidRPr="00147E8C">
        <w:rPr>
          <w:color w:val="000000" w:themeColor="text1"/>
        </w:rPr>
        <w:t>Arnold, pp. 71- 87.</w:t>
      </w:r>
    </w:p>
    <w:p w14:paraId="66FEA27E" w14:textId="77777777" w:rsidR="00A96CF7" w:rsidRPr="00147E8C" w:rsidRDefault="00A96CF7" w:rsidP="00A96CF7">
      <w:pPr>
        <w:spacing w:line="276" w:lineRule="auto"/>
        <w:rPr>
          <w:color w:val="000000" w:themeColor="text1"/>
        </w:rPr>
      </w:pPr>
    </w:p>
    <w:p w14:paraId="51ACA742" w14:textId="77777777" w:rsidR="00A96CF7" w:rsidRPr="00147E8C" w:rsidRDefault="00A96CF7" w:rsidP="00A96CF7">
      <w:pPr>
        <w:spacing w:line="276" w:lineRule="auto"/>
        <w:rPr>
          <w:color w:val="000000" w:themeColor="text1"/>
        </w:rPr>
      </w:pPr>
      <w:r w:rsidRPr="00147E8C">
        <w:rPr>
          <w:color w:val="000000" w:themeColor="text1"/>
        </w:rPr>
        <w:t xml:space="preserve">Bloomberg, L.D., and Volpe, M. (2012) </w:t>
      </w:r>
      <w:r w:rsidRPr="00147E8C">
        <w:rPr>
          <w:i/>
          <w:iCs/>
          <w:color w:val="000000" w:themeColor="text1"/>
        </w:rPr>
        <w:t>Completing your qualitative dissertation</w:t>
      </w:r>
      <w:r w:rsidRPr="00147E8C">
        <w:rPr>
          <w:color w:val="000000" w:themeColor="text1"/>
        </w:rPr>
        <w:t>. London: Sage.</w:t>
      </w:r>
    </w:p>
    <w:p w14:paraId="67996B49" w14:textId="77777777" w:rsidR="00A96CF7" w:rsidRPr="002A62BD" w:rsidRDefault="00A96CF7" w:rsidP="00A96CF7">
      <w:pPr>
        <w:pStyle w:val="NormalWeb"/>
        <w:spacing w:line="276" w:lineRule="auto"/>
        <w:rPr>
          <w:color w:val="000000" w:themeColor="text1"/>
        </w:rPr>
      </w:pPr>
      <w:r w:rsidRPr="00147E8C">
        <w:rPr>
          <w:color w:val="000000" w:themeColor="text1"/>
        </w:rPr>
        <w:t xml:space="preserve">BSI (2017) </w:t>
      </w:r>
      <w:r w:rsidRPr="00147E8C">
        <w:rPr>
          <w:i/>
          <w:color w:val="000000" w:themeColor="text1"/>
        </w:rPr>
        <w:t>Campaigns</w:t>
      </w:r>
      <w:r w:rsidRPr="00147E8C">
        <w:rPr>
          <w:color w:val="000000" w:themeColor="text1"/>
        </w:rPr>
        <w:t xml:space="preserve">. [Online] Available from: </w:t>
      </w:r>
      <w:r w:rsidRPr="002A62BD">
        <w:rPr>
          <w:rStyle w:val="Hyperlink"/>
          <w:color w:val="000000" w:themeColor="text1"/>
          <w:u w:val="none"/>
        </w:rPr>
        <w:t>https://www.thebodyshop.com/en-gb/about-us/our-campaigns</w:t>
      </w:r>
      <w:r w:rsidRPr="002A62BD">
        <w:rPr>
          <w:color w:val="000000" w:themeColor="text1"/>
        </w:rPr>
        <w:t xml:space="preserve"> [Accessed 3th August 2017. </w:t>
      </w:r>
    </w:p>
    <w:p w14:paraId="03B5C755" w14:textId="77777777" w:rsidR="00A96CF7" w:rsidRPr="00147E8C" w:rsidRDefault="00A96CF7" w:rsidP="00A96CF7">
      <w:pPr>
        <w:spacing w:line="276" w:lineRule="auto"/>
        <w:rPr>
          <w:rStyle w:val="Hyperlink"/>
          <w:rFonts w:eastAsiaTheme="majorEastAsia"/>
          <w:color w:val="000000" w:themeColor="text1"/>
        </w:rPr>
      </w:pPr>
      <w:r w:rsidRPr="00147E8C">
        <w:rPr>
          <w:color w:val="000000" w:themeColor="text1"/>
        </w:rPr>
        <w:t xml:space="preserve">Boesten, J. (2003) ‘Poor women in Peru: reproducers of poverty and poverty relievers’, </w:t>
      </w:r>
      <w:r w:rsidRPr="00147E8C">
        <w:rPr>
          <w:i/>
          <w:iCs/>
          <w:color w:val="000000" w:themeColor="text1"/>
          <w:lang w:val="en-US"/>
        </w:rPr>
        <w:t xml:space="preserve">Women’s Studies Quarterly </w:t>
      </w:r>
      <w:r w:rsidRPr="00147E8C">
        <w:rPr>
          <w:iCs/>
          <w:color w:val="000000" w:themeColor="text1"/>
          <w:lang w:val="en-US"/>
        </w:rPr>
        <w:t>(</w:t>
      </w:r>
      <w:r w:rsidRPr="00147E8C">
        <w:rPr>
          <w:color w:val="000000" w:themeColor="text1"/>
          <w:lang w:val="en-US"/>
        </w:rPr>
        <w:t xml:space="preserve">Fall), pp. 113-28.  </w:t>
      </w:r>
    </w:p>
    <w:p w14:paraId="6FACCC5C" w14:textId="77777777" w:rsidR="00A96CF7" w:rsidRPr="00147E8C" w:rsidRDefault="00A96CF7" w:rsidP="00A96CF7">
      <w:pPr>
        <w:spacing w:line="276" w:lineRule="auto"/>
        <w:rPr>
          <w:color w:val="000000" w:themeColor="text1"/>
          <w:u w:val="single"/>
          <w:lang w:val="en-US"/>
        </w:rPr>
      </w:pPr>
    </w:p>
    <w:p w14:paraId="5328E65F"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Bolt, A. (2003) </w:t>
      </w:r>
      <w:r w:rsidRPr="00147E8C">
        <w:rPr>
          <w:i/>
          <w:color w:val="000000" w:themeColor="text1"/>
          <w:lang w:val="es-NI"/>
        </w:rPr>
        <w:t>Masculinidades y desarrollo rural: una nueva manera de satisfacer las necesidades humanas esenciales y defender la red de vida.</w:t>
      </w:r>
      <w:r w:rsidRPr="00147E8C">
        <w:rPr>
          <w:color w:val="000000" w:themeColor="text1"/>
          <w:lang w:val="es-NI"/>
        </w:rPr>
        <w:t xml:space="preserve"> </w:t>
      </w:r>
      <w:r w:rsidRPr="00147E8C">
        <w:rPr>
          <w:color w:val="000000" w:themeColor="text1"/>
          <w:lang w:val="en-US"/>
        </w:rPr>
        <w:t>Nicaragua: GAIA.</w:t>
      </w:r>
    </w:p>
    <w:p w14:paraId="631ABB94" w14:textId="77777777" w:rsidR="00A96CF7" w:rsidRPr="00147E8C" w:rsidRDefault="00A96CF7" w:rsidP="00A96CF7">
      <w:pPr>
        <w:spacing w:line="276" w:lineRule="auto"/>
        <w:rPr>
          <w:color w:val="000000" w:themeColor="text1"/>
          <w:lang w:val="en-US"/>
        </w:rPr>
      </w:pPr>
    </w:p>
    <w:p w14:paraId="139AFA47" w14:textId="77777777" w:rsidR="00A96CF7" w:rsidRPr="00147E8C" w:rsidRDefault="00A96CF7" w:rsidP="00A96CF7">
      <w:pPr>
        <w:spacing w:line="276" w:lineRule="auto"/>
        <w:rPr>
          <w:color w:val="000000" w:themeColor="text1"/>
        </w:rPr>
      </w:pPr>
      <w:r w:rsidRPr="00147E8C">
        <w:rPr>
          <w:color w:val="000000" w:themeColor="text1"/>
        </w:rPr>
        <w:t xml:space="preserve">Boudet, A., Petesch, P., Turk, C. and Thumala, A. (2012) </w:t>
      </w:r>
      <w:r w:rsidRPr="00147E8C">
        <w:rPr>
          <w:i/>
          <w:iCs/>
          <w:color w:val="000000" w:themeColor="text1"/>
        </w:rPr>
        <w:t>On norms and agency: conversations about gender equality with women and men in 20 countries.</w:t>
      </w:r>
      <w:r w:rsidRPr="00147E8C">
        <w:rPr>
          <w:color w:val="000000" w:themeColor="text1"/>
        </w:rPr>
        <w:t xml:space="preserve"> Washington DC: World Bank.</w:t>
      </w:r>
    </w:p>
    <w:p w14:paraId="3B8043A5" w14:textId="77777777" w:rsidR="00A96CF7" w:rsidRPr="00147E8C" w:rsidRDefault="00A96CF7" w:rsidP="00A96CF7">
      <w:pPr>
        <w:spacing w:line="276" w:lineRule="auto"/>
        <w:rPr>
          <w:color w:val="000000" w:themeColor="text1"/>
        </w:rPr>
      </w:pPr>
    </w:p>
    <w:p w14:paraId="42AFE037" w14:textId="77777777" w:rsidR="00A96CF7" w:rsidRPr="00147E8C" w:rsidRDefault="00A96CF7" w:rsidP="00A96CF7">
      <w:pPr>
        <w:spacing w:line="276" w:lineRule="auto"/>
        <w:rPr>
          <w:color w:val="000000" w:themeColor="text1"/>
        </w:rPr>
      </w:pPr>
      <w:r w:rsidRPr="00147E8C">
        <w:rPr>
          <w:color w:val="000000" w:themeColor="text1"/>
        </w:rPr>
        <w:t xml:space="preserve">Bourdieu, P. (1977) </w:t>
      </w:r>
      <w:r w:rsidRPr="00147E8C">
        <w:rPr>
          <w:i/>
          <w:color w:val="000000" w:themeColor="text1"/>
        </w:rPr>
        <w:t>Outline of a theory of practice</w:t>
      </w:r>
      <w:r w:rsidRPr="00147E8C">
        <w:rPr>
          <w:color w:val="000000" w:themeColor="text1"/>
        </w:rPr>
        <w:t>. Cambridge: Cambridge University Press.</w:t>
      </w:r>
    </w:p>
    <w:p w14:paraId="70397E8F" w14:textId="77777777" w:rsidR="00A96CF7" w:rsidRPr="00147E8C" w:rsidRDefault="00A96CF7" w:rsidP="00A96CF7">
      <w:pPr>
        <w:pStyle w:val="NormalWeb"/>
        <w:spacing w:before="280" w:beforeAutospacing="0" w:after="280" w:afterAutospacing="0" w:line="276" w:lineRule="auto"/>
        <w:rPr>
          <w:color w:val="000000" w:themeColor="text1"/>
        </w:rPr>
      </w:pPr>
      <w:r w:rsidRPr="00147E8C">
        <w:rPr>
          <w:color w:val="000000" w:themeColor="text1"/>
        </w:rPr>
        <w:t xml:space="preserve">Bott S, Guedes A, Goodwin M, Mendoza JA (2012) </w:t>
      </w:r>
      <w:r w:rsidRPr="00147E8C">
        <w:rPr>
          <w:i/>
          <w:color w:val="000000" w:themeColor="text1"/>
        </w:rPr>
        <w:t xml:space="preserve">Violence Against Women in Latin America and the Caribbean: A comparative analysis of population-based data from </w:t>
      </w:r>
      <w:r w:rsidRPr="002A62BD">
        <w:rPr>
          <w:i/>
          <w:color w:val="000000" w:themeColor="text1"/>
        </w:rPr>
        <w:t xml:space="preserve">12 countries. Washington, DC: Pan American Health Organization. </w:t>
      </w:r>
      <w:r w:rsidRPr="002A62BD">
        <w:rPr>
          <w:color w:val="000000" w:themeColor="text1"/>
        </w:rPr>
        <w:t xml:space="preserve">Available from: </w:t>
      </w:r>
      <w:r w:rsidRPr="002A62BD">
        <w:rPr>
          <w:rStyle w:val="Hyperlink"/>
          <w:color w:val="000000" w:themeColor="text1"/>
          <w:u w:val="none"/>
        </w:rPr>
        <w:t>http://apps.who.int/iris/bitstream/handle/10665/173293/Violence%20Against%20Women.pdf?sequence=1&amp;isAllowed=y</w:t>
      </w:r>
      <w:r w:rsidRPr="002A62BD">
        <w:rPr>
          <w:color w:val="000000" w:themeColor="text1"/>
        </w:rPr>
        <w:t xml:space="preserve"> [Accessed</w:t>
      </w:r>
      <w:r w:rsidRPr="00147E8C">
        <w:rPr>
          <w:color w:val="000000" w:themeColor="text1"/>
        </w:rPr>
        <w:t xml:space="preserve"> 29th March 2018].</w:t>
      </w:r>
    </w:p>
    <w:p w14:paraId="68B93952"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Bradshaw, S. (2006) ‘Is the rights focus the right focus? Nicaraguan responses to the rights agenda’, </w:t>
      </w:r>
      <w:r w:rsidRPr="00147E8C">
        <w:rPr>
          <w:i/>
          <w:iCs/>
          <w:color w:val="000000" w:themeColor="text1"/>
        </w:rPr>
        <w:t>Third World Quarterly</w:t>
      </w:r>
      <w:r w:rsidRPr="00147E8C">
        <w:rPr>
          <w:color w:val="000000" w:themeColor="text1"/>
        </w:rPr>
        <w:t xml:space="preserve"> 27 (7), pp. 1329–41</w:t>
      </w:r>
    </w:p>
    <w:p w14:paraId="24D8E4EB" w14:textId="77777777" w:rsidR="00A96CF7" w:rsidRPr="00147E8C" w:rsidRDefault="00A96CF7" w:rsidP="00A96CF7">
      <w:pPr>
        <w:spacing w:line="276" w:lineRule="auto"/>
        <w:rPr>
          <w:color w:val="000000" w:themeColor="text1"/>
        </w:rPr>
      </w:pPr>
      <w:r w:rsidRPr="00147E8C">
        <w:rPr>
          <w:color w:val="000000" w:themeColor="text1"/>
        </w:rPr>
        <w:t xml:space="preserve">Bradshaw, S. (2008a) ‘An unholy trinity: the church, the state, the banks and the challenges for women mobilising for change in Nicaragua’, </w:t>
      </w:r>
      <w:r w:rsidRPr="00147E8C">
        <w:rPr>
          <w:i/>
          <w:color w:val="000000" w:themeColor="text1"/>
        </w:rPr>
        <w:t>IDS Bulletin</w:t>
      </w:r>
      <w:r w:rsidRPr="00147E8C">
        <w:rPr>
          <w:color w:val="000000" w:themeColor="text1"/>
        </w:rPr>
        <w:t xml:space="preserve">, 39 (6), pp. 67–74. </w:t>
      </w:r>
    </w:p>
    <w:p w14:paraId="2FD2D4F4" w14:textId="77777777" w:rsidR="00A96CF7" w:rsidRPr="00147E8C" w:rsidRDefault="00A96CF7" w:rsidP="00A96CF7">
      <w:pPr>
        <w:spacing w:line="276" w:lineRule="auto"/>
        <w:rPr>
          <w:color w:val="000000" w:themeColor="text1"/>
        </w:rPr>
      </w:pPr>
    </w:p>
    <w:p w14:paraId="4640565A" w14:textId="77777777" w:rsidR="00A96CF7" w:rsidRPr="00147E8C" w:rsidRDefault="00A96CF7" w:rsidP="00A96CF7">
      <w:pPr>
        <w:spacing w:line="276" w:lineRule="auto"/>
        <w:rPr>
          <w:color w:val="000000" w:themeColor="text1"/>
        </w:rPr>
      </w:pPr>
      <w:r w:rsidRPr="00147E8C">
        <w:rPr>
          <w:color w:val="000000" w:themeColor="text1"/>
        </w:rPr>
        <w:t xml:space="preserve">Bradshaw, S. (2008b) ‘From structural adjustment to social adjustment: a gendered analysis of conditional cash transfer programmes in Mexico and Nicaragua’, </w:t>
      </w:r>
      <w:r w:rsidRPr="00147E8C">
        <w:rPr>
          <w:i/>
          <w:iCs/>
          <w:color w:val="000000" w:themeColor="text1"/>
        </w:rPr>
        <w:t>Global Social Policy,</w:t>
      </w:r>
      <w:r w:rsidRPr="00147E8C">
        <w:rPr>
          <w:color w:val="000000" w:themeColor="text1"/>
        </w:rPr>
        <w:t xml:space="preserve"> 8 (2), pp. 188–207.</w:t>
      </w:r>
    </w:p>
    <w:p w14:paraId="2D3DA000" w14:textId="77777777" w:rsidR="00A96CF7" w:rsidRPr="00147E8C" w:rsidRDefault="00A96CF7" w:rsidP="00A96CF7">
      <w:pPr>
        <w:pStyle w:val="NormalWeb"/>
        <w:spacing w:line="276" w:lineRule="auto"/>
        <w:rPr>
          <w:color w:val="000000" w:themeColor="text1"/>
        </w:rPr>
      </w:pPr>
      <w:r w:rsidRPr="00147E8C">
        <w:rPr>
          <w:color w:val="000000" w:themeColor="text1"/>
        </w:rPr>
        <w:lastRenderedPageBreak/>
        <w:t xml:space="preserve">Bradshaw, S.; Criquillion, A.; Castillo V.A. and Wilson, G. (2008) ‘Talking rights or what is right? Understandings and strategies around sexual, reproductive and abortion rights in Nicaragua’, in M. Mukhopadhyay and S. Meer (ed.), </w:t>
      </w:r>
      <w:r w:rsidRPr="00147E8C">
        <w:rPr>
          <w:i/>
          <w:iCs/>
          <w:color w:val="000000" w:themeColor="text1"/>
        </w:rPr>
        <w:t xml:space="preserve">Gender, rights and development. </w:t>
      </w:r>
      <w:r w:rsidRPr="00147E8C">
        <w:rPr>
          <w:color w:val="000000" w:themeColor="text1"/>
        </w:rPr>
        <w:t>Amsterdam: Royal Tropical Institute and Oxford. pp. 57–68.</w:t>
      </w:r>
    </w:p>
    <w:p w14:paraId="302FE9A8"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Bradshaw, S. and Linneker, B. (2003) ‘Challenging women’s poverty: perspectives on gender and poverty reduction strategies from Nicaragua and Honduras’. </w:t>
      </w:r>
      <w:r w:rsidRPr="00147E8C">
        <w:rPr>
          <w:i/>
          <w:iCs/>
          <w:color w:val="000000" w:themeColor="text1"/>
        </w:rPr>
        <w:t>CIIR-ICD Briefing.</w:t>
      </w:r>
      <w:r w:rsidRPr="00147E8C">
        <w:rPr>
          <w:color w:val="000000" w:themeColor="text1"/>
        </w:rPr>
        <w:t xml:space="preserve"> London: CIIR-ICD.</w:t>
      </w:r>
    </w:p>
    <w:p w14:paraId="39239AB6" w14:textId="2DB2BF95" w:rsidR="00A96CF7" w:rsidRPr="00147E8C" w:rsidRDefault="00A96CF7" w:rsidP="00A96CF7">
      <w:pPr>
        <w:spacing w:line="276" w:lineRule="auto"/>
        <w:rPr>
          <w:color w:val="000000" w:themeColor="text1"/>
        </w:rPr>
      </w:pPr>
      <w:r w:rsidRPr="00147E8C">
        <w:rPr>
          <w:color w:val="000000" w:themeColor="text1"/>
        </w:rPr>
        <w:t>Bradshaw, S. and Quirós Víquez, A. (2008) ‘Women beneficiaries or women bearing the cost? a gendered analysis of the Red de Protección Social in Nicaragua’, Development</w:t>
      </w:r>
      <w:r w:rsidRPr="00147E8C">
        <w:rPr>
          <w:i/>
          <w:iCs/>
          <w:color w:val="000000" w:themeColor="text1"/>
        </w:rPr>
        <w:t xml:space="preserve"> and </w:t>
      </w:r>
      <w:r w:rsidR="000B7042" w:rsidRPr="00147E8C">
        <w:rPr>
          <w:i/>
          <w:iCs/>
          <w:color w:val="000000" w:themeColor="text1"/>
        </w:rPr>
        <w:t>Change</w:t>
      </w:r>
      <w:r w:rsidR="000B7042" w:rsidRPr="00147E8C">
        <w:rPr>
          <w:color w:val="000000" w:themeColor="text1"/>
        </w:rPr>
        <w:t>,</w:t>
      </w:r>
      <w:r w:rsidRPr="00147E8C">
        <w:rPr>
          <w:color w:val="000000" w:themeColor="text1"/>
        </w:rPr>
        <w:t xml:space="preserve"> 39 (5), pp. 823–44.</w:t>
      </w:r>
    </w:p>
    <w:p w14:paraId="25F3194D" w14:textId="77777777" w:rsidR="00A96CF7" w:rsidRPr="00147E8C" w:rsidRDefault="00A96CF7" w:rsidP="00A96CF7">
      <w:pPr>
        <w:spacing w:line="276" w:lineRule="auto"/>
        <w:rPr>
          <w:color w:val="000000" w:themeColor="text1"/>
        </w:rPr>
      </w:pPr>
    </w:p>
    <w:p w14:paraId="7A1E6900" w14:textId="77777777" w:rsidR="00A96CF7" w:rsidRPr="00147E8C" w:rsidRDefault="00A96CF7" w:rsidP="00A96CF7">
      <w:pPr>
        <w:spacing w:line="276" w:lineRule="auto"/>
        <w:rPr>
          <w:color w:val="000000" w:themeColor="text1"/>
        </w:rPr>
      </w:pPr>
      <w:r w:rsidRPr="00147E8C">
        <w:rPr>
          <w:color w:val="000000" w:themeColor="text1"/>
        </w:rPr>
        <w:t xml:space="preserve">Brandt Broegaard, R. (2013) </w:t>
      </w:r>
      <w:r w:rsidRPr="00147E8C">
        <w:rPr>
          <w:i/>
          <w:color w:val="000000" w:themeColor="text1"/>
        </w:rPr>
        <w:t>Land administration, gender equality and development cooperation: strengthening women’s rights to and control over land in Nicaragua</w:t>
      </w:r>
      <w:r w:rsidRPr="00147E8C">
        <w:rPr>
          <w:color w:val="000000" w:themeColor="text1"/>
        </w:rPr>
        <w:t xml:space="preserve">. DIIS Working Paper No.30. </w:t>
      </w:r>
      <w:r w:rsidRPr="00147E8C">
        <w:rPr>
          <w:color w:val="000000" w:themeColor="text1"/>
          <w:shd w:val="clear" w:color="auto" w:fill="FFFFFF"/>
        </w:rPr>
        <w:t xml:space="preserve">Copenhagen: DIIS, Danish Institute for International Studies. </w:t>
      </w:r>
    </w:p>
    <w:p w14:paraId="7BAF1085" w14:textId="77777777" w:rsidR="00A96CF7" w:rsidRPr="00147E8C" w:rsidRDefault="00A96CF7" w:rsidP="00A96CF7">
      <w:pPr>
        <w:spacing w:line="276" w:lineRule="auto"/>
        <w:rPr>
          <w:color w:val="000000" w:themeColor="text1"/>
        </w:rPr>
      </w:pPr>
    </w:p>
    <w:p w14:paraId="0619B156" w14:textId="77777777" w:rsidR="00A96CF7" w:rsidRPr="00147E8C" w:rsidRDefault="00A96CF7" w:rsidP="00A96CF7">
      <w:pPr>
        <w:spacing w:line="276" w:lineRule="auto"/>
        <w:rPr>
          <w:color w:val="000000" w:themeColor="text1"/>
        </w:rPr>
      </w:pPr>
      <w:r w:rsidRPr="00147E8C">
        <w:rPr>
          <w:color w:val="000000" w:themeColor="text1"/>
        </w:rPr>
        <w:t xml:space="preserve">Brickell, K. (2011) ‘The ‘Stubborn stain’ on development: gendered meanings of housework (non-)participation in Cambodia’, </w:t>
      </w:r>
      <w:r w:rsidRPr="00147E8C">
        <w:rPr>
          <w:i/>
          <w:iCs/>
          <w:color w:val="000000" w:themeColor="text1"/>
        </w:rPr>
        <w:t>Journal of Development Studies</w:t>
      </w:r>
      <w:r w:rsidRPr="00147E8C">
        <w:rPr>
          <w:color w:val="000000" w:themeColor="text1"/>
        </w:rPr>
        <w:t>, 47(9), pp.1353-1370.</w:t>
      </w:r>
    </w:p>
    <w:p w14:paraId="22B4DCD4" w14:textId="77777777" w:rsidR="00A96CF7" w:rsidRPr="00147E8C" w:rsidRDefault="00A96CF7" w:rsidP="00A96CF7">
      <w:pPr>
        <w:spacing w:line="276" w:lineRule="auto"/>
        <w:rPr>
          <w:color w:val="000000" w:themeColor="text1"/>
        </w:rPr>
      </w:pPr>
    </w:p>
    <w:p w14:paraId="0F88676B" w14:textId="77777777" w:rsidR="00A96CF7" w:rsidRPr="00147E8C" w:rsidRDefault="00A96CF7" w:rsidP="00A96CF7">
      <w:pPr>
        <w:spacing w:line="276" w:lineRule="auto"/>
        <w:rPr>
          <w:color w:val="000000" w:themeColor="text1"/>
        </w:rPr>
      </w:pPr>
      <w:r w:rsidRPr="00147E8C">
        <w:rPr>
          <w:color w:val="000000" w:themeColor="text1"/>
        </w:rPr>
        <w:t xml:space="preserve">Brickell, K. and Chant, S. (2010) ‘The unbearable heaviness of being’, </w:t>
      </w:r>
      <w:r w:rsidRPr="00147E8C">
        <w:rPr>
          <w:i/>
          <w:color w:val="000000" w:themeColor="text1"/>
        </w:rPr>
        <w:t>Progress</w:t>
      </w:r>
      <w:r w:rsidRPr="00147E8C">
        <w:rPr>
          <w:i/>
          <w:iCs/>
          <w:color w:val="000000" w:themeColor="text1"/>
        </w:rPr>
        <w:t xml:space="preserve"> in Development Studies</w:t>
      </w:r>
      <w:r w:rsidRPr="00147E8C">
        <w:rPr>
          <w:color w:val="000000" w:themeColor="text1"/>
        </w:rPr>
        <w:t>, 10 (2), pp.145-159.</w:t>
      </w:r>
    </w:p>
    <w:p w14:paraId="7EF42266" w14:textId="77777777" w:rsidR="00A96CF7" w:rsidRPr="00147E8C" w:rsidRDefault="00A96CF7" w:rsidP="00A96CF7">
      <w:pPr>
        <w:spacing w:line="276" w:lineRule="auto"/>
        <w:rPr>
          <w:color w:val="000000" w:themeColor="text1"/>
        </w:rPr>
      </w:pPr>
    </w:p>
    <w:p w14:paraId="76D89B89" w14:textId="77777777" w:rsidR="00A96CF7" w:rsidRPr="00147E8C" w:rsidRDefault="00A96CF7" w:rsidP="00A96CF7">
      <w:pPr>
        <w:spacing w:line="276" w:lineRule="auto"/>
        <w:rPr>
          <w:color w:val="000000" w:themeColor="text1"/>
        </w:rPr>
      </w:pPr>
      <w:r w:rsidRPr="00147E8C">
        <w:rPr>
          <w:color w:val="000000" w:themeColor="text1"/>
        </w:rPr>
        <w:t xml:space="preserve">Brown, M.B (1993) </w:t>
      </w:r>
      <w:r w:rsidRPr="00147E8C">
        <w:rPr>
          <w:i/>
          <w:color w:val="000000" w:themeColor="text1"/>
        </w:rPr>
        <w:t>Fair Trade</w:t>
      </w:r>
      <w:r w:rsidRPr="00147E8C">
        <w:rPr>
          <w:color w:val="000000" w:themeColor="text1"/>
        </w:rPr>
        <w:t>. London: Zed Press.</w:t>
      </w:r>
    </w:p>
    <w:p w14:paraId="6ED3D9F7" w14:textId="77777777" w:rsidR="00A96CF7" w:rsidRPr="00147E8C" w:rsidRDefault="00A96CF7" w:rsidP="00A96CF7">
      <w:pPr>
        <w:spacing w:line="276" w:lineRule="auto"/>
        <w:rPr>
          <w:color w:val="000000" w:themeColor="text1"/>
        </w:rPr>
      </w:pPr>
    </w:p>
    <w:p w14:paraId="505DDB08" w14:textId="528EA3EB" w:rsidR="00A96CF7" w:rsidRPr="00147E8C" w:rsidRDefault="00A96CF7" w:rsidP="00A96CF7">
      <w:pPr>
        <w:spacing w:line="276" w:lineRule="auto"/>
        <w:rPr>
          <w:color w:val="000000" w:themeColor="text1"/>
        </w:rPr>
      </w:pPr>
      <w:r w:rsidRPr="00147E8C">
        <w:rPr>
          <w:color w:val="000000" w:themeColor="text1"/>
        </w:rPr>
        <w:t xml:space="preserve">Budlender, D. (2007) ‘A critical review of selected time use surveys’, </w:t>
      </w:r>
      <w:r w:rsidR="000B7042">
        <w:rPr>
          <w:i/>
          <w:color w:val="000000" w:themeColor="text1"/>
        </w:rPr>
        <w:t xml:space="preserve">UNRISD Gender and </w:t>
      </w:r>
      <w:r w:rsidRPr="00147E8C">
        <w:rPr>
          <w:i/>
          <w:color w:val="000000" w:themeColor="text1"/>
        </w:rPr>
        <w:t>Development Programme Paper No 2</w:t>
      </w:r>
      <w:r w:rsidRPr="00147E8C">
        <w:rPr>
          <w:color w:val="000000" w:themeColor="text1"/>
        </w:rPr>
        <w:t>. Geneva: United Nations Research Institute for Social Development (UNRISD).</w:t>
      </w:r>
    </w:p>
    <w:p w14:paraId="3BA896F3" w14:textId="77777777" w:rsidR="00A96CF7" w:rsidRPr="00147E8C" w:rsidRDefault="00A96CF7" w:rsidP="00A96CF7">
      <w:pPr>
        <w:spacing w:line="276" w:lineRule="auto"/>
        <w:rPr>
          <w:color w:val="000000" w:themeColor="text1"/>
        </w:rPr>
      </w:pPr>
    </w:p>
    <w:p w14:paraId="4DB3C856" w14:textId="77777777" w:rsidR="00A96CF7" w:rsidRPr="00147E8C" w:rsidRDefault="00A96CF7" w:rsidP="00A96CF7">
      <w:pPr>
        <w:spacing w:line="276" w:lineRule="auto"/>
        <w:rPr>
          <w:color w:val="000000" w:themeColor="text1"/>
        </w:rPr>
      </w:pPr>
      <w:r w:rsidRPr="00147E8C">
        <w:rPr>
          <w:color w:val="000000" w:themeColor="text1"/>
        </w:rPr>
        <w:t xml:space="preserve">Budlender, D. (2008) ‘The statistical evidence on care and non-care work across six countries’, </w:t>
      </w:r>
      <w:r w:rsidRPr="00147E8C">
        <w:rPr>
          <w:i/>
          <w:iCs/>
          <w:color w:val="000000" w:themeColor="text1"/>
        </w:rPr>
        <w:t>UNRISD: Gender Programme Paper No. 4</w:t>
      </w:r>
      <w:r w:rsidRPr="00147E8C">
        <w:rPr>
          <w:color w:val="000000" w:themeColor="text1"/>
        </w:rPr>
        <w:t xml:space="preserve">. Geneva: United Nations Research Institute for Social Development (UNRISD). </w:t>
      </w:r>
    </w:p>
    <w:p w14:paraId="05195FD7"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Budlender, D. (2010a) ‘What do time use studies tell us about unpaid care work?’, in Budlender, D. (ed.), </w:t>
      </w:r>
      <w:r w:rsidRPr="00147E8C">
        <w:rPr>
          <w:i/>
          <w:color w:val="000000" w:themeColor="text1"/>
        </w:rPr>
        <w:t xml:space="preserve">Time Use Studies and Unpaid Care Work. </w:t>
      </w:r>
      <w:r w:rsidRPr="00147E8C">
        <w:rPr>
          <w:color w:val="000000" w:themeColor="text1"/>
        </w:rPr>
        <w:t>London: Routledge. pp.1-54.</w:t>
      </w:r>
    </w:p>
    <w:p w14:paraId="397E715B" w14:textId="77777777" w:rsidR="00A96CF7" w:rsidRPr="00147E8C" w:rsidRDefault="00A96CF7" w:rsidP="00A96CF7">
      <w:pPr>
        <w:spacing w:line="276" w:lineRule="auto"/>
        <w:rPr>
          <w:color w:val="000000" w:themeColor="text1"/>
        </w:rPr>
      </w:pPr>
      <w:r w:rsidRPr="00147E8C">
        <w:rPr>
          <w:color w:val="000000" w:themeColor="text1"/>
        </w:rPr>
        <w:t xml:space="preserve">Budlender, D. (2010b) </w:t>
      </w:r>
      <w:r w:rsidRPr="00147E8C">
        <w:rPr>
          <w:i/>
          <w:iCs/>
          <w:color w:val="000000" w:themeColor="text1"/>
        </w:rPr>
        <w:t>Time Use studies and unpaid care work</w:t>
      </w:r>
      <w:r w:rsidRPr="00147E8C">
        <w:rPr>
          <w:color w:val="000000" w:themeColor="text1"/>
        </w:rPr>
        <w:t>. New York: Routledge.</w:t>
      </w:r>
    </w:p>
    <w:p w14:paraId="42CF7704" w14:textId="77777777" w:rsidR="00A96CF7" w:rsidRPr="00147E8C" w:rsidRDefault="00A96CF7" w:rsidP="00A96CF7">
      <w:pPr>
        <w:spacing w:line="276" w:lineRule="auto"/>
        <w:rPr>
          <w:color w:val="000000" w:themeColor="text1"/>
        </w:rPr>
      </w:pPr>
    </w:p>
    <w:p w14:paraId="2C15AED1" w14:textId="7137D43C" w:rsidR="00A96CF7" w:rsidRPr="00147E8C" w:rsidRDefault="00A96CF7" w:rsidP="00A96CF7">
      <w:pPr>
        <w:spacing w:line="276" w:lineRule="auto"/>
        <w:rPr>
          <w:color w:val="000000" w:themeColor="text1"/>
        </w:rPr>
      </w:pPr>
      <w:r w:rsidRPr="00147E8C">
        <w:rPr>
          <w:color w:val="000000" w:themeColor="text1"/>
        </w:rPr>
        <w:t xml:space="preserve">Budlender, D. and Moussié, R. (2012) </w:t>
      </w:r>
      <w:r w:rsidRPr="00147E8C">
        <w:rPr>
          <w:i/>
          <w:iCs/>
          <w:color w:val="000000" w:themeColor="text1"/>
        </w:rPr>
        <w:t>Making care visible: women’s unpaid care work in Nepal, Nigeria, Uganda and Kenya</w:t>
      </w:r>
      <w:r w:rsidRPr="00147E8C">
        <w:rPr>
          <w:iCs/>
          <w:color w:val="000000" w:themeColor="text1"/>
        </w:rPr>
        <w:t>. [Online]</w:t>
      </w:r>
      <w:r w:rsidRPr="00147E8C">
        <w:rPr>
          <w:i/>
          <w:iCs/>
          <w:color w:val="000000" w:themeColor="text1"/>
        </w:rPr>
        <w:t xml:space="preserve"> </w:t>
      </w:r>
      <w:r w:rsidRPr="00147E8C">
        <w:rPr>
          <w:color w:val="000000" w:themeColor="text1"/>
        </w:rPr>
        <w:t xml:space="preserve">ActionAid, pp.1-40. Available </w:t>
      </w:r>
      <w:r w:rsidRPr="00147E8C">
        <w:rPr>
          <w:color w:val="000000" w:themeColor="text1"/>
        </w:rPr>
        <w:lastRenderedPageBreak/>
        <w:t xml:space="preserve">from: </w:t>
      </w:r>
      <w:r w:rsidR="000B7042" w:rsidRPr="000B7042">
        <w:rPr>
          <w:rStyle w:val="Hyperlink"/>
          <w:rFonts w:eastAsiaTheme="majorEastAsia"/>
          <w:color w:val="000000" w:themeColor="text1"/>
          <w:u w:val="none"/>
        </w:rPr>
        <w:t>https://actionaid.ie/wp-content/uploads/2016/10/Making-Care-Visible.pdf</w:t>
      </w:r>
      <w:r w:rsidR="000B7042">
        <w:rPr>
          <w:rStyle w:val="Hyperlink"/>
          <w:rFonts w:eastAsiaTheme="majorEastAsia"/>
          <w:color w:val="000000" w:themeColor="text1"/>
          <w:u w:val="none"/>
        </w:rPr>
        <w:t xml:space="preserve"> </w:t>
      </w:r>
      <w:r w:rsidR="000B7042">
        <w:rPr>
          <w:color w:val="000000" w:themeColor="text1"/>
        </w:rPr>
        <w:t>[Accessed 30 January 2017</w:t>
      </w:r>
      <w:r w:rsidRPr="00147E8C">
        <w:rPr>
          <w:color w:val="000000" w:themeColor="text1"/>
        </w:rPr>
        <w:t>]</w:t>
      </w:r>
      <w:r w:rsidR="000B7042">
        <w:rPr>
          <w:color w:val="000000" w:themeColor="text1"/>
        </w:rPr>
        <w:t>.</w:t>
      </w:r>
    </w:p>
    <w:p w14:paraId="56E06403" w14:textId="77777777" w:rsidR="00A96CF7" w:rsidRPr="00147E8C" w:rsidRDefault="00A96CF7" w:rsidP="00A96CF7">
      <w:pPr>
        <w:spacing w:line="276" w:lineRule="auto"/>
        <w:rPr>
          <w:color w:val="000000" w:themeColor="text1"/>
        </w:rPr>
      </w:pPr>
    </w:p>
    <w:p w14:paraId="7969A9FE" w14:textId="77777777" w:rsidR="00A96CF7" w:rsidRPr="00147E8C" w:rsidRDefault="00A96CF7" w:rsidP="00A96CF7">
      <w:pPr>
        <w:spacing w:line="276" w:lineRule="auto"/>
        <w:rPr>
          <w:color w:val="000000" w:themeColor="text1"/>
        </w:rPr>
      </w:pPr>
      <w:r w:rsidRPr="00147E8C">
        <w:rPr>
          <w:color w:val="000000" w:themeColor="text1"/>
        </w:rPr>
        <w:t xml:space="preserve">Butler, F. (2013) </w:t>
      </w:r>
      <w:r w:rsidRPr="00147E8C">
        <w:rPr>
          <w:i/>
          <w:color w:val="000000" w:themeColor="text1"/>
        </w:rPr>
        <w:t>Including unpaid labour in community Fair Trade products: a case study of The Body Shop and a Nicaraguan sesame cooperative: Executive Summary</w:t>
      </w:r>
      <w:r w:rsidRPr="00147E8C">
        <w:rPr>
          <w:color w:val="000000" w:themeColor="text1"/>
        </w:rPr>
        <w:t>. London: Royal Holloway, University of London.</w:t>
      </w:r>
    </w:p>
    <w:p w14:paraId="65AB6C7B" w14:textId="77777777" w:rsidR="00A96CF7" w:rsidRPr="00147E8C" w:rsidRDefault="00A96CF7" w:rsidP="00A96CF7">
      <w:pPr>
        <w:spacing w:line="276" w:lineRule="auto"/>
        <w:rPr>
          <w:color w:val="000000" w:themeColor="text1"/>
        </w:rPr>
      </w:pPr>
    </w:p>
    <w:p w14:paraId="7C6DAA95" w14:textId="77777777" w:rsidR="00A96CF7" w:rsidRPr="00147E8C" w:rsidRDefault="00A96CF7" w:rsidP="00A96CF7">
      <w:pPr>
        <w:spacing w:line="276" w:lineRule="auto"/>
        <w:rPr>
          <w:color w:val="000000" w:themeColor="text1"/>
        </w:rPr>
      </w:pPr>
      <w:r w:rsidRPr="00147E8C">
        <w:rPr>
          <w:color w:val="000000" w:themeColor="text1"/>
        </w:rPr>
        <w:t xml:space="preserve">Butler, F. (2014) ‘Valuing unpaid labour in community Fair Trade products: a Nicaraguan case study from The Body Shop International’, </w:t>
      </w:r>
      <w:r w:rsidRPr="00147E8C">
        <w:rPr>
          <w:i/>
          <w:iCs/>
          <w:color w:val="000000" w:themeColor="text1"/>
        </w:rPr>
        <w:t>Gender &amp; Development</w:t>
      </w:r>
      <w:r w:rsidRPr="00147E8C">
        <w:rPr>
          <w:color w:val="000000" w:themeColor="text1"/>
        </w:rPr>
        <w:t xml:space="preserve">, 22 (3), pp. 533-547. </w:t>
      </w:r>
    </w:p>
    <w:p w14:paraId="163618A8" w14:textId="77777777" w:rsidR="00A96CF7" w:rsidRPr="00147E8C" w:rsidRDefault="00A96CF7" w:rsidP="00A96CF7">
      <w:pPr>
        <w:spacing w:line="276" w:lineRule="auto"/>
        <w:rPr>
          <w:color w:val="000000" w:themeColor="text1"/>
        </w:rPr>
      </w:pPr>
    </w:p>
    <w:p w14:paraId="345CA8B1" w14:textId="77777777" w:rsidR="00A96CF7" w:rsidRPr="00147E8C" w:rsidRDefault="00A96CF7" w:rsidP="00A96CF7">
      <w:pPr>
        <w:spacing w:line="276" w:lineRule="auto"/>
        <w:rPr>
          <w:color w:val="000000" w:themeColor="text1"/>
        </w:rPr>
      </w:pPr>
      <w:r w:rsidRPr="00147E8C">
        <w:rPr>
          <w:color w:val="000000" w:themeColor="text1"/>
        </w:rPr>
        <w:t xml:space="preserve">Butler, F (2015) </w:t>
      </w:r>
      <w:r w:rsidRPr="00147E8C">
        <w:rPr>
          <w:i/>
          <w:iCs/>
          <w:color w:val="000000" w:themeColor="text1"/>
        </w:rPr>
        <w:t>Women in supply chains: unpaid care work summary of the roundtable discussion.</w:t>
      </w:r>
      <w:r w:rsidRPr="00147E8C">
        <w:rPr>
          <w:iCs/>
          <w:color w:val="000000" w:themeColor="text1"/>
        </w:rPr>
        <w:t xml:space="preserve"> Unpublished report.</w:t>
      </w:r>
      <w:r w:rsidRPr="00147E8C">
        <w:rPr>
          <w:i/>
          <w:iCs/>
          <w:color w:val="000000" w:themeColor="text1"/>
        </w:rPr>
        <w:t xml:space="preserve"> </w:t>
      </w:r>
    </w:p>
    <w:p w14:paraId="61C068F6" w14:textId="77777777" w:rsidR="00A96CF7" w:rsidRPr="00147E8C" w:rsidRDefault="00A96CF7" w:rsidP="00A96CF7">
      <w:pPr>
        <w:spacing w:line="276" w:lineRule="auto"/>
        <w:rPr>
          <w:color w:val="000000" w:themeColor="text1"/>
        </w:rPr>
      </w:pPr>
    </w:p>
    <w:p w14:paraId="2D879D54" w14:textId="77777777" w:rsidR="00A96CF7" w:rsidRPr="00147E8C" w:rsidRDefault="00A96CF7" w:rsidP="00A96CF7">
      <w:pPr>
        <w:spacing w:line="276" w:lineRule="auto"/>
        <w:rPr>
          <w:color w:val="000000" w:themeColor="text1"/>
        </w:rPr>
      </w:pPr>
      <w:r w:rsidRPr="00147E8C">
        <w:rPr>
          <w:color w:val="000000" w:themeColor="text1"/>
        </w:rPr>
        <w:t xml:space="preserve">Butler, F., and Hoskyns, C. (2016) ‘Valuing unpaid labour in community Fair Trade products: A case study of the contract between The Body Shop International and a Nicaraguan sesame cooperative’, in Grosser, K, McCarthy, L. and Kilgour, M.A. (eds) </w:t>
      </w:r>
      <w:r w:rsidRPr="00147E8C">
        <w:rPr>
          <w:i/>
          <w:iCs/>
          <w:color w:val="000000" w:themeColor="text1"/>
        </w:rPr>
        <w:t>Gender equality and responsible business: expanding CSR horizons</w:t>
      </w:r>
      <w:r w:rsidRPr="00147E8C">
        <w:rPr>
          <w:color w:val="000000" w:themeColor="text1"/>
        </w:rPr>
        <w:t>. Saltaire: Greenleaf Publishing, pp.154-169.</w:t>
      </w:r>
    </w:p>
    <w:p w14:paraId="46AB71F0" w14:textId="77777777" w:rsidR="00A96CF7" w:rsidRPr="00147E8C" w:rsidRDefault="00A96CF7" w:rsidP="00A96CF7">
      <w:pPr>
        <w:spacing w:line="276" w:lineRule="auto"/>
        <w:rPr>
          <w:color w:val="000000" w:themeColor="text1"/>
        </w:rPr>
      </w:pPr>
    </w:p>
    <w:p w14:paraId="3A3ED689" w14:textId="77777777" w:rsidR="00A96CF7" w:rsidRPr="00147E8C" w:rsidRDefault="00A96CF7" w:rsidP="00A96CF7">
      <w:pPr>
        <w:spacing w:line="276" w:lineRule="auto"/>
        <w:rPr>
          <w:color w:val="000000" w:themeColor="text1"/>
        </w:rPr>
      </w:pPr>
      <w:r w:rsidRPr="00147E8C">
        <w:rPr>
          <w:color w:val="000000" w:themeColor="text1"/>
        </w:rPr>
        <w:t xml:space="preserve">Butler, J. (1988) ‘Performative acts and gender constitution: an essay in phenomenology and feminist theory’, </w:t>
      </w:r>
      <w:r w:rsidRPr="00147E8C">
        <w:rPr>
          <w:i/>
          <w:iCs/>
          <w:color w:val="000000" w:themeColor="text1"/>
        </w:rPr>
        <w:t>Theatre Journal</w:t>
      </w:r>
      <w:r w:rsidRPr="00147E8C">
        <w:rPr>
          <w:color w:val="000000" w:themeColor="text1"/>
        </w:rPr>
        <w:t>, 40 (4), p.519.</w:t>
      </w:r>
    </w:p>
    <w:p w14:paraId="17B91126" w14:textId="77777777" w:rsidR="00A96CF7" w:rsidRPr="00147E8C" w:rsidRDefault="00A96CF7" w:rsidP="00A96CF7">
      <w:pPr>
        <w:spacing w:line="276" w:lineRule="auto"/>
        <w:rPr>
          <w:color w:val="000000" w:themeColor="text1"/>
        </w:rPr>
      </w:pPr>
    </w:p>
    <w:p w14:paraId="31D3AE4E" w14:textId="375C70DF" w:rsidR="00A96CF7" w:rsidRPr="00147E8C" w:rsidRDefault="00A96CF7" w:rsidP="00A96CF7">
      <w:pPr>
        <w:spacing w:line="276" w:lineRule="auto"/>
        <w:rPr>
          <w:color w:val="000000" w:themeColor="text1"/>
        </w:rPr>
      </w:pPr>
      <w:r w:rsidRPr="00147E8C">
        <w:rPr>
          <w:color w:val="000000" w:themeColor="text1"/>
        </w:rPr>
        <w:t xml:space="preserve">Buvinic, M. and King, E.M. (2007) ‘Smart economics’, </w:t>
      </w:r>
      <w:r w:rsidRPr="00147E8C">
        <w:rPr>
          <w:i/>
          <w:color w:val="000000" w:themeColor="text1"/>
        </w:rPr>
        <w:t xml:space="preserve">Finance and Development </w:t>
      </w:r>
      <w:r w:rsidRPr="00147E8C">
        <w:rPr>
          <w:color w:val="000000" w:themeColor="text1"/>
        </w:rPr>
        <w:t>[Online</w:t>
      </w:r>
      <w:r w:rsidRPr="000B7042">
        <w:rPr>
          <w:color w:val="000000" w:themeColor="text1"/>
        </w:rPr>
        <w:t xml:space="preserve">], 44 (2), pp. 7–12. Available from: </w:t>
      </w:r>
      <w:r w:rsidRPr="000B7042">
        <w:rPr>
          <w:rStyle w:val="Hyperlink"/>
          <w:rFonts w:eastAsiaTheme="majorEastAsia"/>
          <w:color w:val="000000" w:themeColor="text1"/>
          <w:u w:val="none"/>
        </w:rPr>
        <w:t>http://www.imf.org/external/pubs/ft/fandd/2007/06/king.htm</w:t>
      </w:r>
      <w:r w:rsidRPr="00147E8C">
        <w:rPr>
          <w:color w:val="000000" w:themeColor="text1"/>
        </w:rPr>
        <w:t xml:space="preserve"> [Access</w:t>
      </w:r>
      <w:r w:rsidR="004A20C9">
        <w:rPr>
          <w:color w:val="000000" w:themeColor="text1"/>
        </w:rPr>
        <w:t>ed</w:t>
      </w:r>
      <w:r w:rsidRPr="00147E8C">
        <w:rPr>
          <w:color w:val="000000" w:themeColor="text1"/>
        </w:rPr>
        <w:t xml:space="preserve"> 22</w:t>
      </w:r>
      <w:r w:rsidR="004A20C9">
        <w:rPr>
          <w:color w:val="000000" w:themeColor="text1"/>
        </w:rPr>
        <w:t>nd</w:t>
      </w:r>
      <w:r w:rsidRPr="00147E8C">
        <w:rPr>
          <w:color w:val="000000" w:themeColor="text1"/>
        </w:rPr>
        <w:t xml:space="preserve"> April 2017]. </w:t>
      </w:r>
    </w:p>
    <w:p w14:paraId="20D2B576" w14:textId="77777777" w:rsidR="00A96CF7" w:rsidRPr="00147E8C" w:rsidRDefault="00A96CF7" w:rsidP="00A96CF7">
      <w:pPr>
        <w:spacing w:line="276" w:lineRule="auto"/>
        <w:rPr>
          <w:color w:val="000000" w:themeColor="text1"/>
        </w:rPr>
      </w:pPr>
    </w:p>
    <w:p w14:paraId="4E884283" w14:textId="77777777" w:rsidR="00A96CF7" w:rsidRPr="00147E8C" w:rsidRDefault="00A96CF7" w:rsidP="00A96CF7">
      <w:pPr>
        <w:spacing w:line="276" w:lineRule="auto"/>
        <w:rPr>
          <w:bCs/>
          <w:color w:val="000000" w:themeColor="text1"/>
        </w:rPr>
      </w:pPr>
      <w:r w:rsidRPr="00147E8C">
        <w:rPr>
          <w:color w:val="000000" w:themeColor="text1"/>
        </w:rPr>
        <w:t>Calvès, A. (2009) ‘</w:t>
      </w:r>
      <w:r w:rsidRPr="00147E8C">
        <w:rPr>
          <w:bCs/>
          <w:iCs/>
          <w:color w:val="000000" w:themeColor="text1"/>
        </w:rPr>
        <w:t>Empowerment</w:t>
      </w:r>
      <w:r w:rsidRPr="00147E8C">
        <w:rPr>
          <w:bCs/>
          <w:color w:val="000000" w:themeColor="text1"/>
        </w:rPr>
        <w:t>: the history of a key concept in contemporary development discourse’</w:t>
      </w:r>
      <w:r w:rsidRPr="00147E8C">
        <w:rPr>
          <w:color w:val="000000" w:themeColor="text1"/>
        </w:rPr>
        <w:t xml:space="preserve">, </w:t>
      </w:r>
      <w:r w:rsidRPr="00147E8C">
        <w:rPr>
          <w:i/>
          <w:color w:val="000000" w:themeColor="text1"/>
        </w:rPr>
        <w:t xml:space="preserve">Revue Tiers Monde </w:t>
      </w:r>
      <w:r w:rsidRPr="00147E8C">
        <w:rPr>
          <w:color w:val="000000" w:themeColor="text1"/>
        </w:rPr>
        <w:t>[Online],</w:t>
      </w:r>
      <w:r w:rsidRPr="00147E8C">
        <w:rPr>
          <w:i/>
          <w:color w:val="000000" w:themeColor="text1"/>
        </w:rPr>
        <w:t xml:space="preserve"> </w:t>
      </w:r>
      <w:r w:rsidRPr="00147E8C">
        <w:rPr>
          <w:color w:val="000000" w:themeColor="text1"/>
        </w:rPr>
        <w:t>200 (4),</w:t>
      </w:r>
      <w:r w:rsidRPr="00147E8C">
        <w:rPr>
          <w:i/>
          <w:color w:val="000000" w:themeColor="text1"/>
        </w:rPr>
        <w:t xml:space="preserve"> </w:t>
      </w:r>
      <w:r w:rsidRPr="00147E8C">
        <w:rPr>
          <w:color w:val="000000" w:themeColor="text1"/>
        </w:rPr>
        <w:t>pp. 735-749</w:t>
      </w:r>
      <w:r w:rsidRPr="00147E8C">
        <w:rPr>
          <w:i/>
          <w:color w:val="000000" w:themeColor="text1"/>
        </w:rPr>
        <w:t>.</w:t>
      </w:r>
      <w:r w:rsidRPr="00147E8C">
        <w:rPr>
          <w:color w:val="000000" w:themeColor="text1"/>
        </w:rPr>
        <w:t xml:space="preserve"> </w:t>
      </w:r>
      <w:r w:rsidRPr="00147E8C">
        <w:rPr>
          <w:bCs/>
          <w:color w:val="000000" w:themeColor="text1"/>
        </w:rPr>
        <w:t xml:space="preserve"> Available from: http://www.cairn-int.info/article-E_RTM_200_0735--empowerment-the-history-of-a-key-concept.htm [Accessed: 25th July 2017].</w:t>
      </w:r>
    </w:p>
    <w:p w14:paraId="5C6C82D7" w14:textId="0958720D" w:rsidR="00A96CF7" w:rsidRPr="00147E8C" w:rsidRDefault="00A96CF7" w:rsidP="00A96CF7">
      <w:pPr>
        <w:pStyle w:val="NormalWeb"/>
        <w:spacing w:line="276" w:lineRule="auto"/>
        <w:rPr>
          <w:color w:val="000000" w:themeColor="text1"/>
        </w:rPr>
      </w:pPr>
      <w:r w:rsidRPr="00147E8C">
        <w:rPr>
          <w:color w:val="000000" w:themeColor="text1"/>
        </w:rPr>
        <w:t xml:space="preserve">Cameron, J. </w:t>
      </w:r>
      <w:r w:rsidR="000B7042">
        <w:rPr>
          <w:color w:val="000000" w:themeColor="text1"/>
        </w:rPr>
        <w:t xml:space="preserve">and </w:t>
      </w:r>
      <w:r w:rsidRPr="00147E8C">
        <w:rPr>
          <w:color w:val="000000" w:themeColor="text1"/>
        </w:rPr>
        <w:t xml:space="preserve">J. K. Gibson-Graham (2003) ‘Feminising the economy: metaphors, strategies, politics’, </w:t>
      </w:r>
      <w:r w:rsidRPr="00147E8C">
        <w:rPr>
          <w:i/>
          <w:iCs/>
          <w:color w:val="000000" w:themeColor="text1"/>
        </w:rPr>
        <w:t>Gender, Place &amp; Culture</w:t>
      </w:r>
      <w:r w:rsidRPr="00147E8C">
        <w:rPr>
          <w:color w:val="000000" w:themeColor="text1"/>
        </w:rPr>
        <w:t xml:space="preserve">, 10 (2), pp.145-157. </w:t>
      </w:r>
    </w:p>
    <w:p w14:paraId="49E4577C" w14:textId="2C30254E" w:rsidR="00A96CF7" w:rsidRPr="00147E8C" w:rsidRDefault="00A96CF7" w:rsidP="00A96CF7">
      <w:pPr>
        <w:spacing w:line="276" w:lineRule="auto"/>
        <w:rPr>
          <w:color w:val="000000" w:themeColor="text1"/>
        </w:rPr>
      </w:pPr>
      <w:r w:rsidRPr="00147E8C">
        <w:rPr>
          <w:color w:val="000000" w:themeColor="text1"/>
        </w:rPr>
        <w:t xml:space="preserve">Capraro, C. and Rhodes, F. (2017) ‘Advancing feminist alternatives in the context of neoliberalism: Reflections from advocating on unpaid care and domestic work’, </w:t>
      </w:r>
      <w:hyperlink r:id="rId30" w:history="1">
        <w:r w:rsidRPr="000B7042">
          <w:rPr>
            <w:rStyle w:val="Hyperlink"/>
            <w:rFonts w:eastAsiaTheme="majorEastAsia"/>
            <w:i/>
            <w:color w:val="000000" w:themeColor="text1"/>
            <w:u w:val="none"/>
          </w:rPr>
          <w:t>Think</w:t>
        </w:r>
        <w:r w:rsidRPr="000B7042">
          <w:rPr>
            <w:rStyle w:val="Hyperlink"/>
            <w:rFonts w:eastAsiaTheme="majorEastAsia"/>
            <w:color w:val="000000" w:themeColor="text1"/>
            <w:u w:val="none"/>
          </w:rPr>
          <w:t xml:space="preserve"> </w:t>
        </w:r>
        <w:r w:rsidRPr="000B7042">
          <w:rPr>
            <w:rStyle w:val="Hyperlink"/>
            <w:rFonts w:eastAsiaTheme="majorEastAsia"/>
            <w:i/>
            <w:color w:val="000000" w:themeColor="text1"/>
            <w:u w:val="none"/>
          </w:rPr>
          <w:t xml:space="preserve">pieces </w:t>
        </w:r>
        <w:r w:rsidRPr="000B7042">
          <w:rPr>
            <w:rStyle w:val="Hyperlink"/>
            <w:rFonts w:eastAsiaTheme="majorEastAsia"/>
            <w:color w:val="000000" w:themeColor="text1"/>
            <w:u w:val="none"/>
          </w:rPr>
          <w:t xml:space="preserve">[Online]. Gender and Development Network GADN. </w:t>
        </w:r>
      </w:hyperlink>
      <w:r w:rsidRPr="000B7042">
        <w:rPr>
          <w:color w:val="000000" w:themeColor="text1"/>
        </w:rPr>
        <w:t xml:space="preserve">Available from: </w:t>
      </w:r>
      <w:hyperlink r:id="rId31" w:history="1">
        <w:r w:rsidRPr="000B7042">
          <w:rPr>
            <w:rStyle w:val="Hyperlink"/>
            <w:rFonts w:eastAsiaTheme="majorEastAsia"/>
            <w:color w:val="000000" w:themeColor="text1"/>
            <w:u w:val="none"/>
          </w:rPr>
          <w:t>https://static1.squarespace.com/static/536c4ee8e4b0b60bc6ca7c74/t/59a551757131a5afe9cbb730/1504006519591/Rhodes+Capraro+Advancing+feminist+alternatives+in+the+context+of+neoliberalism+.pdf</w:t>
        </w:r>
      </w:hyperlink>
      <w:r w:rsidR="005C7198">
        <w:rPr>
          <w:color w:val="000000" w:themeColor="text1"/>
        </w:rPr>
        <w:t xml:space="preserve"> [Accessed</w:t>
      </w:r>
      <w:r w:rsidRPr="00147E8C">
        <w:rPr>
          <w:color w:val="000000" w:themeColor="text1"/>
        </w:rPr>
        <w:t xml:space="preserve"> 1</w:t>
      </w:r>
      <w:r w:rsidRPr="00147E8C">
        <w:rPr>
          <w:color w:val="000000" w:themeColor="text1"/>
          <w:vertAlign w:val="superscript"/>
        </w:rPr>
        <w:t>st</w:t>
      </w:r>
      <w:r w:rsidRPr="00147E8C">
        <w:rPr>
          <w:color w:val="000000" w:themeColor="text1"/>
        </w:rPr>
        <w:t xml:space="preserve"> September 2017]</w:t>
      </w:r>
    </w:p>
    <w:p w14:paraId="57FD00AB" w14:textId="77777777" w:rsidR="00A96CF7" w:rsidRPr="00147E8C" w:rsidRDefault="00A96CF7" w:rsidP="00A96CF7">
      <w:pPr>
        <w:pStyle w:val="NormalWeb"/>
        <w:spacing w:line="276" w:lineRule="auto"/>
        <w:rPr>
          <w:color w:val="000000" w:themeColor="text1"/>
          <w:lang w:val="es-NI"/>
        </w:rPr>
      </w:pPr>
      <w:r w:rsidRPr="00147E8C">
        <w:rPr>
          <w:color w:val="000000" w:themeColor="text1"/>
          <w:lang w:val="es-NI"/>
        </w:rPr>
        <w:lastRenderedPageBreak/>
        <w:t xml:space="preserve">Carrasco, C. (2003), ‘La sostenibilidad de la vida humana: ¿un asunto de mujeres?’, in León, M. (ed.) </w:t>
      </w:r>
      <w:r w:rsidRPr="00147E8C">
        <w:rPr>
          <w:i/>
          <w:iCs/>
          <w:color w:val="000000" w:themeColor="text1"/>
          <w:lang w:val="es-NI"/>
        </w:rPr>
        <w:t xml:space="preserve">Mujeres y trabajo: cambios impostergables. </w:t>
      </w:r>
      <w:r w:rsidRPr="00147E8C">
        <w:rPr>
          <w:color w:val="000000" w:themeColor="text1"/>
          <w:lang w:val="es-NI"/>
        </w:rPr>
        <w:t xml:space="preserve">Porto Alegre: Veraz Comunicacao, pp.5-25. </w:t>
      </w:r>
    </w:p>
    <w:p w14:paraId="200F8B0C" w14:textId="4D4A1ED4" w:rsidR="00A96CF7" w:rsidRPr="000B7042" w:rsidRDefault="00A96CF7" w:rsidP="00A96CF7">
      <w:pPr>
        <w:spacing w:line="276" w:lineRule="auto"/>
        <w:rPr>
          <w:color w:val="000000" w:themeColor="text1"/>
          <w:lang w:val="en-US"/>
        </w:rPr>
      </w:pPr>
      <w:r w:rsidRPr="00147E8C">
        <w:rPr>
          <w:color w:val="000000" w:themeColor="text1"/>
          <w:lang w:val="es-NI"/>
        </w:rPr>
        <w:t xml:space="preserve">Carrión, G. (2016) </w:t>
      </w:r>
      <w:r w:rsidRPr="00147E8C">
        <w:rPr>
          <w:i/>
          <w:color w:val="000000" w:themeColor="text1"/>
          <w:lang w:val="es-NI"/>
        </w:rPr>
        <w:t>Las mujeres rurales y el acceso a la tierra: el caso de las mujeres de FEMUPROCAN</w:t>
      </w:r>
      <w:r w:rsidRPr="00147E8C">
        <w:rPr>
          <w:color w:val="000000" w:themeColor="text1"/>
          <w:lang w:val="es-NI"/>
        </w:rPr>
        <w:t xml:space="preserve">. [Online].  Managua: Fundación Internacional para el Desafío Económico Global, FIDEG. </w:t>
      </w:r>
      <w:r w:rsidRPr="00147E8C">
        <w:rPr>
          <w:color w:val="000000" w:themeColor="text1"/>
          <w:lang w:val="en-US"/>
        </w:rPr>
        <w:t xml:space="preserve">Available from: </w:t>
      </w:r>
      <w:hyperlink r:id="rId32" w:history="1">
        <w:r w:rsidRPr="000B7042">
          <w:rPr>
            <w:rStyle w:val="Hyperlink"/>
            <w:rFonts w:eastAsiaTheme="majorEastAsia"/>
            <w:color w:val="000000" w:themeColor="text1"/>
            <w:u w:val="none"/>
          </w:rPr>
          <w:t>http://fideg.org/wp-content/uploads/2017/02/Informe_Final_FEMUPROCAN.pdf</w:t>
        </w:r>
      </w:hyperlink>
      <w:r w:rsidR="000B7042">
        <w:rPr>
          <w:color w:val="000000" w:themeColor="text1"/>
        </w:rPr>
        <w:t xml:space="preserve">  [Accessed</w:t>
      </w:r>
      <w:r w:rsidRPr="000B7042">
        <w:rPr>
          <w:color w:val="000000" w:themeColor="text1"/>
        </w:rPr>
        <w:t xml:space="preserve"> 17th January 2017]. </w:t>
      </w:r>
    </w:p>
    <w:p w14:paraId="0F56068E" w14:textId="77777777" w:rsidR="00A96CF7" w:rsidRPr="000B7042" w:rsidRDefault="00A96CF7" w:rsidP="00A96CF7">
      <w:pPr>
        <w:spacing w:line="276" w:lineRule="auto"/>
        <w:rPr>
          <w:color w:val="000000" w:themeColor="text1"/>
          <w:lang w:val="en-US"/>
        </w:rPr>
      </w:pPr>
    </w:p>
    <w:p w14:paraId="72463C17" w14:textId="77777777" w:rsidR="00A96CF7" w:rsidRPr="000B7042" w:rsidRDefault="00A96CF7" w:rsidP="00A96CF7">
      <w:pPr>
        <w:spacing w:line="276" w:lineRule="auto"/>
        <w:rPr>
          <w:color w:val="000000" w:themeColor="text1"/>
        </w:rPr>
      </w:pPr>
      <w:r w:rsidRPr="000B7042">
        <w:rPr>
          <w:color w:val="000000" w:themeColor="text1"/>
        </w:rPr>
        <w:t xml:space="preserve">Carrión, G. (2017) </w:t>
      </w:r>
      <w:r w:rsidRPr="000B7042">
        <w:rPr>
          <w:i/>
          <w:color w:val="000000" w:themeColor="text1"/>
        </w:rPr>
        <w:t xml:space="preserve">State-society and donor relationships: the political economy of domestic resource mobilization in Nicaragua. </w:t>
      </w:r>
      <w:r w:rsidRPr="000B7042">
        <w:rPr>
          <w:color w:val="000000" w:themeColor="text1"/>
        </w:rPr>
        <w:t xml:space="preserve">[Online]. UNRISD project on Politics of Domestic Resource Mobilization Working paper, No. 2017-2. Geneva: United Nations Research Institute for Social Development. Available from: </w:t>
      </w:r>
      <w:hyperlink r:id="rId33" w:history="1">
        <w:r w:rsidRPr="000B7042">
          <w:rPr>
            <w:rStyle w:val="Hyperlink"/>
            <w:rFonts w:eastAsiaTheme="majorEastAsia"/>
            <w:color w:val="000000" w:themeColor="text1"/>
            <w:u w:val="none"/>
          </w:rPr>
          <w:t>http://fideg.org/wp-content/uploads/2017/05/State-Society-and-Donor-Relations_Carrion-2017.pdf</w:t>
        </w:r>
      </w:hyperlink>
      <w:r w:rsidRPr="000B7042">
        <w:rPr>
          <w:color w:val="000000" w:themeColor="text1"/>
        </w:rPr>
        <w:t xml:space="preserve"> [Accessed 13th August 2017]. </w:t>
      </w:r>
    </w:p>
    <w:p w14:paraId="0B7C3BA4" w14:textId="77777777" w:rsidR="00A96CF7" w:rsidRPr="000B7042" w:rsidRDefault="00A96CF7" w:rsidP="00A96CF7">
      <w:pPr>
        <w:spacing w:line="276" w:lineRule="auto"/>
        <w:rPr>
          <w:color w:val="000000" w:themeColor="text1"/>
        </w:rPr>
      </w:pPr>
    </w:p>
    <w:p w14:paraId="3808AAAA" w14:textId="77777777" w:rsidR="00A96CF7" w:rsidRPr="00147E8C" w:rsidRDefault="00A96CF7" w:rsidP="00A96CF7">
      <w:pPr>
        <w:spacing w:line="276" w:lineRule="auto"/>
        <w:rPr>
          <w:color w:val="000000" w:themeColor="text1"/>
        </w:rPr>
      </w:pPr>
      <w:r w:rsidRPr="00147E8C">
        <w:rPr>
          <w:color w:val="000000" w:themeColor="text1"/>
        </w:rPr>
        <w:t xml:space="preserve">Carroll, A. (1979) ‘A three-dimensional conceptual model of corporate performance’, </w:t>
      </w:r>
      <w:r w:rsidRPr="00147E8C">
        <w:rPr>
          <w:bCs/>
          <w:i/>
          <w:iCs/>
          <w:color w:val="000000" w:themeColor="text1"/>
        </w:rPr>
        <w:t>Academy of Management Review</w:t>
      </w:r>
      <w:r w:rsidRPr="00147E8C">
        <w:rPr>
          <w:color w:val="000000" w:themeColor="text1"/>
        </w:rPr>
        <w:t>, 4 (4), pp.497–505. </w:t>
      </w:r>
    </w:p>
    <w:p w14:paraId="3F881C6A" w14:textId="77777777" w:rsidR="00A96CF7" w:rsidRPr="00147E8C" w:rsidRDefault="00A96CF7" w:rsidP="00A96CF7">
      <w:pPr>
        <w:spacing w:line="276" w:lineRule="auto"/>
        <w:rPr>
          <w:color w:val="000000" w:themeColor="text1"/>
        </w:rPr>
      </w:pPr>
    </w:p>
    <w:p w14:paraId="63B6F47C" w14:textId="77777777" w:rsidR="00A96CF7" w:rsidRPr="00147E8C" w:rsidRDefault="00A96CF7" w:rsidP="00A96CF7">
      <w:pPr>
        <w:spacing w:line="276" w:lineRule="auto"/>
        <w:rPr>
          <w:color w:val="000000" w:themeColor="text1"/>
        </w:rPr>
      </w:pPr>
      <w:r w:rsidRPr="00147E8C">
        <w:rPr>
          <w:color w:val="000000" w:themeColor="text1"/>
        </w:rPr>
        <w:t xml:space="preserve">Carroll, A. (1999) ‘Corporate social responsibility: evolution of a definitional construct’, </w:t>
      </w:r>
      <w:r w:rsidRPr="00147E8C">
        <w:rPr>
          <w:bCs/>
          <w:i/>
          <w:iCs/>
          <w:color w:val="000000" w:themeColor="text1"/>
        </w:rPr>
        <w:t>Business &amp; Society</w:t>
      </w:r>
      <w:r w:rsidRPr="00147E8C">
        <w:rPr>
          <w:color w:val="000000" w:themeColor="text1"/>
        </w:rPr>
        <w:t>, 38(3), pp. 268–295. </w:t>
      </w:r>
    </w:p>
    <w:p w14:paraId="7CCE1B0D" w14:textId="77777777" w:rsidR="00A96CF7" w:rsidRPr="00147E8C" w:rsidRDefault="00A96CF7" w:rsidP="00A96CF7">
      <w:pPr>
        <w:spacing w:line="276" w:lineRule="auto"/>
        <w:rPr>
          <w:color w:val="000000" w:themeColor="text1"/>
        </w:rPr>
      </w:pPr>
    </w:p>
    <w:p w14:paraId="09F0B20B" w14:textId="77777777" w:rsidR="00A96CF7" w:rsidRPr="00147E8C" w:rsidRDefault="00A96CF7" w:rsidP="00A96CF7">
      <w:pPr>
        <w:spacing w:line="276" w:lineRule="auto"/>
        <w:rPr>
          <w:color w:val="000000" w:themeColor="text1"/>
          <w:lang w:val="en-US"/>
        </w:rPr>
      </w:pPr>
      <w:r w:rsidRPr="00147E8C">
        <w:rPr>
          <w:color w:val="000000" w:themeColor="text1"/>
        </w:rPr>
        <w:t xml:space="preserve">Casabonne, U. and Lundwall, J. (2016): </w:t>
      </w:r>
      <w:r w:rsidRPr="00147E8C">
        <w:rPr>
          <w:i/>
          <w:color w:val="000000" w:themeColor="text1"/>
        </w:rPr>
        <w:t>Latin America and the Caribbean region: gender diagnostic 2016</w:t>
      </w:r>
      <w:r w:rsidRPr="00147E8C">
        <w:rPr>
          <w:color w:val="000000" w:themeColor="text1"/>
        </w:rPr>
        <w:t>.</w:t>
      </w:r>
      <w:r w:rsidRPr="00147E8C">
        <w:rPr>
          <w:color w:val="000000" w:themeColor="text1"/>
          <w:lang w:val="en-US"/>
        </w:rPr>
        <w:t>Working paper. Washington, DC: World Bank Group. </w:t>
      </w:r>
    </w:p>
    <w:p w14:paraId="71EB0E42" w14:textId="77777777" w:rsidR="00A96CF7" w:rsidRPr="00147E8C" w:rsidRDefault="00A96CF7" w:rsidP="00A96CF7">
      <w:pPr>
        <w:spacing w:line="276" w:lineRule="auto"/>
        <w:rPr>
          <w:color w:val="000000" w:themeColor="text1"/>
        </w:rPr>
      </w:pPr>
    </w:p>
    <w:p w14:paraId="618EF801" w14:textId="77777777" w:rsidR="00A96CF7" w:rsidRPr="00147E8C" w:rsidRDefault="00A96CF7" w:rsidP="00A96CF7">
      <w:pPr>
        <w:spacing w:line="276" w:lineRule="auto"/>
        <w:rPr>
          <w:color w:val="000000" w:themeColor="text1"/>
        </w:rPr>
      </w:pPr>
      <w:r w:rsidRPr="00147E8C">
        <w:rPr>
          <w:color w:val="000000" w:themeColor="text1"/>
        </w:rPr>
        <w:t xml:space="preserve">Castells, M. (2000a) ‘The end of patriarchalism: social movements, family and sexuality in the Information Age’, </w:t>
      </w:r>
      <w:r w:rsidRPr="00147E8C">
        <w:rPr>
          <w:i/>
          <w:iCs/>
          <w:color w:val="000000" w:themeColor="text1"/>
        </w:rPr>
        <w:t>The power of identity</w:t>
      </w:r>
      <w:r w:rsidRPr="00147E8C">
        <w:rPr>
          <w:color w:val="000000" w:themeColor="text1"/>
        </w:rPr>
        <w:t>. Oxford: Blackwell Publishers, pp.192-302.</w:t>
      </w:r>
    </w:p>
    <w:p w14:paraId="44CD2C48"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Castells, M. (2000b) </w:t>
      </w:r>
      <w:r w:rsidRPr="00147E8C">
        <w:rPr>
          <w:i/>
          <w:iCs/>
          <w:color w:val="000000" w:themeColor="text1"/>
        </w:rPr>
        <w:t>The Rise of the Network Society</w:t>
      </w:r>
      <w:r w:rsidRPr="00147E8C">
        <w:rPr>
          <w:color w:val="000000" w:themeColor="text1"/>
        </w:rPr>
        <w:t>, Oxford: Blackwell Publishers.</w:t>
      </w:r>
    </w:p>
    <w:p w14:paraId="0E28B1E8" w14:textId="62684027" w:rsidR="00A96CF7" w:rsidRPr="00147E8C" w:rsidRDefault="00A96CF7" w:rsidP="00A96CF7">
      <w:pPr>
        <w:spacing w:line="276" w:lineRule="auto"/>
        <w:rPr>
          <w:color w:val="000000" w:themeColor="text1"/>
          <w:lang w:val="en-US"/>
        </w:rPr>
      </w:pPr>
      <w:r w:rsidRPr="00147E8C">
        <w:rPr>
          <w:bCs/>
          <w:color w:val="000000" w:themeColor="text1"/>
          <w:lang w:val="en-US"/>
        </w:rPr>
        <w:t xml:space="preserve">Cela, B., Dankelman, I., Stern, J. (eds) (2013) </w:t>
      </w:r>
      <w:r w:rsidRPr="00147E8C">
        <w:rPr>
          <w:bCs/>
          <w:i/>
          <w:color w:val="000000" w:themeColor="text1"/>
          <w:lang w:val="en-US"/>
        </w:rPr>
        <w:t>Powerful synergies: gender equality, economic development and environmental sustainability</w:t>
      </w:r>
      <w:r w:rsidRPr="00147E8C">
        <w:rPr>
          <w:color w:val="000000" w:themeColor="text1"/>
          <w:lang w:val="en-US"/>
        </w:rPr>
        <w:t>. [Online] New York: United Nations Development Programme. Available from: http://www.undp.org/content/undp/en/home/librarypage/womens-empowerment/powerful-syner</w:t>
      </w:r>
      <w:r w:rsidR="000B7042">
        <w:rPr>
          <w:color w:val="000000" w:themeColor="text1"/>
          <w:lang w:val="en-US"/>
        </w:rPr>
        <w:t>gies/ [Accessed</w:t>
      </w:r>
      <w:r w:rsidRPr="00147E8C">
        <w:rPr>
          <w:color w:val="000000" w:themeColor="text1"/>
          <w:lang w:val="en-US"/>
        </w:rPr>
        <w:t xml:space="preserve"> 12th June 2014].</w:t>
      </w:r>
    </w:p>
    <w:p w14:paraId="4A3DCC66" w14:textId="77777777" w:rsidR="00A96CF7" w:rsidRPr="00147E8C" w:rsidRDefault="00A96CF7" w:rsidP="00A96CF7">
      <w:pPr>
        <w:spacing w:line="276" w:lineRule="auto"/>
        <w:rPr>
          <w:color w:val="000000" w:themeColor="text1"/>
        </w:rPr>
      </w:pPr>
    </w:p>
    <w:p w14:paraId="3FD74AF5" w14:textId="77777777" w:rsidR="00A96CF7" w:rsidRPr="00147E8C" w:rsidRDefault="00A96CF7" w:rsidP="00A96CF7">
      <w:pPr>
        <w:spacing w:line="276" w:lineRule="auto"/>
        <w:rPr>
          <w:color w:val="000000" w:themeColor="text1"/>
        </w:rPr>
      </w:pPr>
      <w:r w:rsidRPr="00147E8C">
        <w:rPr>
          <w:color w:val="000000" w:themeColor="text1"/>
        </w:rPr>
        <w:t xml:space="preserve">Chakravarti, U. (2008) ‘Beyond the mantra of empowerment: time to return to poverty, violence and struggle’, </w:t>
      </w:r>
      <w:r w:rsidRPr="00147E8C">
        <w:rPr>
          <w:i/>
          <w:iCs/>
          <w:color w:val="000000" w:themeColor="text1"/>
        </w:rPr>
        <w:t>IDS Bulletin</w:t>
      </w:r>
      <w:r w:rsidRPr="00147E8C">
        <w:rPr>
          <w:color w:val="000000" w:themeColor="text1"/>
        </w:rPr>
        <w:t>, 39 (6), pp.10-17.</w:t>
      </w:r>
    </w:p>
    <w:p w14:paraId="4163740B" w14:textId="77777777" w:rsidR="00A96CF7" w:rsidRPr="00147E8C" w:rsidRDefault="00A96CF7" w:rsidP="00A96CF7">
      <w:pPr>
        <w:spacing w:line="276" w:lineRule="auto"/>
        <w:rPr>
          <w:color w:val="000000" w:themeColor="text1"/>
        </w:rPr>
      </w:pPr>
    </w:p>
    <w:p w14:paraId="1F679813" w14:textId="77777777" w:rsidR="00A96CF7" w:rsidRPr="00147E8C" w:rsidRDefault="00A96CF7" w:rsidP="00A96CF7">
      <w:pPr>
        <w:spacing w:line="276" w:lineRule="auto"/>
        <w:rPr>
          <w:color w:val="000000" w:themeColor="text1"/>
        </w:rPr>
      </w:pPr>
      <w:r w:rsidRPr="00147E8C">
        <w:rPr>
          <w:color w:val="000000" w:themeColor="text1"/>
        </w:rPr>
        <w:t xml:space="preserve">Chambers, R. (1981) ‘Rapid rural appraisal: rationale and repertoire’, </w:t>
      </w:r>
      <w:r w:rsidRPr="00147E8C">
        <w:rPr>
          <w:i/>
          <w:iCs/>
          <w:color w:val="000000" w:themeColor="text1"/>
        </w:rPr>
        <w:t>Public Administration and Development</w:t>
      </w:r>
      <w:r w:rsidRPr="00147E8C">
        <w:rPr>
          <w:color w:val="000000" w:themeColor="text1"/>
        </w:rPr>
        <w:t>, 1 (2), pp.95-106.</w:t>
      </w:r>
    </w:p>
    <w:p w14:paraId="6441CEB7" w14:textId="77777777" w:rsidR="00A96CF7" w:rsidRPr="00147E8C" w:rsidRDefault="00A96CF7" w:rsidP="00A96CF7">
      <w:pPr>
        <w:spacing w:line="276" w:lineRule="auto"/>
        <w:rPr>
          <w:color w:val="000000" w:themeColor="text1"/>
        </w:rPr>
      </w:pPr>
    </w:p>
    <w:p w14:paraId="4BA43D10"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Chambers, R (1997) </w:t>
      </w:r>
      <w:r w:rsidRPr="00147E8C">
        <w:rPr>
          <w:i/>
          <w:iCs/>
          <w:color w:val="000000" w:themeColor="text1"/>
        </w:rPr>
        <w:t>Whose reality counts? Putting the first last.</w:t>
      </w:r>
      <w:r w:rsidRPr="00147E8C">
        <w:rPr>
          <w:color w:val="000000" w:themeColor="text1"/>
        </w:rPr>
        <w:t xml:space="preserve"> London: Intermediate Technology Publications.</w:t>
      </w:r>
    </w:p>
    <w:p w14:paraId="76C76EF1" w14:textId="77777777" w:rsidR="00A96CF7" w:rsidRPr="000B7042" w:rsidRDefault="00A96CF7" w:rsidP="00A96CF7">
      <w:pPr>
        <w:spacing w:line="276" w:lineRule="auto"/>
        <w:rPr>
          <w:color w:val="000000" w:themeColor="text1"/>
        </w:rPr>
      </w:pPr>
    </w:p>
    <w:p w14:paraId="5BF8157A" w14:textId="77777777" w:rsidR="00A96CF7" w:rsidRPr="000B7042" w:rsidRDefault="00A96CF7" w:rsidP="00A96CF7">
      <w:pPr>
        <w:spacing w:line="276" w:lineRule="auto"/>
        <w:rPr>
          <w:color w:val="000000" w:themeColor="text1"/>
        </w:rPr>
      </w:pPr>
      <w:r w:rsidRPr="000B7042">
        <w:rPr>
          <w:rStyle w:val="Hyperlink"/>
          <w:rFonts w:eastAsiaTheme="majorEastAsia"/>
          <w:color w:val="000000" w:themeColor="text1"/>
          <w:u w:val="none"/>
        </w:rPr>
        <w:t xml:space="preserve">Chambers, R. (2007) </w:t>
      </w:r>
      <w:r w:rsidRPr="000B7042">
        <w:rPr>
          <w:rStyle w:val="Hyperlink"/>
          <w:rFonts w:eastAsiaTheme="majorEastAsia"/>
          <w:i/>
          <w:color w:val="000000" w:themeColor="text1"/>
          <w:u w:val="none"/>
        </w:rPr>
        <w:t>The quiet revolution of participatory numbers</w:t>
      </w:r>
      <w:r w:rsidRPr="000B7042">
        <w:rPr>
          <w:rStyle w:val="Hyperlink"/>
          <w:rFonts w:eastAsiaTheme="majorEastAsia"/>
          <w:color w:val="000000" w:themeColor="text1"/>
          <w:u w:val="none"/>
        </w:rPr>
        <w:t>, Institute of Development Studies Working Paper, No. 296. Sussex: IDS.  Available from: http://www.ids.ac.uk/files/Wp296.pdf [Accessed 10th May 2017].</w:t>
      </w:r>
    </w:p>
    <w:p w14:paraId="575CC1F6" w14:textId="77777777" w:rsidR="00A96CF7" w:rsidRPr="00147E8C" w:rsidRDefault="00A96CF7" w:rsidP="00A96CF7">
      <w:pPr>
        <w:spacing w:line="276" w:lineRule="auto"/>
        <w:rPr>
          <w:color w:val="000000" w:themeColor="text1"/>
        </w:rPr>
      </w:pPr>
    </w:p>
    <w:p w14:paraId="1C89CFA3" w14:textId="77777777" w:rsidR="00A96CF7" w:rsidRPr="00147E8C" w:rsidRDefault="00A96CF7" w:rsidP="00A96CF7">
      <w:pPr>
        <w:spacing w:line="276" w:lineRule="auto"/>
        <w:rPr>
          <w:color w:val="000000" w:themeColor="text1"/>
        </w:rPr>
      </w:pPr>
      <w:r w:rsidRPr="00147E8C">
        <w:rPr>
          <w:color w:val="000000" w:themeColor="text1"/>
        </w:rPr>
        <w:t>Chan, M. and S. Barrientos (2010) ‘Improving Opportunities for Women in Smallholder- based Supply Chains: Business case and practical guidance for international food companies’</w:t>
      </w:r>
      <w:r w:rsidRPr="00147E8C">
        <w:rPr>
          <w:i/>
          <w:color w:val="000000" w:themeColor="text1"/>
        </w:rPr>
        <w:t xml:space="preserve"> </w:t>
      </w:r>
      <w:r w:rsidRPr="00147E8C">
        <w:rPr>
          <w:color w:val="000000" w:themeColor="text1"/>
        </w:rPr>
        <w:t xml:space="preserve">Seattle: </w:t>
      </w:r>
      <w:r w:rsidRPr="00147E8C">
        <w:rPr>
          <w:i/>
          <w:color w:val="000000" w:themeColor="text1"/>
        </w:rPr>
        <w:t>Gates Foundation.</w:t>
      </w:r>
      <w:r w:rsidRPr="00147E8C">
        <w:rPr>
          <w:color w:val="000000" w:themeColor="text1"/>
        </w:rPr>
        <w:t xml:space="preserve"> Prepared for the Bill &amp; Melinda Gates Foundation. Available from:</w:t>
      </w:r>
    </w:p>
    <w:p w14:paraId="6DEF6ED0" w14:textId="77777777" w:rsidR="00A96CF7" w:rsidRPr="00147E8C" w:rsidRDefault="00A96CF7" w:rsidP="00A96CF7">
      <w:pPr>
        <w:spacing w:line="276" w:lineRule="auto"/>
        <w:rPr>
          <w:color w:val="000000" w:themeColor="text1"/>
        </w:rPr>
      </w:pPr>
      <w:r w:rsidRPr="00147E8C">
        <w:rPr>
          <w:color w:val="000000" w:themeColor="text1"/>
        </w:rPr>
        <w:t xml:space="preserve"> https://docs.gatesfoundation.org/Documents/gender-value-chain- guide.pdf [Accessed 23rd April 2018].</w:t>
      </w:r>
    </w:p>
    <w:p w14:paraId="157B1029" w14:textId="77777777" w:rsidR="00A96CF7" w:rsidRPr="00147E8C" w:rsidRDefault="00A96CF7" w:rsidP="00A96CF7">
      <w:pPr>
        <w:spacing w:line="276" w:lineRule="auto"/>
        <w:rPr>
          <w:color w:val="000000" w:themeColor="text1"/>
        </w:rPr>
      </w:pPr>
    </w:p>
    <w:p w14:paraId="2D27AC45" w14:textId="77777777" w:rsidR="00A96CF7" w:rsidRPr="00147E8C" w:rsidRDefault="00A96CF7" w:rsidP="00A96CF7">
      <w:pPr>
        <w:spacing w:line="276" w:lineRule="auto"/>
        <w:rPr>
          <w:color w:val="000000" w:themeColor="text1"/>
        </w:rPr>
      </w:pPr>
      <w:r w:rsidRPr="00147E8C">
        <w:rPr>
          <w:color w:val="000000" w:themeColor="text1"/>
        </w:rPr>
        <w:t xml:space="preserve">Chant, S. (2000) ‘From ‘woman-blind’ to ‘man-kind’ </w:t>
      </w:r>
      <w:r w:rsidRPr="00147E8C">
        <w:rPr>
          <w:iCs/>
          <w:color w:val="000000" w:themeColor="text1"/>
        </w:rPr>
        <w:t>should men have more space in gender and development?’</w:t>
      </w:r>
      <w:r w:rsidRPr="00147E8C">
        <w:rPr>
          <w:color w:val="000000" w:themeColor="text1"/>
        </w:rPr>
        <w:t xml:space="preserve">, </w:t>
      </w:r>
      <w:r w:rsidRPr="00147E8C">
        <w:rPr>
          <w:i/>
          <w:color w:val="000000" w:themeColor="text1"/>
        </w:rPr>
        <w:t>IDS Bulletin</w:t>
      </w:r>
      <w:r w:rsidRPr="00147E8C">
        <w:rPr>
          <w:color w:val="000000" w:themeColor="text1"/>
        </w:rPr>
        <w:t xml:space="preserve">, 31 (2), pp. 7–17. </w:t>
      </w:r>
    </w:p>
    <w:p w14:paraId="66088F75" w14:textId="77777777" w:rsidR="00A96CF7" w:rsidRPr="00147E8C" w:rsidRDefault="00A96CF7" w:rsidP="00A96CF7">
      <w:pPr>
        <w:spacing w:line="276" w:lineRule="auto"/>
        <w:rPr>
          <w:color w:val="000000" w:themeColor="text1"/>
        </w:rPr>
      </w:pPr>
    </w:p>
    <w:p w14:paraId="717464C7" w14:textId="77777777" w:rsidR="00A96CF7" w:rsidRPr="00147E8C" w:rsidRDefault="00A96CF7" w:rsidP="00A96CF7">
      <w:pPr>
        <w:spacing w:line="276" w:lineRule="auto"/>
        <w:rPr>
          <w:color w:val="000000" w:themeColor="text1"/>
        </w:rPr>
      </w:pPr>
      <w:r w:rsidRPr="00147E8C">
        <w:rPr>
          <w:color w:val="000000" w:themeColor="text1"/>
        </w:rPr>
        <w:t xml:space="preserve">Chant, S. (2002) ‘Researching gender, families and households in Latin America: from 20th into the 21st century’, </w:t>
      </w:r>
      <w:r w:rsidRPr="00147E8C">
        <w:rPr>
          <w:i/>
          <w:iCs/>
          <w:color w:val="000000" w:themeColor="text1"/>
        </w:rPr>
        <w:t xml:space="preserve">Bulletin of Latin American Research, </w:t>
      </w:r>
      <w:r w:rsidRPr="00147E8C">
        <w:rPr>
          <w:color w:val="000000" w:themeColor="text1"/>
        </w:rPr>
        <w:t xml:space="preserve">21 (4), pp. 545–75. </w:t>
      </w:r>
    </w:p>
    <w:p w14:paraId="194B0801" w14:textId="77777777" w:rsidR="00A96CF7" w:rsidRPr="00147E8C" w:rsidRDefault="00A96CF7" w:rsidP="00A96CF7">
      <w:pPr>
        <w:spacing w:line="276" w:lineRule="auto"/>
        <w:rPr>
          <w:color w:val="000000" w:themeColor="text1"/>
        </w:rPr>
      </w:pPr>
    </w:p>
    <w:p w14:paraId="6E7EBC71" w14:textId="77777777" w:rsidR="00A96CF7" w:rsidRPr="00147E8C" w:rsidRDefault="00A96CF7" w:rsidP="00A96CF7">
      <w:pPr>
        <w:spacing w:line="276" w:lineRule="auto"/>
        <w:rPr>
          <w:color w:val="000000" w:themeColor="text1"/>
        </w:rPr>
      </w:pPr>
      <w:r w:rsidRPr="00147E8C">
        <w:rPr>
          <w:color w:val="000000" w:themeColor="text1"/>
        </w:rPr>
        <w:t xml:space="preserve">Chant, S. (2003a) </w:t>
      </w:r>
      <w:r w:rsidRPr="00147E8C">
        <w:rPr>
          <w:i/>
          <w:color w:val="000000" w:themeColor="text1"/>
        </w:rPr>
        <w:t>The “engendering” of poverty analysis in developing regions: progress since the United Nations Decade for Women, and priorities for the future</w:t>
      </w:r>
      <w:r w:rsidRPr="00147E8C">
        <w:rPr>
          <w:color w:val="000000" w:themeColor="text1"/>
        </w:rPr>
        <w:t xml:space="preserve">, LSE Gender Institute New Working Paper Series No. 11. London: London School of Economics and Political Science. </w:t>
      </w:r>
    </w:p>
    <w:p w14:paraId="0F103018" w14:textId="77777777" w:rsidR="00A96CF7" w:rsidRPr="00147E8C" w:rsidRDefault="00A96CF7" w:rsidP="00A96CF7">
      <w:pPr>
        <w:spacing w:line="276" w:lineRule="auto"/>
        <w:rPr>
          <w:color w:val="000000" w:themeColor="text1"/>
        </w:rPr>
      </w:pPr>
    </w:p>
    <w:p w14:paraId="7B11B1B4" w14:textId="77777777" w:rsidR="00A96CF7" w:rsidRPr="00147E8C" w:rsidRDefault="00A96CF7" w:rsidP="00A96CF7">
      <w:pPr>
        <w:spacing w:line="276" w:lineRule="auto"/>
        <w:rPr>
          <w:color w:val="000000" w:themeColor="text1"/>
        </w:rPr>
      </w:pPr>
      <w:r w:rsidRPr="00147E8C">
        <w:rPr>
          <w:color w:val="000000" w:themeColor="text1"/>
        </w:rPr>
        <w:t>Chant, S. (2003b</w:t>
      </w:r>
      <w:r w:rsidRPr="00147E8C">
        <w:rPr>
          <w:i/>
          <w:color w:val="000000" w:themeColor="text1"/>
        </w:rPr>
        <w:t xml:space="preserve">) </w:t>
      </w:r>
      <w:r w:rsidRPr="00147E8C">
        <w:rPr>
          <w:color w:val="000000" w:themeColor="text1"/>
        </w:rPr>
        <w:t xml:space="preserve">Female household headship and the feminisation of poverty: facts, fictions and forward strategies, LSE Gender Institute New Working Paper Series, No. 9. London: London School of Economics and Political Science. </w:t>
      </w:r>
    </w:p>
    <w:p w14:paraId="70DB2DF0" w14:textId="77777777" w:rsidR="00A96CF7" w:rsidRPr="00147E8C" w:rsidRDefault="00A96CF7" w:rsidP="00A96CF7">
      <w:pPr>
        <w:spacing w:line="276" w:lineRule="auto"/>
        <w:rPr>
          <w:color w:val="000000" w:themeColor="text1"/>
        </w:rPr>
      </w:pPr>
    </w:p>
    <w:p w14:paraId="237E5197" w14:textId="77777777" w:rsidR="00A96CF7" w:rsidRPr="00147E8C" w:rsidRDefault="00A96CF7" w:rsidP="00A96CF7">
      <w:pPr>
        <w:spacing w:line="276" w:lineRule="auto"/>
        <w:rPr>
          <w:color w:val="000000" w:themeColor="text1"/>
        </w:rPr>
      </w:pPr>
      <w:r w:rsidRPr="00147E8C">
        <w:rPr>
          <w:color w:val="000000" w:themeColor="text1"/>
        </w:rPr>
        <w:t xml:space="preserve">Chant, S. (2004) ‘Dangerous equations? how female-headed households became the poorest of the poor: causes, consequences and cautions’, </w:t>
      </w:r>
      <w:r w:rsidRPr="00147E8C">
        <w:rPr>
          <w:i/>
          <w:color w:val="000000" w:themeColor="text1"/>
        </w:rPr>
        <w:t>IDS Bulletin</w:t>
      </w:r>
      <w:r w:rsidRPr="00147E8C">
        <w:rPr>
          <w:color w:val="000000" w:themeColor="text1"/>
        </w:rPr>
        <w:t>, 35 (4), pp. 19–26.</w:t>
      </w:r>
    </w:p>
    <w:p w14:paraId="400CDC02" w14:textId="77777777" w:rsidR="00A96CF7" w:rsidRPr="00147E8C" w:rsidRDefault="00A96CF7" w:rsidP="00A96CF7">
      <w:pPr>
        <w:spacing w:line="276" w:lineRule="auto"/>
        <w:rPr>
          <w:color w:val="000000" w:themeColor="text1"/>
        </w:rPr>
      </w:pPr>
    </w:p>
    <w:p w14:paraId="4860FD83" w14:textId="77777777" w:rsidR="00A96CF7" w:rsidRPr="00147E8C" w:rsidRDefault="00A96CF7" w:rsidP="00A96CF7">
      <w:pPr>
        <w:spacing w:line="276" w:lineRule="auto"/>
        <w:rPr>
          <w:color w:val="000000" w:themeColor="text1"/>
        </w:rPr>
      </w:pPr>
      <w:r w:rsidRPr="00147E8C">
        <w:rPr>
          <w:color w:val="000000" w:themeColor="text1"/>
        </w:rPr>
        <w:t xml:space="preserve">Chant, S. (2006a) ‘Re-thinking the “feminisation of poverty” in relation to aggregate gender indices’, </w:t>
      </w:r>
      <w:r w:rsidRPr="00147E8C">
        <w:rPr>
          <w:i/>
          <w:iCs/>
          <w:color w:val="000000" w:themeColor="text1"/>
        </w:rPr>
        <w:t>Journal of Human Development</w:t>
      </w:r>
      <w:r w:rsidRPr="00147E8C">
        <w:rPr>
          <w:color w:val="000000" w:themeColor="text1"/>
        </w:rPr>
        <w:t>, 7 (2), pp. 201–20.</w:t>
      </w:r>
    </w:p>
    <w:p w14:paraId="4BEA5AB0" w14:textId="77777777" w:rsidR="00A96CF7" w:rsidRPr="00147E8C" w:rsidRDefault="00A96CF7" w:rsidP="00A96CF7">
      <w:pPr>
        <w:spacing w:line="276" w:lineRule="auto"/>
        <w:rPr>
          <w:color w:val="000000" w:themeColor="text1"/>
        </w:rPr>
      </w:pPr>
    </w:p>
    <w:p w14:paraId="78A5F271"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Chant, S. (2006b) </w:t>
      </w:r>
      <w:r w:rsidRPr="00147E8C">
        <w:rPr>
          <w:i/>
          <w:color w:val="000000" w:themeColor="text1"/>
          <w:lang w:val="en-US"/>
        </w:rPr>
        <w:t>Revisiting the ‘feminisation of poverty’ and the UNDP gender indices: what case for a gendered Poverty Index?</w:t>
      </w:r>
      <w:r w:rsidRPr="00147E8C">
        <w:rPr>
          <w:color w:val="000000" w:themeColor="text1"/>
          <w:lang w:val="en-US"/>
        </w:rPr>
        <w:t xml:space="preserve"> New Series Working Paper No.18. London: Gender Institute London School of Economics. </w:t>
      </w:r>
    </w:p>
    <w:p w14:paraId="1152D775" w14:textId="77777777" w:rsidR="00A96CF7" w:rsidRPr="00147E8C" w:rsidRDefault="00A96CF7" w:rsidP="00A96CF7">
      <w:pPr>
        <w:spacing w:line="276" w:lineRule="auto"/>
        <w:rPr>
          <w:color w:val="000000" w:themeColor="text1"/>
          <w:lang w:val="en-US"/>
        </w:rPr>
      </w:pPr>
    </w:p>
    <w:p w14:paraId="32206777" w14:textId="77777777" w:rsidR="00A96CF7" w:rsidRPr="00147E8C" w:rsidRDefault="00A96CF7" w:rsidP="00A96CF7">
      <w:pPr>
        <w:spacing w:line="276" w:lineRule="auto"/>
        <w:rPr>
          <w:color w:val="000000" w:themeColor="text1"/>
        </w:rPr>
      </w:pPr>
      <w:r w:rsidRPr="00147E8C">
        <w:rPr>
          <w:color w:val="000000" w:themeColor="text1"/>
          <w:lang w:val="en-US"/>
        </w:rPr>
        <w:t xml:space="preserve">Chant, S. (2007) </w:t>
      </w:r>
      <w:r w:rsidRPr="00147E8C">
        <w:rPr>
          <w:i/>
          <w:color w:val="000000" w:themeColor="text1"/>
          <w:lang w:val="en-US"/>
        </w:rPr>
        <w:t>Gender, generation and poverty: exploring the ‘feminisation of poverty’ in Africa, Asia</w:t>
      </w:r>
      <w:r w:rsidRPr="00147E8C">
        <w:rPr>
          <w:color w:val="000000" w:themeColor="text1"/>
          <w:lang w:val="en-US"/>
        </w:rPr>
        <w:t>. Cheltenham: Edward Elgar Publishing Limited.</w:t>
      </w:r>
    </w:p>
    <w:p w14:paraId="202E1068" w14:textId="77777777" w:rsidR="00A96CF7" w:rsidRPr="00147E8C" w:rsidRDefault="00A96CF7" w:rsidP="00A96CF7">
      <w:pPr>
        <w:spacing w:line="276" w:lineRule="auto"/>
        <w:rPr>
          <w:color w:val="000000" w:themeColor="text1"/>
        </w:rPr>
      </w:pPr>
    </w:p>
    <w:p w14:paraId="223826E5"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Chant, S. (2008) ‘The “feminisation of poverty” and the “feminisation” of anti-poverty programmes: room for revision?’, </w:t>
      </w:r>
      <w:r w:rsidRPr="00147E8C">
        <w:rPr>
          <w:i/>
          <w:iCs/>
          <w:color w:val="000000" w:themeColor="text1"/>
        </w:rPr>
        <w:t>Journal of Development Studies</w:t>
      </w:r>
      <w:r w:rsidRPr="00147E8C">
        <w:rPr>
          <w:color w:val="000000" w:themeColor="text1"/>
        </w:rPr>
        <w:t xml:space="preserve">, 44 (2), pp. 165–97. </w:t>
      </w:r>
    </w:p>
    <w:p w14:paraId="5F38F31C" w14:textId="77777777" w:rsidR="00A96CF7" w:rsidRPr="00147E8C" w:rsidRDefault="00A96CF7" w:rsidP="00A96CF7">
      <w:pPr>
        <w:pStyle w:val="NormalWeb"/>
        <w:spacing w:line="276" w:lineRule="auto"/>
        <w:rPr>
          <w:color w:val="000000" w:themeColor="text1"/>
        </w:rPr>
      </w:pPr>
      <w:r w:rsidRPr="00147E8C">
        <w:rPr>
          <w:color w:val="000000" w:themeColor="text1"/>
        </w:rPr>
        <w:t>Chant, S. (2014) ‘Exploring the “feminisation of poverty” in relation to women’s work and home-based enterprise in slums of the Global South’, </w:t>
      </w:r>
      <w:r w:rsidRPr="00147E8C">
        <w:rPr>
          <w:i/>
          <w:iCs/>
          <w:color w:val="000000" w:themeColor="text1"/>
        </w:rPr>
        <w:t>International Journal of Gender and Entrepreneurship</w:t>
      </w:r>
      <w:r w:rsidRPr="00147E8C">
        <w:rPr>
          <w:color w:val="000000" w:themeColor="text1"/>
        </w:rPr>
        <w:t>, 6 (3), pp.296-316.</w:t>
      </w:r>
    </w:p>
    <w:p w14:paraId="26D363CC" w14:textId="77777777" w:rsidR="00A96CF7" w:rsidRPr="00147E8C" w:rsidRDefault="00A96CF7" w:rsidP="00A96CF7">
      <w:pPr>
        <w:spacing w:line="276" w:lineRule="auto"/>
        <w:rPr>
          <w:color w:val="000000" w:themeColor="text1"/>
        </w:rPr>
      </w:pPr>
      <w:r w:rsidRPr="00147E8C">
        <w:rPr>
          <w:color w:val="000000" w:themeColor="text1"/>
        </w:rPr>
        <w:t xml:space="preserve">Chant, S and Brickell, K. (2013) ‘Domesticating (and de-patriarchializing) the development agenda’, in Rai, S. and Waylen, G. (eds.), </w:t>
      </w:r>
      <w:r w:rsidRPr="00147E8C">
        <w:rPr>
          <w:i/>
          <w:color w:val="000000" w:themeColor="text1"/>
        </w:rPr>
        <w:t>New frontiers in feminist political economy</w:t>
      </w:r>
      <w:r w:rsidRPr="00147E8C">
        <w:rPr>
          <w:color w:val="000000" w:themeColor="text1"/>
        </w:rPr>
        <w:t xml:space="preserve">. Abingdon: Routledge. pp. 85–113. </w:t>
      </w:r>
    </w:p>
    <w:p w14:paraId="16A84ECC" w14:textId="77777777" w:rsidR="00A96CF7" w:rsidRPr="00147E8C" w:rsidRDefault="00A96CF7" w:rsidP="00A96CF7">
      <w:pPr>
        <w:spacing w:line="276" w:lineRule="auto"/>
        <w:rPr>
          <w:color w:val="000000" w:themeColor="text1"/>
        </w:rPr>
      </w:pPr>
    </w:p>
    <w:p w14:paraId="51E398BD" w14:textId="77777777" w:rsidR="00A96CF7" w:rsidRPr="00147E8C" w:rsidRDefault="00A96CF7" w:rsidP="00A96CF7">
      <w:pPr>
        <w:spacing w:line="276" w:lineRule="auto"/>
        <w:rPr>
          <w:color w:val="000000" w:themeColor="text1"/>
        </w:rPr>
      </w:pPr>
      <w:r w:rsidRPr="00147E8C">
        <w:rPr>
          <w:color w:val="000000" w:themeColor="text1"/>
        </w:rPr>
        <w:t xml:space="preserve">Chant, S. and Gutmann, M. (2002) ‘Men-streaming’ gender? Questions for gender and development policy in the twenty-first century’, </w:t>
      </w:r>
      <w:r w:rsidRPr="00147E8C">
        <w:rPr>
          <w:i/>
          <w:color w:val="000000" w:themeColor="text1"/>
        </w:rPr>
        <w:t>Progress in Development Studies</w:t>
      </w:r>
      <w:r w:rsidRPr="00147E8C">
        <w:rPr>
          <w:color w:val="000000" w:themeColor="text1"/>
        </w:rPr>
        <w:t xml:space="preserve"> 2, (4), pp. 269–282.</w:t>
      </w:r>
    </w:p>
    <w:p w14:paraId="23676015" w14:textId="77777777" w:rsidR="00A96CF7" w:rsidRPr="00147E8C" w:rsidRDefault="00A96CF7" w:rsidP="00A96CF7">
      <w:pPr>
        <w:spacing w:line="276" w:lineRule="auto"/>
        <w:rPr>
          <w:color w:val="000000" w:themeColor="text1"/>
        </w:rPr>
      </w:pPr>
    </w:p>
    <w:p w14:paraId="4FDDBBCD" w14:textId="77777777" w:rsidR="00A96CF7" w:rsidRPr="00147E8C" w:rsidRDefault="00A96CF7" w:rsidP="00A96CF7">
      <w:pPr>
        <w:spacing w:line="276" w:lineRule="auto"/>
        <w:rPr>
          <w:color w:val="000000" w:themeColor="text1"/>
        </w:rPr>
      </w:pPr>
      <w:r w:rsidRPr="00147E8C">
        <w:rPr>
          <w:color w:val="000000" w:themeColor="text1"/>
        </w:rPr>
        <w:t xml:space="preserve">Chant, S. and Sweetman, C. (2012) ‘Fixing women or fixing the world? ‘Smart economics’, efficiency approaches, and gender equality in development’, </w:t>
      </w:r>
      <w:r w:rsidRPr="00147E8C">
        <w:rPr>
          <w:i/>
          <w:color w:val="000000" w:themeColor="text1"/>
        </w:rPr>
        <w:t>Gender &amp; Development</w:t>
      </w:r>
      <w:r w:rsidRPr="00147E8C">
        <w:rPr>
          <w:color w:val="000000" w:themeColor="text1"/>
        </w:rPr>
        <w:t xml:space="preserve">, 20 (3), pp. 517-529.  </w:t>
      </w:r>
    </w:p>
    <w:p w14:paraId="087A8DD4" w14:textId="77777777" w:rsidR="00A96CF7" w:rsidRPr="00147E8C" w:rsidRDefault="00A96CF7" w:rsidP="00A96CF7">
      <w:pPr>
        <w:spacing w:line="276" w:lineRule="auto"/>
        <w:rPr>
          <w:color w:val="000000" w:themeColor="text1"/>
        </w:rPr>
      </w:pPr>
    </w:p>
    <w:p w14:paraId="609FB623" w14:textId="77777777" w:rsidR="00A96CF7" w:rsidRPr="00147E8C" w:rsidRDefault="00A96CF7" w:rsidP="00A96CF7">
      <w:pPr>
        <w:spacing w:line="276" w:lineRule="auto"/>
        <w:rPr>
          <w:color w:val="000000" w:themeColor="text1"/>
        </w:rPr>
      </w:pPr>
      <w:r w:rsidRPr="00147E8C">
        <w:rPr>
          <w:color w:val="000000" w:themeColor="text1"/>
        </w:rPr>
        <w:t xml:space="preserve">Chinchilla, N. (1990) ´Revolutionary popular feminism in Nicaragua: articulating class, gender, and national sovereignty´, </w:t>
      </w:r>
      <w:r w:rsidRPr="00147E8C">
        <w:rPr>
          <w:i/>
          <w:color w:val="000000" w:themeColor="text1"/>
        </w:rPr>
        <w:t>Gender &amp; Society</w:t>
      </w:r>
      <w:r w:rsidRPr="00147E8C">
        <w:rPr>
          <w:color w:val="000000" w:themeColor="text1"/>
        </w:rPr>
        <w:t>, 4, pp.  370 - 97.</w:t>
      </w:r>
    </w:p>
    <w:p w14:paraId="6A1B386D" w14:textId="77777777" w:rsidR="00A96CF7" w:rsidRPr="00147E8C" w:rsidRDefault="00A96CF7" w:rsidP="00A96CF7">
      <w:pPr>
        <w:spacing w:line="276" w:lineRule="auto"/>
        <w:rPr>
          <w:color w:val="000000" w:themeColor="text1"/>
        </w:rPr>
      </w:pPr>
      <w:r w:rsidRPr="00147E8C">
        <w:rPr>
          <w:color w:val="000000" w:themeColor="text1"/>
          <w:lang w:val="en-US"/>
        </w:rPr>
        <w:t>Deepta Chopra, (2015) ‘Why We Care About Care’. Online lecture on online course: An online Moderate Course in Care Economy’. UN Women Training Centre. September 14- November 15, 2015.</w:t>
      </w:r>
    </w:p>
    <w:p w14:paraId="31509407" w14:textId="77777777" w:rsidR="00A96CF7" w:rsidRPr="00147E8C" w:rsidRDefault="00A96CF7" w:rsidP="00A96CF7">
      <w:pPr>
        <w:spacing w:line="276" w:lineRule="auto"/>
        <w:rPr>
          <w:color w:val="000000" w:themeColor="text1"/>
        </w:rPr>
      </w:pPr>
    </w:p>
    <w:p w14:paraId="7B4B8FA1" w14:textId="77777777" w:rsidR="00A96CF7" w:rsidRPr="00147E8C" w:rsidRDefault="00A96CF7" w:rsidP="00A96CF7">
      <w:pPr>
        <w:spacing w:line="276" w:lineRule="auto"/>
        <w:rPr>
          <w:color w:val="000000" w:themeColor="text1"/>
        </w:rPr>
      </w:pPr>
      <w:r w:rsidRPr="00147E8C">
        <w:rPr>
          <w:color w:val="000000" w:themeColor="text1"/>
        </w:rPr>
        <w:t xml:space="preserve">Chopra, D. and Sweetman, C. (2014) </w:t>
      </w:r>
      <w:r w:rsidRPr="00147E8C">
        <w:rPr>
          <w:bCs/>
          <w:color w:val="000000" w:themeColor="text1"/>
        </w:rPr>
        <w:t xml:space="preserve">Introduction to gender, development and care, </w:t>
      </w:r>
      <w:hyperlink r:id="rId34" w:history="1">
        <w:r w:rsidRPr="00147E8C">
          <w:rPr>
            <w:rStyle w:val="Hyperlink"/>
            <w:rFonts w:eastAsiaTheme="majorEastAsia"/>
            <w:bCs/>
            <w:i/>
            <w:color w:val="000000" w:themeColor="text1"/>
          </w:rPr>
          <w:t>Gender &amp; Development</w:t>
        </w:r>
      </w:hyperlink>
      <w:r w:rsidRPr="00147E8C">
        <w:rPr>
          <w:color w:val="000000" w:themeColor="text1"/>
        </w:rPr>
        <w:t>, 22 (3), pp. 409-421.</w:t>
      </w:r>
    </w:p>
    <w:p w14:paraId="1CD21172" w14:textId="77777777" w:rsidR="00A96CF7" w:rsidRPr="00147E8C" w:rsidRDefault="00A96CF7" w:rsidP="00A96CF7">
      <w:pPr>
        <w:spacing w:line="276" w:lineRule="auto"/>
        <w:rPr>
          <w:color w:val="000000" w:themeColor="text1"/>
        </w:rPr>
      </w:pPr>
    </w:p>
    <w:p w14:paraId="41F402ED" w14:textId="77777777" w:rsidR="00A96CF7" w:rsidRPr="00147E8C" w:rsidRDefault="00A96CF7" w:rsidP="00A96CF7">
      <w:pPr>
        <w:spacing w:line="276" w:lineRule="auto"/>
        <w:rPr>
          <w:color w:val="000000" w:themeColor="text1"/>
        </w:rPr>
      </w:pPr>
      <w:r w:rsidRPr="00147E8C">
        <w:rPr>
          <w:color w:val="000000" w:themeColor="text1"/>
        </w:rPr>
        <w:t>Chopra, D. with Zambelli, E. (2017) No Time to Rest: Women’s Lived Experiences of Balancing Paid Work and Unpaid Care Work, Brighton: IDS</w:t>
      </w:r>
    </w:p>
    <w:p w14:paraId="492126FF" w14:textId="77777777" w:rsidR="00A96CF7" w:rsidRPr="00147E8C" w:rsidRDefault="00A96CF7" w:rsidP="00A96CF7">
      <w:pPr>
        <w:spacing w:line="276" w:lineRule="auto"/>
        <w:rPr>
          <w:color w:val="000000" w:themeColor="text1"/>
        </w:rPr>
      </w:pPr>
    </w:p>
    <w:p w14:paraId="17E1E9DE" w14:textId="34AB4DE3" w:rsidR="00A96CF7" w:rsidRPr="000B7042" w:rsidRDefault="00A96CF7" w:rsidP="00A96CF7">
      <w:pPr>
        <w:spacing w:line="276" w:lineRule="auto"/>
        <w:rPr>
          <w:color w:val="000000" w:themeColor="text1"/>
        </w:rPr>
      </w:pPr>
      <w:r w:rsidRPr="000B7042">
        <w:rPr>
          <w:rStyle w:val="Strong"/>
          <w:b w:val="0"/>
          <w:color w:val="000000" w:themeColor="text1"/>
          <w:shd w:val="clear" w:color="auto" w:fill="FFFFFF"/>
        </w:rPr>
        <w:t xml:space="preserve">Christian Aid. (2013) </w:t>
      </w:r>
      <w:r w:rsidRPr="000B7042">
        <w:rPr>
          <w:rStyle w:val="Strong"/>
          <w:b w:val="0"/>
          <w:i/>
          <w:color w:val="000000" w:themeColor="text1"/>
          <w:shd w:val="clear" w:color="auto" w:fill="FFFFFF"/>
        </w:rPr>
        <w:t xml:space="preserve">A huge blow to Nicaraguan women´s rights </w:t>
      </w:r>
      <w:r w:rsidRPr="000B7042">
        <w:rPr>
          <w:rStyle w:val="Strong"/>
          <w:b w:val="0"/>
          <w:color w:val="000000" w:themeColor="text1"/>
          <w:shd w:val="clear" w:color="auto" w:fill="FFFFFF"/>
        </w:rPr>
        <w:t>[Online].</w:t>
      </w:r>
      <w:r w:rsidRPr="000B7042">
        <w:rPr>
          <w:rStyle w:val="Strong"/>
          <w:b w:val="0"/>
          <w:i/>
          <w:color w:val="000000" w:themeColor="text1"/>
          <w:shd w:val="clear" w:color="auto" w:fill="FFFFFF"/>
        </w:rPr>
        <w:t xml:space="preserve"> </w:t>
      </w:r>
      <w:r w:rsidRPr="000B7042">
        <w:rPr>
          <w:color w:val="000000" w:themeColor="text1"/>
        </w:rPr>
        <w:t xml:space="preserve">Available from: </w:t>
      </w:r>
      <w:r w:rsidRPr="000B7042">
        <w:rPr>
          <w:rStyle w:val="Hyperlink"/>
          <w:rFonts w:eastAsiaTheme="majorEastAsia"/>
          <w:color w:val="000000" w:themeColor="text1"/>
          <w:u w:val="none"/>
        </w:rPr>
        <w:t>http://www.christianaid.org.uk/pressoffice/blog/a-huge-blow-to-nicaraguan-womens-rights.aspx</w:t>
      </w:r>
      <w:r w:rsidR="000B7042">
        <w:rPr>
          <w:color w:val="000000" w:themeColor="text1"/>
        </w:rPr>
        <w:t xml:space="preserve"> [Accessed</w:t>
      </w:r>
      <w:r w:rsidRPr="000B7042">
        <w:rPr>
          <w:color w:val="000000" w:themeColor="text1"/>
        </w:rPr>
        <w:t xml:space="preserve"> 16th July 2017].</w:t>
      </w:r>
    </w:p>
    <w:p w14:paraId="50D5AC55" w14:textId="77777777" w:rsidR="00A96CF7" w:rsidRPr="00147E8C" w:rsidRDefault="00A96CF7" w:rsidP="00A96CF7">
      <w:pPr>
        <w:spacing w:line="276" w:lineRule="auto"/>
        <w:rPr>
          <w:color w:val="000000" w:themeColor="text1"/>
        </w:rPr>
      </w:pPr>
    </w:p>
    <w:p w14:paraId="30412C0C" w14:textId="77777777" w:rsidR="00A96CF7" w:rsidRPr="00147E8C" w:rsidRDefault="00A96CF7" w:rsidP="00A96CF7">
      <w:pPr>
        <w:spacing w:line="276" w:lineRule="auto"/>
        <w:rPr>
          <w:color w:val="000000" w:themeColor="text1"/>
        </w:rPr>
      </w:pPr>
      <w:r w:rsidRPr="00147E8C">
        <w:rPr>
          <w:color w:val="000000" w:themeColor="text1"/>
        </w:rPr>
        <w:t xml:space="preserve">Cialdini, R. (1990) ‘A focus theory of normative conduct: recycling the concept of norms to reduce littering in public places’, </w:t>
      </w:r>
      <w:r w:rsidRPr="00147E8C">
        <w:rPr>
          <w:i/>
          <w:iCs/>
          <w:color w:val="000000" w:themeColor="text1"/>
        </w:rPr>
        <w:t>Journal of Personality and Social Psychology</w:t>
      </w:r>
      <w:r w:rsidRPr="00147E8C">
        <w:rPr>
          <w:color w:val="000000" w:themeColor="text1"/>
        </w:rPr>
        <w:t xml:space="preserve">, 58 (6), pp. 1015-1026. </w:t>
      </w:r>
    </w:p>
    <w:p w14:paraId="4F4382CE" w14:textId="77777777" w:rsidR="00A96CF7" w:rsidRPr="00147E8C" w:rsidRDefault="00A96CF7" w:rsidP="00A96CF7">
      <w:pPr>
        <w:spacing w:line="276" w:lineRule="auto"/>
        <w:rPr>
          <w:color w:val="000000" w:themeColor="text1"/>
        </w:rPr>
      </w:pPr>
    </w:p>
    <w:p w14:paraId="6BFDE662" w14:textId="77777777" w:rsidR="00A96CF7" w:rsidRPr="00147E8C" w:rsidRDefault="00A96CF7" w:rsidP="00A96CF7">
      <w:pPr>
        <w:spacing w:line="276" w:lineRule="auto"/>
        <w:rPr>
          <w:color w:val="000000" w:themeColor="text1"/>
        </w:rPr>
      </w:pPr>
      <w:r w:rsidRPr="00147E8C">
        <w:rPr>
          <w:color w:val="000000" w:themeColor="text1"/>
        </w:rPr>
        <w:t xml:space="preserve">Cislaghi, B. and Heise, L. (no date) </w:t>
      </w:r>
      <w:r w:rsidRPr="00147E8C">
        <w:rPr>
          <w:i/>
          <w:color w:val="000000" w:themeColor="text1"/>
        </w:rPr>
        <w:t>Four avenues of normative influence: a research agenda for health promotion in low-income countries</w:t>
      </w:r>
      <w:r w:rsidRPr="00147E8C">
        <w:rPr>
          <w:color w:val="000000" w:themeColor="text1"/>
        </w:rPr>
        <w:t xml:space="preserve">. Unpublished document. </w:t>
      </w:r>
    </w:p>
    <w:p w14:paraId="067C3DBC" w14:textId="77777777" w:rsidR="00A96CF7" w:rsidRPr="00147E8C" w:rsidRDefault="00A96CF7" w:rsidP="00A96CF7">
      <w:pPr>
        <w:spacing w:line="276" w:lineRule="auto"/>
        <w:rPr>
          <w:color w:val="000000" w:themeColor="text1"/>
        </w:rPr>
      </w:pPr>
    </w:p>
    <w:p w14:paraId="6758F9C9" w14:textId="77777777" w:rsidR="00A96CF7" w:rsidRPr="000B7042" w:rsidRDefault="00A96CF7" w:rsidP="00A96CF7">
      <w:pPr>
        <w:spacing w:line="276" w:lineRule="auto"/>
        <w:rPr>
          <w:color w:val="000000" w:themeColor="text1"/>
        </w:rPr>
      </w:pPr>
      <w:r w:rsidRPr="00147E8C">
        <w:rPr>
          <w:color w:val="000000" w:themeColor="text1"/>
        </w:rPr>
        <w:lastRenderedPageBreak/>
        <w:t>Cislaghi, B. and Heise, L.  (2016) ‘</w:t>
      </w:r>
      <w:r w:rsidRPr="00147E8C">
        <w:rPr>
          <w:iCs/>
          <w:color w:val="000000" w:themeColor="text1"/>
        </w:rPr>
        <w:t xml:space="preserve">Measuring gender-related social norms: report of a meeting, Baltimore Maryland’, </w:t>
      </w:r>
      <w:r w:rsidRPr="00147E8C">
        <w:rPr>
          <w:color w:val="000000" w:themeColor="text1"/>
        </w:rPr>
        <w:t>Learning</w:t>
      </w:r>
      <w:r w:rsidRPr="00147E8C">
        <w:rPr>
          <w:i/>
          <w:color w:val="000000" w:themeColor="text1"/>
        </w:rPr>
        <w:t xml:space="preserve"> Group on Social Norms and Gender-based Violence of the London School of Hygiene &amp; Tropical Medicine</w:t>
      </w:r>
      <w:r w:rsidRPr="00147E8C">
        <w:rPr>
          <w:color w:val="000000" w:themeColor="text1"/>
        </w:rPr>
        <w:t xml:space="preserve">, London 14–15 June </w:t>
      </w:r>
      <w:r w:rsidRPr="000B7042">
        <w:rPr>
          <w:color w:val="000000" w:themeColor="text1"/>
        </w:rPr>
        <w:t xml:space="preserve">2016. Available from: </w:t>
      </w:r>
      <w:hyperlink r:id="rId35" w:history="1">
        <w:r w:rsidRPr="000B7042">
          <w:rPr>
            <w:rStyle w:val="Hyperlink"/>
            <w:rFonts w:eastAsiaTheme="majorEastAsia"/>
            <w:color w:val="000000" w:themeColor="text1"/>
            <w:u w:val="none"/>
          </w:rPr>
          <w:t>http://strive.lshtm.ac.uk/system/files/attachments/Baltimore%20norms%20meeting%20report.pdf</w:t>
        </w:r>
      </w:hyperlink>
      <w:r w:rsidRPr="000B7042">
        <w:rPr>
          <w:color w:val="000000" w:themeColor="text1"/>
        </w:rPr>
        <w:t xml:space="preserve"> . [Accessed 26th March 2017].</w:t>
      </w:r>
    </w:p>
    <w:p w14:paraId="5B737F77" w14:textId="77777777" w:rsidR="00A96CF7" w:rsidRPr="000B7042" w:rsidRDefault="00A96CF7" w:rsidP="00A96CF7">
      <w:pPr>
        <w:spacing w:line="276" w:lineRule="auto"/>
        <w:rPr>
          <w:color w:val="000000" w:themeColor="text1"/>
        </w:rPr>
      </w:pPr>
    </w:p>
    <w:p w14:paraId="78EDE433" w14:textId="77777777" w:rsidR="00A96CF7" w:rsidRPr="000B7042" w:rsidRDefault="00A96CF7" w:rsidP="00A96CF7">
      <w:pPr>
        <w:spacing w:line="276" w:lineRule="auto"/>
        <w:rPr>
          <w:color w:val="000000" w:themeColor="text1"/>
        </w:rPr>
      </w:pPr>
      <w:r w:rsidRPr="000B7042">
        <w:rPr>
          <w:color w:val="000000" w:themeColor="text1"/>
        </w:rPr>
        <w:t>Code, L. (1995) ‘</w:t>
      </w:r>
      <w:r w:rsidRPr="000B7042">
        <w:rPr>
          <w:iCs/>
          <w:color w:val="000000" w:themeColor="text1"/>
        </w:rPr>
        <w:t>How do we know? Questions of method in feminist practice.’</w:t>
      </w:r>
      <w:r w:rsidRPr="000B7042">
        <w:rPr>
          <w:color w:val="000000" w:themeColor="text1"/>
        </w:rPr>
        <w:t xml:space="preserve"> in Burt, S and Code, L. (eds) </w:t>
      </w:r>
      <w:r w:rsidRPr="000B7042">
        <w:rPr>
          <w:i/>
          <w:color w:val="000000" w:themeColor="text1"/>
        </w:rPr>
        <w:t>Changing methods: feminists transforming practice</w:t>
      </w:r>
      <w:r w:rsidRPr="000B7042">
        <w:rPr>
          <w:color w:val="000000" w:themeColor="text1"/>
        </w:rPr>
        <w:t>. Peterborough: Broadview Press. pp. 14–44.</w:t>
      </w:r>
    </w:p>
    <w:p w14:paraId="59586EEA" w14:textId="77777777" w:rsidR="00A96CF7" w:rsidRPr="000B7042" w:rsidRDefault="00A96CF7" w:rsidP="00A96CF7">
      <w:pPr>
        <w:spacing w:line="276" w:lineRule="auto"/>
        <w:rPr>
          <w:color w:val="000000" w:themeColor="text1"/>
        </w:rPr>
      </w:pPr>
    </w:p>
    <w:p w14:paraId="30A3E08C" w14:textId="77777777" w:rsidR="00A96CF7" w:rsidRPr="000B7042" w:rsidRDefault="00A96CF7" w:rsidP="00A96CF7">
      <w:pPr>
        <w:spacing w:line="276" w:lineRule="auto"/>
        <w:rPr>
          <w:color w:val="000000" w:themeColor="text1"/>
        </w:rPr>
      </w:pPr>
      <w:r w:rsidRPr="000B7042">
        <w:rPr>
          <w:color w:val="000000" w:themeColor="text1"/>
        </w:rPr>
        <w:t xml:space="preserve">Coffey International Development. (2013) </w:t>
      </w:r>
      <w:r w:rsidRPr="000B7042">
        <w:rPr>
          <w:i/>
          <w:iCs/>
          <w:color w:val="000000" w:themeColor="text1"/>
        </w:rPr>
        <w:t>Mainstreaming women’s economic empowerment in market systems development, Practitioner Guidelines</w:t>
      </w:r>
      <w:r w:rsidRPr="000B7042">
        <w:rPr>
          <w:color w:val="000000" w:themeColor="text1"/>
        </w:rPr>
        <w:t>, Reading: Coffey International Development.</w:t>
      </w:r>
    </w:p>
    <w:p w14:paraId="19EA3706" w14:textId="77777777" w:rsidR="00A96CF7" w:rsidRPr="000B7042" w:rsidRDefault="00A96CF7" w:rsidP="00A96CF7">
      <w:pPr>
        <w:pStyle w:val="NormalWeb"/>
        <w:spacing w:line="276" w:lineRule="auto"/>
        <w:rPr>
          <w:color w:val="000000" w:themeColor="text1"/>
        </w:rPr>
      </w:pPr>
      <w:r w:rsidRPr="000B7042">
        <w:rPr>
          <w:color w:val="000000" w:themeColor="text1"/>
        </w:rPr>
        <w:t xml:space="preserve">CQI (2015), </w:t>
      </w:r>
      <w:r w:rsidRPr="000B7042">
        <w:rPr>
          <w:i/>
          <w:color w:val="000000" w:themeColor="text1"/>
        </w:rPr>
        <w:t>The way forward, accelerating gender equity in coffee value chains</w:t>
      </w:r>
      <w:r w:rsidRPr="000B7042">
        <w:rPr>
          <w:color w:val="000000" w:themeColor="text1"/>
        </w:rPr>
        <w:t xml:space="preserve"> [Online] CQI Partnership for Gender Equity (PGE). Available from: </w:t>
      </w:r>
      <w:r w:rsidRPr="000B7042">
        <w:rPr>
          <w:rStyle w:val="Hyperlink"/>
          <w:color w:val="000000" w:themeColor="text1"/>
          <w:u w:val="none"/>
        </w:rPr>
        <w:t>http://www.coffeeinstitute.org/wp-content/uploads/2015/10/The-Way-Forward_Final-Full-Length-Report_opt.pdf [Accessed 3 June 2017].</w:t>
      </w:r>
    </w:p>
    <w:p w14:paraId="494DA4B1" w14:textId="77777777" w:rsidR="00A96CF7" w:rsidRPr="00147E8C" w:rsidRDefault="00A96CF7" w:rsidP="00A96CF7">
      <w:pPr>
        <w:spacing w:line="276" w:lineRule="auto"/>
        <w:rPr>
          <w:color w:val="000000" w:themeColor="text1"/>
        </w:rPr>
      </w:pPr>
      <w:r w:rsidRPr="00147E8C">
        <w:rPr>
          <w:color w:val="000000" w:themeColor="text1"/>
        </w:rPr>
        <w:t xml:space="preserve">Collinson, H. (1990) </w:t>
      </w:r>
      <w:r w:rsidRPr="00147E8C">
        <w:rPr>
          <w:i/>
          <w:iCs/>
          <w:color w:val="000000" w:themeColor="text1"/>
        </w:rPr>
        <w:t>Women and the Revolution in Nicaragua</w:t>
      </w:r>
      <w:r w:rsidRPr="00147E8C">
        <w:rPr>
          <w:color w:val="000000" w:themeColor="text1"/>
        </w:rPr>
        <w:t>. London: Zed Books.</w:t>
      </w:r>
    </w:p>
    <w:p w14:paraId="42B3E707" w14:textId="77777777" w:rsidR="00A96CF7" w:rsidRPr="00147E8C" w:rsidRDefault="00A96CF7" w:rsidP="00A96CF7">
      <w:pPr>
        <w:spacing w:line="276" w:lineRule="auto"/>
        <w:rPr>
          <w:color w:val="000000" w:themeColor="text1"/>
        </w:rPr>
      </w:pPr>
    </w:p>
    <w:p w14:paraId="0AB2D163" w14:textId="77777777" w:rsidR="00A96CF7" w:rsidRPr="00147E8C" w:rsidRDefault="00A96CF7" w:rsidP="00A96CF7">
      <w:pPr>
        <w:spacing w:line="276" w:lineRule="auto"/>
        <w:rPr>
          <w:color w:val="000000" w:themeColor="text1"/>
        </w:rPr>
      </w:pPr>
      <w:r w:rsidRPr="00147E8C">
        <w:rPr>
          <w:color w:val="000000" w:themeColor="text1"/>
        </w:rPr>
        <w:t xml:space="preserve">Committee on the Elimination of Discrimination Against Women (2005) </w:t>
      </w:r>
      <w:r w:rsidRPr="00147E8C">
        <w:rPr>
          <w:i/>
          <w:color w:val="000000" w:themeColor="text1"/>
        </w:rPr>
        <w:t xml:space="preserve">Sixth periodic report of states parties: Nicaragua, CEDAW/C/NIC/6 </w:t>
      </w:r>
      <w:r w:rsidRPr="00147E8C">
        <w:rPr>
          <w:color w:val="000000" w:themeColor="text1"/>
        </w:rPr>
        <w:t xml:space="preserve">[Online]. Available from: </w:t>
      </w:r>
      <w:hyperlink r:id="rId36" w:history="1">
        <w:r w:rsidRPr="00147E8C">
          <w:rPr>
            <w:color w:val="000000" w:themeColor="text1"/>
          </w:rPr>
          <w:t>http://www.un.org/womenwatch/daw/cedaw/37sess.htm</w:t>
        </w:r>
      </w:hyperlink>
      <w:r w:rsidRPr="00147E8C">
        <w:rPr>
          <w:color w:val="000000" w:themeColor="text1"/>
        </w:rPr>
        <w:t xml:space="preserve"> [Accessed 6th July 2017]. </w:t>
      </w:r>
    </w:p>
    <w:p w14:paraId="09176E47" w14:textId="77777777" w:rsidR="00A96CF7" w:rsidRPr="000B7042" w:rsidRDefault="00A96CF7" w:rsidP="00A96CF7">
      <w:pPr>
        <w:spacing w:line="276" w:lineRule="auto"/>
        <w:rPr>
          <w:color w:val="000000" w:themeColor="text1"/>
        </w:rPr>
      </w:pPr>
    </w:p>
    <w:p w14:paraId="62EE4CD1" w14:textId="77777777" w:rsidR="00A96CF7" w:rsidRPr="000B7042" w:rsidRDefault="00A96CF7" w:rsidP="00A96CF7">
      <w:pPr>
        <w:spacing w:line="276" w:lineRule="auto"/>
        <w:rPr>
          <w:color w:val="000000" w:themeColor="text1"/>
        </w:rPr>
      </w:pPr>
      <w:r w:rsidRPr="000B7042">
        <w:rPr>
          <w:color w:val="000000" w:themeColor="text1"/>
        </w:rPr>
        <w:t xml:space="preserve">Community Economies [no date] </w:t>
      </w:r>
      <w:r w:rsidRPr="000B7042">
        <w:rPr>
          <w:i/>
          <w:color w:val="000000" w:themeColor="text1"/>
        </w:rPr>
        <w:t xml:space="preserve">Key ideas. </w:t>
      </w:r>
      <w:r w:rsidRPr="000B7042">
        <w:rPr>
          <w:color w:val="000000" w:themeColor="text1"/>
        </w:rPr>
        <w:t>[Online]. Available from:</w:t>
      </w:r>
      <w:r w:rsidRPr="000B7042">
        <w:rPr>
          <w:i/>
          <w:color w:val="000000" w:themeColor="text1"/>
        </w:rPr>
        <w:t xml:space="preserve"> </w:t>
      </w:r>
      <w:r w:rsidRPr="000B7042">
        <w:rPr>
          <w:rStyle w:val="Hyperlink"/>
          <w:rFonts w:eastAsiaTheme="majorEastAsia"/>
          <w:color w:val="000000" w:themeColor="text1"/>
          <w:u w:val="none"/>
        </w:rPr>
        <w:t>http://www.communityeconomies.org/Home/Key-Ideas</w:t>
      </w:r>
      <w:r w:rsidRPr="000B7042">
        <w:rPr>
          <w:color w:val="000000" w:themeColor="text1"/>
        </w:rPr>
        <w:t xml:space="preserve"> [Accessed 23rd May 2017]. </w:t>
      </w:r>
    </w:p>
    <w:p w14:paraId="6B05E283" w14:textId="77777777" w:rsidR="00A96CF7" w:rsidRPr="000B7042" w:rsidRDefault="00A96CF7" w:rsidP="00A96CF7">
      <w:pPr>
        <w:spacing w:line="276" w:lineRule="auto"/>
        <w:rPr>
          <w:color w:val="000000" w:themeColor="text1"/>
        </w:rPr>
      </w:pPr>
    </w:p>
    <w:p w14:paraId="5BCFADB4" w14:textId="77777777" w:rsidR="00A96CF7" w:rsidRPr="000B7042" w:rsidRDefault="00A96CF7" w:rsidP="00A96CF7">
      <w:pPr>
        <w:spacing w:line="276" w:lineRule="auto"/>
        <w:rPr>
          <w:color w:val="000000" w:themeColor="text1"/>
          <w:lang w:val="es-NI"/>
        </w:rPr>
      </w:pPr>
      <w:r w:rsidRPr="000B7042">
        <w:rPr>
          <w:color w:val="000000" w:themeColor="text1"/>
          <w:lang w:val="es-NI"/>
        </w:rPr>
        <w:t>Confidencial (2017a). ‘Femicidios en Nicaragua: ¿Qué significa “ni una muerta más”?’</w:t>
      </w:r>
    </w:p>
    <w:p w14:paraId="4947C4CE" w14:textId="77777777" w:rsidR="00A96CF7" w:rsidRPr="000B7042" w:rsidRDefault="00A96CF7" w:rsidP="00A96CF7">
      <w:pPr>
        <w:spacing w:line="276" w:lineRule="auto"/>
        <w:rPr>
          <w:color w:val="000000" w:themeColor="text1"/>
          <w:lang w:val="en-US"/>
        </w:rPr>
      </w:pPr>
      <w:r w:rsidRPr="000B7042">
        <w:rPr>
          <w:i/>
          <w:color w:val="000000" w:themeColor="text1"/>
          <w:lang w:val="en-US"/>
        </w:rPr>
        <w:t>Confidencial</w:t>
      </w:r>
      <w:r w:rsidRPr="000B7042">
        <w:rPr>
          <w:color w:val="000000" w:themeColor="text1"/>
          <w:lang w:val="en-US"/>
        </w:rPr>
        <w:t xml:space="preserve"> [Online] 30 August 2017. Available from: </w:t>
      </w:r>
      <w:r w:rsidRPr="000B7042">
        <w:rPr>
          <w:rStyle w:val="Hyperlink"/>
          <w:rFonts w:eastAsiaTheme="majorEastAsia"/>
          <w:color w:val="000000" w:themeColor="text1"/>
          <w:u w:val="none"/>
        </w:rPr>
        <w:t>https://confidencial.com.ni/femicidios-en-nicaragua-que-significa-ni-una-muerta-mas</w:t>
      </w:r>
      <w:r w:rsidRPr="000B7042">
        <w:rPr>
          <w:color w:val="000000" w:themeColor="text1"/>
        </w:rPr>
        <w:t xml:space="preserve"> [Accessed 2nd October 2017].</w:t>
      </w:r>
    </w:p>
    <w:p w14:paraId="6155FAAF" w14:textId="77777777" w:rsidR="00A96CF7" w:rsidRPr="000B7042" w:rsidRDefault="00A96CF7" w:rsidP="00A96CF7">
      <w:pPr>
        <w:spacing w:line="276" w:lineRule="auto"/>
        <w:rPr>
          <w:color w:val="000000" w:themeColor="text1"/>
        </w:rPr>
      </w:pPr>
    </w:p>
    <w:p w14:paraId="3A7F0256" w14:textId="381C0D12" w:rsidR="00A96CF7" w:rsidRPr="00147E8C" w:rsidRDefault="00A96CF7" w:rsidP="00A96CF7">
      <w:pPr>
        <w:spacing w:line="276" w:lineRule="auto"/>
        <w:rPr>
          <w:color w:val="000000" w:themeColor="text1"/>
        </w:rPr>
      </w:pPr>
      <w:r w:rsidRPr="000B7042">
        <w:rPr>
          <w:color w:val="000000" w:themeColor="text1"/>
        </w:rPr>
        <w:t xml:space="preserve">Confidencial (2017b) ‘World Bank confirms: a third of Nicaraguans live in poverty’, </w:t>
      </w:r>
      <w:r w:rsidRPr="000B7042">
        <w:rPr>
          <w:i/>
          <w:color w:val="000000" w:themeColor="text1"/>
        </w:rPr>
        <w:t>Confidencial</w:t>
      </w:r>
      <w:r w:rsidRPr="000B7042">
        <w:rPr>
          <w:color w:val="000000" w:themeColor="text1"/>
        </w:rPr>
        <w:t xml:space="preserve">. [Online] 7 August. Available from: </w:t>
      </w:r>
      <w:r w:rsidRPr="000B7042">
        <w:rPr>
          <w:rStyle w:val="Hyperlink"/>
          <w:rFonts w:eastAsiaTheme="majorEastAsia"/>
          <w:color w:val="000000" w:themeColor="text1"/>
          <w:u w:val="none"/>
        </w:rPr>
        <w:t>https://confidencial.com.ni/world-bank-confirms-third-of-nicaraguans-live-in-poverty/</w:t>
      </w:r>
      <w:r w:rsidRPr="000B7042">
        <w:rPr>
          <w:color w:val="000000" w:themeColor="text1"/>
        </w:rPr>
        <w:t xml:space="preserve"> [Accessed</w:t>
      </w:r>
      <w:r w:rsidRPr="00147E8C">
        <w:rPr>
          <w:color w:val="000000" w:themeColor="text1"/>
        </w:rPr>
        <w:t xml:space="preserve"> 7th August 2017].</w:t>
      </w:r>
    </w:p>
    <w:p w14:paraId="35897343" w14:textId="77777777" w:rsidR="00A96CF7" w:rsidRPr="00147E8C" w:rsidRDefault="00A96CF7" w:rsidP="00A96CF7">
      <w:pPr>
        <w:spacing w:line="276" w:lineRule="auto"/>
        <w:rPr>
          <w:color w:val="000000" w:themeColor="text1"/>
        </w:rPr>
      </w:pPr>
    </w:p>
    <w:p w14:paraId="751798E5" w14:textId="77777777" w:rsidR="00A96CF7" w:rsidRPr="00147E8C" w:rsidRDefault="00A96CF7" w:rsidP="00A96CF7">
      <w:pPr>
        <w:spacing w:line="276" w:lineRule="auto"/>
        <w:rPr>
          <w:color w:val="000000" w:themeColor="text1"/>
        </w:rPr>
      </w:pPr>
      <w:r w:rsidRPr="00147E8C">
        <w:rPr>
          <w:color w:val="000000" w:themeColor="text1"/>
        </w:rPr>
        <w:t xml:space="preserve">Connell, R. (1995) </w:t>
      </w:r>
      <w:r w:rsidRPr="00147E8C">
        <w:rPr>
          <w:i/>
          <w:color w:val="000000" w:themeColor="text1"/>
        </w:rPr>
        <w:t>Masculinities</w:t>
      </w:r>
      <w:r w:rsidRPr="00147E8C">
        <w:rPr>
          <w:color w:val="000000" w:themeColor="text1"/>
        </w:rPr>
        <w:t xml:space="preserve">. Cambridge: Polity Press. </w:t>
      </w:r>
    </w:p>
    <w:p w14:paraId="255174F1" w14:textId="77777777" w:rsidR="00A96CF7" w:rsidRPr="00147E8C" w:rsidRDefault="00A96CF7" w:rsidP="00A96CF7">
      <w:pPr>
        <w:spacing w:line="276" w:lineRule="auto"/>
        <w:rPr>
          <w:color w:val="000000" w:themeColor="text1"/>
        </w:rPr>
      </w:pPr>
    </w:p>
    <w:p w14:paraId="40FFFCD2" w14:textId="77777777" w:rsidR="00A96CF7" w:rsidRPr="00147E8C" w:rsidRDefault="00A96CF7" w:rsidP="00A96CF7">
      <w:pPr>
        <w:spacing w:line="276" w:lineRule="auto"/>
        <w:rPr>
          <w:color w:val="000000" w:themeColor="text1"/>
        </w:rPr>
      </w:pPr>
      <w:r w:rsidRPr="00147E8C">
        <w:rPr>
          <w:color w:val="000000" w:themeColor="text1"/>
        </w:rPr>
        <w:t xml:space="preserve">Connell, R. (2003) ‘The role of men and boys in achieving gender equality’, </w:t>
      </w:r>
      <w:r w:rsidRPr="00147E8C">
        <w:rPr>
          <w:i/>
          <w:color w:val="000000" w:themeColor="text1"/>
        </w:rPr>
        <w:t>Expert Group meeting paper (EGM/Men-Boys-GE/2003/BP.1)</w:t>
      </w:r>
      <w:r w:rsidRPr="00147E8C">
        <w:rPr>
          <w:color w:val="000000" w:themeColor="text1"/>
        </w:rPr>
        <w:t xml:space="preserve">. Brasilia, 7 October. </w:t>
      </w:r>
      <w:r w:rsidRPr="00147E8C">
        <w:rPr>
          <w:color w:val="000000" w:themeColor="text1"/>
        </w:rPr>
        <w:lastRenderedPageBreak/>
        <w:t xml:space="preserve">Available from: </w:t>
      </w:r>
      <w:r w:rsidRPr="00147E8C">
        <w:rPr>
          <w:rStyle w:val="Hyperlink"/>
          <w:rFonts w:eastAsiaTheme="majorEastAsia"/>
          <w:color w:val="000000" w:themeColor="text1"/>
        </w:rPr>
        <w:t>http://www.un.org/womenwatch/daw/egm/men-boys2003/Connell-bp.pdf</w:t>
      </w:r>
      <w:r w:rsidRPr="00147E8C">
        <w:rPr>
          <w:color w:val="000000" w:themeColor="text1"/>
          <w:lang w:val="en-US"/>
        </w:rPr>
        <w:t xml:space="preserve"> </w:t>
      </w:r>
      <w:r w:rsidRPr="00147E8C">
        <w:rPr>
          <w:color w:val="000000" w:themeColor="text1"/>
        </w:rPr>
        <w:t>[Accessed 19th July 2017].</w:t>
      </w:r>
    </w:p>
    <w:p w14:paraId="3792D1C4" w14:textId="77777777" w:rsidR="00A96CF7" w:rsidRPr="00147E8C" w:rsidRDefault="00A96CF7" w:rsidP="00A96CF7">
      <w:pPr>
        <w:spacing w:line="276" w:lineRule="auto"/>
        <w:rPr>
          <w:color w:val="000000" w:themeColor="text1"/>
        </w:rPr>
      </w:pPr>
    </w:p>
    <w:p w14:paraId="16861F00" w14:textId="77777777" w:rsidR="00A96CF7" w:rsidRPr="00147E8C" w:rsidRDefault="00A96CF7" w:rsidP="00A96CF7">
      <w:pPr>
        <w:spacing w:line="276" w:lineRule="auto"/>
        <w:rPr>
          <w:color w:val="000000" w:themeColor="text1"/>
        </w:rPr>
      </w:pPr>
      <w:r w:rsidRPr="00147E8C">
        <w:rPr>
          <w:color w:val="000000" w:themeColor="text1"/>
        </w:rPr>
        <w:t xml:space="preserve">Connell, R.W. and Messerschmidt, J. (2005) ‘Hegemonic masculinity: rethinking the concept’, </w:t>
      </w:r>
      <w:r w:rsidRPr="00147E8C">
        <w:rPr>
          <w:i/>
          <w:iCs/>
          <w:color w:val="000000" w:themeColor="text1"/>
        </w:rPr>
        <w:t xml:space="preserve">Gender and Society </w:t>
      </w:r>
      <w:r w:rsidRPr="00147E8C">
        <w:rPr>
          <w:color w:val="000000" w:themeColor="text1"/>
        </w:rPr>
        <w:t xml:space="preserve">19 (6), pp. 829-859. </w:t>
      </w:r>
    </w:p>
    <w:p w14:paraId="326011D3" w14:textId="77777777" w:rsidR="00A96CF7" w:rsidRPr="00147E8C" w:rsidRDefault="00A96CF7" w:rsidP="00A96CF7">
      <w:pPr>
        <w:spacing w:before="100" w:beforeAutospacing="1" w:after="100" w:afterAutospacing="1" w:line="276" w:lineRule="auto"/>
        <w:rPr>
          <w:color w:val="000000" w:themeColor="text1"/>
        </w:rPr>
      </w:pPr>
      <w:r w:rsidRPr="00147E8C">
        <w:rPr>
          <w:color w:val="000000" w:themeColor="text1"/>
        </w:rPr>
        <w:t xml:space="preserve">Contreras JM, Bott S, Guedes A., Dartnall, E., (2010) </w:t>
      </w:r>
      <w:r w:rsidRPr="00147E8C">
        <w:rPr>
          <w:i/>
          <w:iCs/>
          <w:color w:val="000000" w:themeColor="text1"/>
        </w:rPr>
        <w:t>Sexual violence in Latin America and the Caribbean: a desk review</w:t>
      </w:r>
      <w:r w:rsidRPr="00147E8C">
        <w:rPr>
          <w:color w:val="000000" w:themeColor="text1"/>
        </w:rPr>
        <w:t>. Pretoria, South Africa: Sexual Violence research initiative, medical research council South Africa,</w:t>
      </w:r>
      <w:r w:rsidRPr="00147E8C">
        <w:rPr>
          <w:color w:val="000000" w:themeColor="text1"/>
        </w:rPr>
        <w:br/>
        <w:t xml:space="preserve">IPAS, PAHO, UNFPA. http://www.svri.org/ SexualViolenceLacaribbean.pdf, http://www. svri.org/Violencia.pdf, http://www.svri.org/ ViolenciaSexualnaaLenocaribe.pdf </w:t>
      </w:r>
    </w:p>
    <w:p w14:paraId="2A98A8CA" w14:textId="77777777" w:rsidR="00A96CF7" w:rsidRPr="00147E8C" w:rsidRDefault="00A96CF7" w:rsidP="00A96CF7">
      <w:pPr>
        <w:spacing w:line="276" w:lineRule="auto"/>
        <w:rPr>
          <w:color w:val="000000" w:themeColor="text1"/>
          <w:spacing w:val="3"/>
        </w:rPr>
      </w:pPr>
      <w:r w:rsidRPr="00147E8C">
        <w:rPr>
          <w:color w:val="000000" w:themeColor="text1"/>
        </w:rPr>
        <w:t>Cook, S. (2014). ‘</w:t>
      </w:r>
      <w:r w:rsidRPr="00147E8C">
        <w:rPr>
          <w:color w:val="000000" w:themeColor="text1"/>
          <w:spacing w:val="3"/>
        </w:rPr>
        <w:t xml:space="preserve">New frontiers in feminist political economy’, </w:t>
      </w:r>
      <w:r w:rsidRPr="00147E8C">
        <w:rPr>
          <w:i/>
          <w:color w:val="000000" w:themeColor="text1"/>
          <w:spacing w:val="3"/>
        </w:rPr>
        <w:t xml:space="preserve">Gender and </w:t>
      </w:r>
      <w:r w:rsidRPr="005C7198">
        <w:rPr>
          <w:i/>
          <w:color w:val="000000" w:themeColor="text1"/>
          <w:spacing w:val="3"/>
        </w:rPr>
        <w:t xml:space="preserve">Development </w:t>
      </w:r>
      <w:r w:rsidRPr="005C7198">
        <w:rPr>
          <w:color w:val="000000" w:themeColor="text1"/>
          <w:spacing w:val="3"/>
        </w:rPr>
        <w:t>[Online],</w:t>
      </w:r>
      <w:r w:rsidRPr="005C7198">
        <w:rPr>
          <w:i/>
          <w:color w:val="000000" w:themeColor="text1"/>
          <w:spacing w:val="3"/>
        </w:rPr>
        <w:t xml:space="preserve"> </w:t>
      </w:r>
      <w:r w:rsidRPr="005C7198">
        <w:rPr>
          <w:color w:val="000000" w:themeColor="text1"/>
          <w:spacing w:val="3"/>
        </w:rPr>
        <w:t>22 (3).</w:t>
      </w:r>
      <w:r w:rsidRPr="005C7198">
        <w:rPr>
          <w:color w:val="000000" w:themeColor="text1"/>
        </w:rPr>
        <w:t xml:space="preserve"> </w:t>
      </w:r>
      <w:r w:rsidRPr="005C7198">
        <w:rPr>
          <w:color w:val="000000" w:themeColor="text1"/>
          <w:spacing w:val="3"/>
        </w:rPr>
        <w:t xml:space="preserve">Available from: </w:t>
      </w:r>
      <w:r w:rsidRPr="005C7198">
        <w:rPr>
          <w:rStyle w:val="Hyperlink"/>
          <w:rFonts w:eastAsiaTheme="majorEastAsia"/>
          <w:color w:val="000000" w:themeColor="text1"/>
          <w:u w:val="none"/>
        </w:rPr>
        <w:t>http://www.genderanddevelopment.org/page/new-frontiers-review</w:t>
      </w:r>
      <w:r w:rsidRPr="005C7198">
        <w:rPr>
          <w:color w:val="000000" w:themeColor="text1"/>
        </w:rPr>
        <w:t xml:space="preserve"> [</w:t>
      </w:r>
      <w:r w:rsidRPr="00147E8C">
        <w:rPr>
          <w:color w:val="000000" w:themeColor="text1"/>
        </w:rPr>
        <w:t>Accessed 17 February 2017)].</w:t>
      </w:r>
      <w:r w:rsidRPr="00147E8C">
        <w:rPr>
          <w:color w:val="000000" w:themeColor="text1"/>
          <w:spacing w:val="3"/>
        </w:rPr>
        <w:t xml:space="preserve"> </w:t>
      </w:r>
    </w:p>
    <w:p w14:paraId="3D901EC1" w14:textId="77777777" w:rsidR="00A96CF7" w:rsidRPr="00147E8C" w:rsidRDefault="00A96CF7" w:rsidP="00A96CF7">
      <w:pPr>
        <w:spacing w:line="276" w:lineRule="auto"/>
        <w:rPr>
          <w:color w:val="000000" w:themeColor="text1"/>
        </w:rPr>
      </w:pPr>
    </w:p>
    <w:p w14:paraId="5CF8B5FE" w14:textId="77777777" w:rsidR="00A96CF7" w:rsidRPr="00147E8C" w:rsidRDefault="00A96CF7" w:rsidP="00A96CF7">
      <w:pPr>
        <w:spacing w:line="276" w:lineRule="auto"/>
        <w:rPr>
          <w:color w:val="000000" w:themeColor="text1"/>
          <w:lang w:val="es-NI"/>
        </w:rPr>
      </w:pPr>
      <w:r w:rsidRPr="00147E8C">
        <w:rPr>
          <w:color w:val="000000" w:themeColor="text1"/>
        </w:rPr>
        <w:t xml:space="preserve">Cooke, B. and Kothari, U. (eds.) (2001) </w:t>
      </w:r>
      <w:r w:rsidRPr="00147E8C">
        <w:rPr>
          <w:i/>
          <w:color w:val="000000" w:themeColor="text1"/>
        </w:rPr>
        <w:t>Participation: The New Tyranny?</w:t>
      </w:r>
      <w:r w:rsidRPr="00147E8C">
        <w:rPr>
          <w:color w:val="000000" w:themeColor="text1"/>
        </w:rPr>
        <w:t xml:space="preserve"> </w:t>
      </w:r>
      <w:r w:rsidRPr="00147E8C">
        <w:rPr>
          <w:color w:val="000000" w:themeColor="text1"/>
          <w:lang w:val="es-NI"/>
        </w:rPr>
        <w:t>New York: Zed Books.</w:t>
      </w:r>
    </w:p>
    <w:p w14:paraId="4C6AAFFB" w14:textId="77777777" w:rsidR="00A96CF7" w:rsidRPr="00147E8C" w:rsidRDefault="00A96CF7" w:rsidP="00A96CF7">
      <w:pPr>
        <w:spacing w:line="276" w:lineRule="auto"/>
        <w:rPr>
          <w:color w:val="000000" w:themeColor="text1"/>
          <w:lang w:val="es-NI"/>
        </w:rPr>
      </w:pPr>
    </w:p>
    <w:p w14:paraId="33EE20CD"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Cooperativa JFPS [no date] </w:t>
      </w:r>
      <w:r w:rsidRPr="00147E8C">
        <w:rPr>
          <w:i/>
          <w:color w:val="000000" w:themeColor="text1"/>
          <w:lang w:val="es-NI"/>
        </w:rPr>
        <w:t>Visión y misión: Iniciativa e</w:t>
      </w:r>
      <w:r w:rsidRPr="00147E8C">
        <w:rPr>
          <w:i/>
          <w:color w:val="000000" w:themeColor="text1"/>
          <w:lang w:val="es-ES_tradnl"/>
        </w:rPr>
        <w:t xml:space="preserve">l reconocimiento del trabajo no remunerado de las mujeres. </w:t>
      </w:r>
      <w:r w:rsidRPr="00147E8C">
        <w:rPr>
          <w:color w:val="000000" w:themeColor="text1"/>
          <w:lang w:val="en-US"/>
        </w:rPr>
        <w:t>Achuapa: CJFPS.</w:t>
      </w:r>
    </w:p>
    <w:p w14:paraId="516D3289" w14:textId="77777777" w:rsidR="00A96CF7" w:rsidRPr="00147E8C" w:rsidRDefault="00A96CF7" w:rsidP="00A96CF7">
      <w:pPr>
        <w:spacing w:line="276" w:lineRule="auto"/>
        <w:rPr>
          <w:color w:val="000000" w:themeColor="text1"/>
          <w:lang w:val="en-US"/>
        </w:rPr>
      </w:pPr>
    </w:p>
    <w:p w14:paraId="65389858"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Cooperativa Juan Francisco Paz Silva (2008) </w:t>
      </w:r>
      <w:r w:rsidRPr="00147E8C">
        <w:rPr>
          <w:i/>
          <w:iCs/>
          <w:color w:val="000000" w:themeColor="text1"/>
          <w:lang w:val="en-US"/>
        </w:rPr>
        <w:t xml:space="preserve">Unpaid work and cash crop production in sesame – how to deal with the issue of ‘support labour costs’. </w:t>
      </w:r>
      <w:r w:rsidRPr="00147E8C">
        <w:rPr>
          <w:iCs/>
          <w:color w:val="000000" w:themeColor="text1"/>
          <w:lang w:val="en-US"/>
        </w:rPr>
        <w:t xml:space="preserve">Unpublished paper. León: </w:t>
      </w:r>
      <w:r w:rsidRPr="00147E8C">
        <w:rPr>
          <w:color w:val="000000" w:themeColor="text1"/>
          <w:lang w:val="en-US"/>
        </w:rPr>
        <w:t xml:space="preserve">CFJPS. </w:t>
      </w:r>
    </w:p>
    <w:p w14:paraId="47395B5C" w14:textId="77777777" w:rsidR="00A96CF7" w:rsidRPr="00147E8C" w:rsidRDefault="00A96CF7" w:rsidP="00A96CF7">
      <w:pPr>
        <w:spacing w:line="276" w:lineRule="auto"/>
        <w:rPr>
          <w:color w:val="000000" w:themeColor="text1"/>
        </w:rPr>
      </w:pPr>
    </w:p>
    <w:p w14:paraId="7E72A7C4" w14:textId="77777777" w:rsidR="00A96CF7" w:rsidRPr="00147E8C" w:rsidRDefault="00A96CF7" w:rsidP="00A96CF7">
      <w:pPr>
        <w:spacing w:line="276" w:lineRule="auto"/>
        <w:rPr>
          <w:color w:val="000000" w:themeColor="text1"/>
        </w:rPr>
      </w:pPr>
      <w:r w:rsidRPr="00147E8C">
        <w:rPr>
          <w:color w:val="000000" w:themeColor="text1"/>
        </w:rPr>
        <w:t>Cornwall, A. (2000) ‘Missing men? </w:t>
      </w:r>
      <w:r w:rsidRPr="00147E8C">
        <w:rPr>
          <w:iCs/>
          <w:color w:val="000000" w:themeColor="text1"/>
        </w:rPr>
        <w:t>reflections on men, masculinities and gender in GAD’</w:t>
      </w:r>
      <w:r w:rsidRPr="00147E8C">
        <w:rPr>
          <w:color w:val="000000" w:themeColor="text1"/>
        </w:rPr>
        <w:t xml:space="preserve">. </w:t>
      </w:r>
      <w:r w:rsidRPr="00147E8C">
        <w:rPr>
          <w:i/>
          <w:color w:val="000000" w:themeColor="text1"/>
        </w:rPr>
        <w:t>IDS Bulletin</w:t>
      </w:r>
      <w:r w:rsidRPr="00147E8C">
        <w:rPr>
          <w:color w:val="000000" w:themeColor="text1"/>
        </w:rPr>
        <w:t xml:space="preserve">, 31, pp. 18–27. </w:t>
      </w:r>
    </w:p>
    <w:p w14:paraId="0F9B181F" w14:textId="77777777" w:rsidR="00A96CF7" w:rsidRPr="00147E8C" w:rsidRDefault="00A96CF7" w:rsidP="00A96CF7">
      <w:pPr>
        <w:spacing w:line="276" w:lineRule="auto"/>
        <w:rPr>
          <w:color w:val="000000" w:themeColor="text1"/>
        </w:rPr>
      </w:pPr>
    </w:p>
    <w:p w14:paraId="4BF911F0" w14:textId="77777777" w:rsidR="00A96CF7" w:rsidRPr="00147E8C" w:rsidRDefault="00A96CF7" w:rsidP="00A96CF7">
      <w:pPr>
        <w:spacing w:line="276" w:lineRule="auto"/>
        <w:rPr>
          <w:color w:val="000000" w:themeColor="text1"/>
        </w:rPr>
      </w:pPr>
      <w:r w:rsidRPr="00147E8C">
        <w:rPr>
          <w:color w:val="000000" w:themeColor="text1"/>
        </w:rPr>
        <w:t xml:space="preserve">Cornwall, A (2003) ‘Whose voices? Whose Choices? Reflections on gender and participatory development’, </w:t>
      </w:r>
      <w:r w:rsidRPr="00147E8C">
        <w:rPr>
          <w:i/>
          <w:color w:val="000000" w:themeColor="text1"/>
        </w:rPr>
        <w:t>World Development</w:t>
      </w:r>
      <w:r w:rsidRPr="00147E8C">
        <w:rPr>
          <w:color w:val="000000" w:themeColor="text1"/>
        </w:rPr>
        <w:t>, 31(8), pp. 1325-42.</w:t>
      </w:r>
    </w:p>
    <w:p w14:paraId="2D31F244" w14:textId="77777777" w:rsidR="00A96CF7" w:rsidRPr="00147E8C" w:rsidRDefault="00A96CF7" w:rsidP="00A96CF7">
      <w:pPr>
        <w:spacing w:line="276" w:lineRule="auto"/>
        <w:rPr>
          <w:color w:val="000000" w:themeColor="text1"/>
        </w:rPr>
      </w:pPr>
    </w:p>
    <w:p w14:paraId="7027D884" w14:textId="77777777" w:rsidR="00A96CF7" w:rsidRPr="00147E8C" w:rsidRDefault="00A96CF7" w:rsidP="00A96CF7">
      <w:pPr>
        <w:spacing w:line="276" w:lineRule="auto"/>
        <w:rPr>
          <w:color w:val="000000" w:themeColor="text1"/>
        </w:rPr>
      </w:pPr>
      <w:r w:rsidRPr="00147E8C">
        <w:rPr>
          <w:color w:val="000000" w:themeColor="text1"/>
        </w:rPr>
        <w:t xml:space="preserve">Cornwall, A. (2008) ‘Unpacking ‘participation’: models, meanings and practices’, </w:t>
      </w:r>
      <w:r w:rsidRPr="00147E8C">
        <w:rPr>
          <w:i/>
          <w:color w:val="000000" w:themeColor="text1"/>
        </w:rPr>
        <w:t>Oxford University Press and Community Development Journal/Bulletin</w:t>
      </w:r>
      <w:r w:rsidRPr="00147E8C">
        <w:rPr>
          <w:color w:val="000000" w:themeColor="text1"/>
        </w:rPr>
        <w:t>, 31(2), pp. 1–6.</w:t>
      </w:r>
    </w:p>
    <w:p w14:paraId="43AA3A89" w14:textId="77777777" w:rsidR="00A96CF7" w:rsidRPr="00147E8C" w:rsidRDefault="00A96CF7" w:rsidP="00A96CF7">
      <w:pPr>
        <w:spacing w:line="276" w:lineRule="auto"/>
        <w:rPr>
          <w:color w:val="000000" w:themeColor="text1"/>
        </w:rPr>
      </w:pPr>
    </w:p>
    <w:p w14:paraId="749479E6" w14:textId="327C4AB1" w:rsidR="00A96CF7" w:rsidRPr="00147E8C" w:rsidRDefault="00A96CF7" w:rsidP="00A96CF7">
      <w:pPr>
        <w:spacing w:line="276" w:lineRule="auto"/>
        <w:rPr>
          <w:color w:val="000000" w:themeColor="text1"/>
        </w:rPr>
      </w:pPr>
      <w:r w:rsidRPr="00147E8C">
        <w:rPr>
          <w:color w:val="000000" w:themeColor="text1"/>
        </w:rPr>
        <w:t xml:space="preserve">Cornwall, A. (2014) </w:t>
      </w:r>
      <w:r w:rsidRPr="00147E8C">
        <w:rPr>
          <w:i/>
          <w:color w:val="000000" w:themeColor="text1"/>
        </w:rPr>
        <w:t xml:space="preserve">Women’s empowerment: what works and </w:t>
      </w:r>
      <w:r w:rsidR="009258C6" w:rsidRPr="00147E8C">
        <w:rPr>
          <w:i/>
          <w:color w:val="000000" w:themeColor="text1"/>
        </w:rPr>
        <w:t>why?</w:t>
      </w:r>
      <w:r w:rsidRPr="00147E8C">
        <w:rPr>
          <w:i/>
          <w:color w:val="000000" w:themeColor="text1"/>
        </w:rPr>
        <w:t xml:space="preserve"> </w:t>
      </w:r>
      <w:r w:rsidRPr="00147E8C">
        <w:rPr>
          <w:color w:val="000000" w:themeColor="text1"/>
        </w:rPr>
        <w:t xml:space="preserve">WIDER Working Paper No. 2014/104, p. 33.  Helsinki: UNU-WIDER. </w:t>
      </w:r>
    </w:p>
    <w:p w14:paraId="7F156E7A" w14:textId="77777777" w:rsidR="00A96CF7" w:rsidRPr="00147E8C" w:rsidRDefault="00A96CF7" w:rsidP="00A96CF7">
      <w:pPr>
        <w:spacing w:line="276" w:lineRule="auto"/>
        <w:rPr>
          <w:color w:val="000000" w:themeColor="text1"/>
        </w:rPr>
      </w:pPr>
    </w:p>
    <w:p w14:paraId="743C3D52" w14:textId="77777777" w:rsidR="00A96CF7" w:rsidRPr="00147E8C" w:rsidRDefault="00A96CF7" w:rsidP="00A96CF7">
      <w:pPr>
        <w:spacing w:line="276" w:lineRule="auto"/>
        <w:rPr>
          <w:color w:val="000000" w:themeColor="text1"/>
        </w:rPr>
      </w:pPr>
      <w:r w:rsidRPr="00147E8C">
        <w:rPr>
          <w:color w:val="000000" w:themeColor="text1"/>
        </w:rPr>
        <w:t xml:space="preserve">Cornwall, A. (2016) ‘Women’s empowerment: what works?’, </w:t>
      </w:r>
      <w:r w:rsidRPr="00147E8C">
        <w:rPr>
          <w:i/>
          <w:iCs/>
          <w:color w:val="000000" w:themeColor="text1"/>
        </w:rPr>
        <w:t xml:space="preserve">International Development </w:t>
      </w:r>
    </w:p>
    <w:p w14:paraId="46096E7F" w14:textId="77777777" w:rsidR="00A96CF7" w:rsidRPr="00147E8C" w:rsidRDefault="00A96CF7" w:rsidP="00A96CF7">
      <w:pPr>
        <w:spacing w:line="276" w:lineRule="auto"/>
        <w:rPr>
          <w:color w:val="000000" w:themeColor="text1"/>
        </w:rPr>
      </w:pPr>
    </w:p>
    <w:p w14:paraId="72E0D3C7"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Cornwall, A. (2017) </w:t>
      </w:r>
      <w:r w:rsidRPr="00147E8C">
        <w:rPr>
          <w:i/>
          <w:color w:val="000000" w:themeColor="text1"/>
        </w:rPr>
        <w:t>The role of social and political action in advancing women’s rights, empowerment, and accountability to women</w:t>
      </w:r>
      <w:r w:rsidRPr="00147E8C">
        <w:rPr>
          <w:color w:val="000000" w:themeColor="text1"/>
        </w:rPr>
        <w:t>. IDS Working Paper 488. Sussex: IDS.</w:t>
      </w:r>
    </w:p>
    <w:p w14:paraId="36296ABC" w14:textId="77777777" w:rsidR="00A96CF7" w:rsidRPr="00147E8C" w:rsidRDefault="00A96CF7" w:rsidP="00A96CF7">
      <w:pPr>
        <w:spacing w:line="276" w:lineRule="auto"/>
        <w:rPr>
          <w:color w:val="000000" w:themeColor="text1"/>
        </w:rPr>
      </w:pPr>
    </w:p>
    <w:p w14:paraId="6DF0886F" w14:textId="77777777" w:rsidR="00A96CF7" w:rsidRPr="00147E8C" w:rsidRDefault="00A96CF7" w:rsidP="00A96CF7">
      <w:pPr>
        <w:spacing w:line="276" w:lineRule="auto"/>
        <w:rPr>
          <w:color w:val="000000" w:themeColor="text1"/>
        </w:rPr>
      </w:pPr>
      <w:r w:rsidRPr="00147E8C">
        <w:rPr>
          <w:color w:val="000000" w:themeColor="text1"/>
        </w:rPr>
        <w:t xml:space="preserve">Cornwall, A. and Brock, K. (2005) </w:t>
      </w:r>
      <w:r w:rsidRPr="00147E8C">
        <w:rPr>
          <w:i/>
          <w:color w:val="000000" w:themeColor="text1"/>
        </w:rPr>
        <w:t>Beyond buzzwords: ‘poverty reduction,’ ‘participation,’ and ‘empowerment’ in development policy</w:t>
      </w:r>
      <w:r w:rsidRPr="00147E8C">
        <w:rPr>
          <w:color w:val="000000" w:themeColor="text1"/>
        </w:rPr>
        <w:t xml:space="preserve">. United Nations Research Institute for Social Development Programme Paper, No.10. Geneva: UNRISD. </w:t>
      </w:r>
    </w:p>
    <w:p w14:paraId="3FAEF7DF" w14:textId="77777777" w:rsidR="00A96CF7" w:rsidRPr="00147E8C" w:rsidRDefault="00A96CF7" w:rsidP="00A96CF7">
      <w:pPr>
        <w:spacing w:line="276" w:lineRule="auto"/>
        <w:rPr>
          <w:color w:val="000000" w:themeColor="text1"/>
        </w:rPr>
      </w:pPr>
    </w:p>
    <w:p w14:paraId="3667EF11" w14:textId="77777777" w:rsidR="00A96CF7" w:rsidRPr="00147E8C" w:rsidRDefault="00A96CF7" w:rsidP="00A96CF7">
      <w:pPr>
        <w:spacing w:line="276" w:lineRule="auto"/>
        <w:rPr>
          <w:color w:val="000000" w:themeColor="text1"/>
        </w:rPr>
      </w:pPr>
      <w:r w:rsidRPr="00147E8C">
        <w:rPr>
          <w:color w:val="000000" w:themeColor="text1"/>
        </w:rPr>
        <w:t xml:space="preserve">Cornwall, A., Gideon, J. and Wilson, K. (2008) ‘Introduction: reclaiming feminism: gender and neoliberalism’. </w:t>
      </w:r>
      <w:r w:rsidRPr="00147E8C">
        <w:rPr>
          <w:i/>
          <w:color w:val="000000" w:themeColor="text1"/>
        </w:rPr>
        <w:t>IDS Bulletin</w:t>
      </w:r>
      <w:r w:rsidRPr="00147E8C">
        <w:rPr>
          <w:color w:val="000000" w:themeColor="text1"/>
        </w:rPr>
        <w:t xml:space="preserve">, 39, pp. 1–9. </w:t>
      </w:r>
    </w:p>
    <w:p w14:paraId="4C4B3CD6" w14:textId="77777777" w:rsidR="00A96CF7" w:rsidRPr="00147E8C" w:rsidRDefault="00A96CF7" w:rsidP="00A96CF7">
      <w:pPr>
        <w:spacing w:line="276" w:lineRule="auto"/>
        <w:rPr>
          <w:color w:val="000000" w:themeColor="text1"/>
        </w:rPr>
      </w:pPr>
    </w:p>
    <w:p w14:paraId="7D69B987" w14:textId="77777777" w:rsidR="00A96CF7" w:rsidRPr="00147E8C" w:rsidRDefault="00A96CF7" w:rsidP="00A96CF7">
      <w:pPr>
        <w:spacing w:line="276" w:lineRule="auto"/>
        <w:rPr>
          <w:color w:val="000000" w:themeColor="text1"/>
        </w:rPr>
      </w:pPr>
      <w:r w:rsidRPr="00147E8C">
        <w:rPr>
          <w:color w:val="000000" w:themeColor="text1"/>
        </w:rPr>
        <w:t xml:space="preserve">Cornwall, A. and Jewkes, R. (1995) ‘What is participatory research?’, </w:t>
      </w:r>
      <w:r w:rsidRPr="00147E8C">
        <w:rPr>
          <w:i/>
          <w:iCs/>
          <w:color w:val="000000" w:themeColor="text1"/>
        </w:rPr>
        <w:t>Social Science &amp; Medicine</w:t>
      </w:r>
      <w:r w:rsidRPr="00147E8C">
        <w:rPr>
          <w:color w:val="000000" w:themeColor="text1"/>
        </w:rPr>
        <w:t>, 41 (12), pp.1667-1676.</w:t>
      </w:r>
    </w:p>
    <w:p w14:paraId="5BFF5D70" w14:textId="77777777" w:rsidR="00A96CF7" w:rsidRPr="00147E8C" w:rsidRDefault="00A96CF7" w:rsidP="00A96CF7">
      <w:pPr>
        <w:spacing w:line="276" w:lineRule="auto"/>
        <w:rPr>
          <w:color w:val="000000" w:themeColor="text1"/>
        </w:rPr>
      </w:pPr>
    </w:p>
    <w:p w14:paraId="6EB07304" w14:textId="77777777" w:rsidR="00A96CF7" w:rsidRPr="00147E8C" w:rsidRDefault="00A96CF7" w:rsidP="00A96CF7">
      <w:pPr>
        <w:spacing w:line="276" w:lineRule="auto"/>
        <w:rPr>
          <w:color w:val="000000" w:themeColor="text1"/>
        </w:rPr>
      </w:pPr>
      <w:r w:rsidRPr="00147E8C">
        <w:rPr>
          <w:color w:val="000000" w:themeColor="text1"/>
        </w:rPr>
        <w:t xml:space="preserve">Cornwall, A. and Rivas, A. (2015) ‘From ‘gender equality and ‘women’s empowerment’ to global justice: reclaiming a transformative agenda for gender and development’, </w:t>
      </w:r>
      <w:r w:rsidRPr="00147E8C">
        <w:rPr>
          <w:i/>
          <w:iCs/>
          <w:color w:val="000000" w:themeColor="text1"/>
        </w:rPr>
        <w:t>Third World Quarterly</w:t>
      </w:r>
      <w:r w:rsidRPr="00147E8C">
        <w:rPr>
          <w:color w:val="000000" w:themeColor="text1"/>
        </w:rPr>
        <w:t>, 36 (2), pp.396-415.</w:t>
      </w:r>
    </w:p>
    <w:p w14:paraId="02395EC9" w14:textId="77777777" w:rsidR="00A96CF7" w:rsidRPr="00147E8C" w:rsidRDefault="00A96CF7" w:rsidP="00A96CF7">
      <w:pPr>
        <w:spacing w:line="276" w:lineRule="auto"/>
        <w:rPr>
          <w:color w:val="000000" w:themeColor="text1"/>
        </w:rPr>
      </w:pPr>
    </w:p>
    <w:p w14:paraId="6DF60215" w14:textId="77777777" w:rsidR="00A96CF7" w:rsidRPr="00147E8C" w:rsidRDefault="00A96CF7" w:rsidP="00A96CF7">
      <w:pPr>
        <w:spacing w:line="276" w:lineRule="auto"/>
        <w:rPr>
          <w:color w:val="000000" w:themeColor="text1"/>
        </w:rPr>
      </w:pPr>
      <w:r w:rsidRPr="00147E8C">
        <w:rPr>
          <w:color w:val="000000" w:themeColor="text1"/>
        </w:rPr>
        <w:t xml:space="preserve">Cornwall, A., and White, S. (2000) ‘Men, masculinities and development: politics, policies and practice’, </w:t>
      </w:r>
      <w:r w:rsidRPr="00147E8C">
        <w:rPr>
          <w:i/>
          <w:color w:val="000000" w:themeColor="text1"/>
        </w:rPr>
        <w:t>IDS Bulletin</w:t>
      </w:r>
      <w:r w:rsidRPr="00147E8C">
        <w:rPr>
          <w:color w:val="000000" w:themeColor="text1"/>
        </w:rPr>
        <w:t>, 31 (2), pp.1-6.</w:t>
      </w:r>
    </w:p>
    <w:p w14:paraId="11BAE143" w14:textId="77777777" w:rsidR="00A96CF7" w:rsidRPr="00147E8C" w:rsidRDefault="00A96CF7" w:rsidP="00A96CF7">
      <w:pPr>
        <w:spacing w:line="276" w:lineRule="auto"/>
        <w:rPr>
          <w:color w:val="000000" w:themeColor="text1"/>
          <w:lang w:val="en-US"/>
        </w:rPr>
      </w:pPr>
    </w:p>
    <w:p w14:paraId="496074AC"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Corsi, J. (1994). Una mirada abarcativa sobre el problema de la violencia familiar. In J. Corsi, Violencia Familiar: Una mirada interdisciplinaria sobre un grave problema social. </w:t>
      </w:r>
      <w:r w:rsidRPr="00147E8C">
        <w:rPr>
          <w:color w:val="000000" w:themeColor="text1"/>
          <w:lang w:val="en-US"/>
        </w:rPr>
        <w:t>Buenos Aires: Paidos.</w:t>
      </w:r>
    </w:p>
    <w:p w14:paraId="1468C035" w14:textId="77777777" w:rsidR="00A96CF7" w:rsidRPr="00147E8C" w:rsidRDefault="00A96CF7" w:rsidP="00A96CF7">
      <w:pPr>
        <w:spacing w:line="276" w:lineRule="auto"/>
        <w:rPr>
          <w:color w:val="000000" w:themeColor="text1"/>
        </w:rPr>
      </w:pPr>
    </w:p>
    <w:p w14:paraId="11A25CF1" w14:textId="77777777" w:rsidR="00A96CF7" w:rsidRPr="00147E8C" w:rsidRDefault="00A96CF7" w:rsidP="00A96CF7">
      <w:pPr>
        <w:spacing w:line="276" w:lineRule="auto"/>
        <w:rPr>
          <w:color w:val="000000" w:themeColor="text1"/>
        </w:rPr>
      </w:pPr>
      <w:r w:rsidRPr="00147E8C">
        <w:rPr>
          <w:color w:val="000000" w:themeColor="text1"/>
        </w:rPr>
        <w:t xml:space="preserve">Crang, P. (1994) ‘It´s showtime: on the workplace geographies of display in a restaurant in Southeast England’, </w:t>
      </w:r>
      <w:r w:rsidRPr="00147E8C">
        <w:rPr>
          <w:i/>
          <w:iCs/>
          <w:color w:val="000000" w:themeColor="text1"/>
        </w:rPr>
        <w:t>Environment and Planning</w:t>
      </w:r>
      <w:r w:rsidRPr="00147E8C">
        <w:rPr>
          <w:color w:val="000000" w:themeColor="text1"/>
        </w:rPr>
        <w:t xml:space="preserve"> D, 12, pp. 675-704.  </w:t>
      </w:r>
    </w:p>
    <w:p w14:paraId="1CD4390F" w14:textId="77777777" w:rsidR="00A96CF7" w:rsidRPr="00147E8C" w:rsidRDefault="00A96CF7" w:rsidP="00A96CF7">
      <w:pPr>
        <w:spacing w:line="276" w:lineRule="auto"/>
        <w:rPr>
          <w:color w:val="000000" w:themeColor="text1"/>
        </w:rPr>
      </w:pPr>
    </w:p>
    <w:p w14:paraId="149DAE12" w14:textId="77777777" w:rsidR="00A96CF7" w:rsidRPr="00147E8C" w:rsidRDefault="00A96CF7" w:rsidP="00A96CF7">
      <w:pPr>
        <w:spacing w:line="276" w:lineRule="auto"/>
        <w:rPr>
          <w:color w:val="000000" w:themeColor="text1"/>
        </w:rPr>
      </w:pPr>
      <w:r w:rsidRPr="00147E8C">
        <w:rPr>
          <w:color w:val="000000" w:themeColor="text1"/>
        </w:rPr>
        <w:t>Craske, N. (1999) Women and politics in Latin America. Cambridge: Polity Press.</w:t>
      </w:r>
    </w:p>
    <w:p w14:paraId="002BB62B" w14:textId="77777777" w:rsidR="00A96CF7" w:rsidRPr="00147E8C" w:rsidRDefault="00A96CF7" w:rsidP="00A96CF7">
      <w:pPr>
        <w:spacing w:line="276" w:lineRule="auto"/>
        <w:rPr>
          <w:color w:val="000000" w:themeColor="text1"/>
        </w:rPr>
      </w:pPr>
    </w:p>
    <w:p w14:paraId="27F849FE" w14:textId="77777777" w:rsidR="00A96CF7" w:rsidRPr="00147E8C" w:rsidRDefault="00A96CF7" w:rsidP="00A96CF7">
      <w:pPr>
        <w:spacing w:line="276" w:lineRule="auto"/>
        <w:rPr>
          <w:color w:val="000000" w:themeColor="text1"/>
        </w:rPr>
      </w:pPr>
      <w:r w:rsidRPr="00147E8C">
        <w:rPr>
          <w:rStyle w:val="nlmstring-name"/>
          <w:color w:val="000000" w:themeColor="text1"/>
        </w:rPr>
        <w:t>Cravey A. J.</w:t>
      </w:r>
      <w:r w:rsidRPr="00147E8C">
        <w:rPr>
          <w:color w:val="000000" w:themeColor="text1"/>
          <w:shd w:val="clear" w:color="auto" w:fill="FFFFFF"/>
        </w:rPr>
        <w:t xml:space="preserve"> (</w:t>
      </w:r>
      <w:r w:rsidRPr="00147E8C">
        <w:rPr>
          <w:rStyle w:val="nlmyear"/>
          <w:color w:val="000000" w:themeColor="text1"/>
        </w:rPr>
        <w:t>1998</w:t>
      </w:r>
      <w:r w:rsidRPr="00147E8C">
        <w:rPr>
          <w:color w:val="000000" w:themeColor="text1"/>
          <w:shd w:val="clear" w:color="auto" w:fill="FFFFFF"/>
        </w:rPr>
        <w:t>)</w:t>
      </w:r>
      <w:r w:rsidRPr="00147E8C">
        <w:rPr>
          <w:rStyle w:val="apple-converted-space"/>
          <w:rFonts w:eastAsiaTheme="majorEastAsia"/>
          <w:color w:val="000000" w:themeColor="text1"/>
          <w:shd w:val="clear" w:color="auto" w:fill="FFFFFF"/>
        </w:rPr>
        <w:t> </w:t>
      </w:r>
      <w:r w:rsidRPr="00147E8C">
        <w:rPr>
          <w:rStyle w:val="nlmarticle-title"/>
          <w:color w:val="000000" w:themeColor="text1"/>
        </w:rPr>
        <w:t>‘Engendering the Latin American state’</w:t>
      </w:r>
      <w:r w:rsidRPr="00147E8C">
        <w:rPr>
          <w:rStyle w:val="apple-converted-space"/>
          <w:rFonts w:eastAsiaTheme="majorEastAsia"/>
          <w:color w:val="000000" w:themeColor="text1"/>
          <w:shd w:val="clear" w:color="auto" w:fill="FFFFFF"/>
        </w:rPr>
        <w:t xml:space="preserve">, </w:t>
      </w:r>
      <w:r w:rsidRPr="00147E8C">
        <w:rPr>
          <w:i/>
          <w:color w:val="000000" w:themeColor="text1"/>
          <w:shd w:val="clear" w:color="auto" w:fill="FFFFFF"/>
        </w:rPr>
        <w:t>Progress in Human Geography</w:t>
      </w:r>
      <w:r w:rsidRPr="00147E8C">
        <w:rPr>
          <w:color w:val="000000" w:themeColor="text1"/>
          <w:shd w:val="clear" w:color="auto" w:fill="FFFFFF"/>
        </w:rPr>
        <w:t xml:space="preserve"> 22, pp.</w:t>
      </w:r>
      <w:r w:rsidRPr="00147E8C">
        <w:rPr>
          <w:rStyle w:val="apple-converted-space"/>
          <w:rFonts w:eastAsiaTheme="majorEastAsia"/>
          <w:color w:val="000000" w:themeColor="text1"/>
          <w:shd w:val="clear" w:color="auto" w:fill="FFFFFF"/>
        </w:rPr>
        <w:t xml:space="preserve"> </w:t>
      </w:r>
      <w:r w:rsidRPr="00147E8C">
        <w:rPr>
          <w:rStyle w:val="nlmfpage"/>
          <w:color w:val="000000" w:themeColor="text1"/>
        </w:rPr>
        <w:t>523</w:t>
      </w:r>
      <w:r w:rsidRPr="00147E8C">
        <w:rPr>
          <w:color w:val="000000" w:themeColor="text1"/>
          <w:shd w:val="clear" w:color="auto" w:fill="FFFFFF"/>
        </w:rPr>
        <w:t>–</w:t>
      </w:r>
      <w:r w:rsidRPr="00147E8C">
        <w:rPr>
          <w:rStyle w:val="nlmlpage"/>
          <w:color w:val="000000" w:themeColor="text1"/>
        </w:rPr>
        <w:t>542.</w:t>
      </w:r>
    </w:p>
    <w:p w14:paraId="7B3B5BDB" w14:textId="77777777" w:rsidR="00A96CF7" w:rsidRPr="00147E8C" w:rsidRDefault="00A96CF7" w:rsidP="00A96CF7">
      <w:pPr>
        <w:spacing w:line="276" w:lineRule="auto"/>
        <w:rPr>
          <w:color w:val="000000" w:themeColor="text1"/>
        </w:rPr>
      </w:pPr>
    </w:p>
    <w:p w14:paraId="2F3FCCD5" w14:textId="77777777" w:rsidR="00A96CF7" w:rsidRPr="00147E8C" w:rsidRDefault="00A96CF7" w:rsidP="00A96CF7">
      <w:pPr>
        <w:spacing w:line="276" w:lineRule="auto"/>
        <w:rPr>
          <w:color w:val="000000" w:themeColor="text1"/>
        </w:rPr>
      </w:pPr>
      <w:r w:rsidRPr="00147E8C">
        <w:rPr>
          <w:color w:val="000000" w:themeColor="text1"/>
        </w:rPr>
        <w:t>Creswell, J.W. (2007) Qualitative inquiry and research design: choosing among five</w:t>
      </w:r>
    </w:p>
    <w:p w14:paraId="3DA1CCFD" w14:textId="77777777" w:rsidR="00A96CF7" w:rsidRPr="00147E8C" w:rsidRDefault="00A96CF7" w:rsidP="00A96CF7">
      <w:pPr>
        <w:spacing w:line="276" w:lineRule="auto"/>
        <w:rPr>
          <w:color w:val="000000" w:themeColor="text1"/>
        </w:rPr>
      </w:pPr>
      <w:r w:rsidRPr="00147E8C">
        <w:rPr>
          <w:color w:val="000000" w:themeColor="text1"/>
        </w:rPr>
        <w:t>traditions. 2nd edn. Thousand Oaks: Sage.</w:t>
      </w:r>
    </w:p>
    <w:p w14:paraId="0341D5F0" w14:textId="77777777" w:rsidR="00A96CF7" w:rsidRPr="00147E8C" w:rsidRDefault="00A96CF7" w:rsidP="00A96CF7">
      <w:pPr>
        <w:spacing w:line="276" w:lineRule="auto"/>
        <w:rPr>
          <w:color w:val="000000" w:themeColor="text1"/>
        </w:rPr>
      </w:pPr>
    </w:p>
    <w:p w14:paraId="0FB90B5E" w14:textId="77777777" w:rsidR="00A96CF7" w:rsidRPr="00147E8C" w:rsidRDefault="00A96CF7" w:rsidP="00A96CF7">
      <w:pPr>
        <w:spacing w:line="276" w:lineRule="auto"/>
        <w:rPr>
          <w:color w:val="000000" w:themeColor="text1"/>
        </w:rPr>
      </w:pPr>
      <w:r w:rsidRPr="00147E8C">
        <w:rPr>
          <w:color w:val="000000" w:themeColor="text1"/>
        </w:rPr>
        <w:t>Crawley, H (1999). Living up to the empowerment claim? The potential of PRA. In Guijt, I and Kaul Shah (eds.) (1999) The Myth of Community: Gender issues in participatory development.</w:t>
      </w:r>
    </w:p>
    <w:p w14:paraId="48F5CAF3" w14:textId="77777777" w:rsidR="00A96CF7" w:rsidRPr="00147E8C" w:rsidRDefault="00A96CF7" w:rsidP="00A96CF7">
      <w:pPr>
        <w:spacing w:line="276" w:lineRule="auto"/>
        <w:rPr>
          <w:color w:val="000000" w:themeColor="text1"/>
        </w:rPr>
      </w:pPr>
    </w:p>
    <w:p w14:paraId="1877A6CB" w14:textId="77777777" w:rsidR="00A96CF7" w:rsidRPr="00147E8C" w:rsidRDefault="00A96CF7" w:rsidP="00A96CF7">
      <w:pPr>
        <w:spacing w:line="276" w:lineRule="auto"/>
        <w:rPr>
          <w:color w:val="000000" w:themeColor="text1"/>
        </w:rPr>
      </w:pPr>
      <w:r w:rsidRPr="00147E8C">
        <w:rPr>
          <w:color w:val="000000" w:themeColor="text1"/>
        </w:rPr>
        <w:t>Cupples, J. (2004). Counter-revolutionary women: Gender and reconciliation in post-war Nicaragua. </w:t>
      </w:r>
      <w:r w:rsidRPr="00147E8C">
        <w:rPr>
          <w:i/>
          <w:iCs/>
          <w:color w:val="000000" w:themeColor="text1"/>
        </w:rPr>
        <w:t>Gender &amp; Development,</w:t>
      </w:r>
      <w:r w:rsidRPr="00147E8C">
        <w:rPr>
          <w:color w:val="000000" w:themeColor="text1"/>
        </w:rPr>
        <w:t> </w:t>
      </w:r>
      <w:r w:rsidRPr="00147E8C">
        <w:rPr>
          <w:i/>
          <w:iCs/>
          <w:color w:val="000000" w:themeColor="text1"/>
        </w:rPr>
        <w:t>12</w:t>
      </w:r>
      <w:r w:rsidRPr="00147E8C">
        <w:rPr>
          <w:color w:val="000000" w:themeColor="text1"/>
        </w:rPr>
        <w:t>(3), 8-18</w:t>
      </w:r>
    </w:p>
    <w:p w14:paraId="41467D68" w14:textId="77777777" w:rsidR="00A96CF7" w:rsidRPr="00147E8C" w:rsidRDefault="00A96CF7" w:rsidP="00A96CF7">
      <w:pPr>
        <w:spacing w:line="276" w:lineRule="auto"/>
        <w:rPr>
          <w:color w:val="000000" w:themeColor="text1"/>
        </w:rPr>
      </w:pPr>
    </w:p>
    <w:p w14:paraId="4845D972" w14:textId="77777777" w:rsidR="00A96CF7" w:rsidRPr="00147E8C" w:rsidRDefault="00A96CF7" w:rsidP="00A96CF7">
      <w:pPr>
        <w:spacing w:line="276" w:lineRule="auto"/>
        <w:rPr>
          <w:color w:val="000000" w:themeColor="text1"/>
        </w:rPr>
      </w:pPr>
      <w:r w:rsidRPr="00147E8C">
        <w:rPr>
          <w:color w:val="000000" w:themeColor="text1"/>
        </w:rPr>
        <w:lastRenderedPageBreak/>
        <w:t>Cupples, J. (2005) ‘Love and money in an age of neoliberalism: Gender, work, and single motherhood in postrevolutionary Nicaragua’, Environment and Planning A, 37(2), pp. 305–322. doi: 10.1068/a37115.</w:t>
      </w:r>
    </w:p>
    <w:p w14:paraId="3AB3BC03" w14:textId="77777777" w:rsidR="00A96CF7" w:rsidRPr="00147E8C" w:rsidRDefault="00A96CF7" w:rsidP="00A96CF7">
      <w:pPr>
        <w:spacing w:line="276" w:lineRule="auto"/>
        <w:rPr>
          <w:color w:val="000000" w:themeColor="text1"/>
        </w:rPr>
      </w:pPr>
    </w:p>
    <w:p w14:paraId="1C409183" w14:textId="77777777" w:rsidR="00A96CF7" w:rsidRPr="009258C6" w:rsidRDefault="00A96CF7" w:rsidP="00A96CF7">
      <w:pPr>
        <w:spacing w:line="276" w:lineRule="auto"/>
        <w:rPr>
          <w:color w:val="000000" w:themeColor="text1"/>
        </w:rPr>
      </w:pPr>
      <w:r w:rsidRPr="00147E8C">
        <w:rPr>
          <w:color w:val="000000" w:themeColor="text1"/>
        </w:rPr>
        <w:t xml:space="preserve">Daigle, M. Woodroffe, J. And Moussié, R. (2017) ‘Sharing the load unpaid care work and women’s economic empowerment’, </w:t>
      </w:r>
      <w:r w:rsidRPr="00147E8C">
        <w:rPr>
          <w:i/>
          <w:color w:val="000000" w:themeColor="text1"/>
        </w:rPr>
        <w:t>Briefings</w:t>
      </w:r>
      <w:r w:rsidRPr="00147E8C">
        <w:rPr>
          <w:color w:val="000000" w:themeColor="text1"/>
        </w:rPr>
        <w:t xml:space="preserve"> [Online]. Available from: </w:t>
      </w:r>
      <w:r w:rsidRPr="009258C6">
        <w:rPr>
          <w:rStyle w:val="Hyperlink"/>
          <w:rFonts w:eastAsiaTheme="majorEastAsia"/>
          <w:color w:val="000000" w:themeColor="text1"/>
          <w:u w:val="none"/>
        </w:rPr>
        <w:t>https://static1.squarespace.com/static/536c4ee8e4b0b60bc6ca7c74/t/5899e0316b8f5bbffd74b7d4/1486479412285/GADN+Sharing+the+load+briefing+2017+final.pdf</w:t>
      </w:r>
      <w:r w:rsidRPr="009258C6">
        <w:rPr>
          <w:color w:val="000000" w:themeColor="text1"/>
        </w:rPr>
        <w:t xml:space="preserve"> [Accessed: 20</w:t>
      </w:r>
      <w:r w:rsidRPr="009258C6">
        <w:rPr>
          <w:color w:val="000000" w:themeColor="text1"/>
          <w:vertAlign w:val="superscript"/>
        </w:rPr>
        <w:t>th</w:t>
      </w:r>
      <w:r w:rsidRPr="009258C6">
        <w:rPr>
          <w:color w:val="000000" w:themeColor="text1"/>
        </w:rPr>
        <w:t xml:space="preserve"> February 2017].</w:t>
      </w:r>
    </w:p>
    <w:p w14:paraId="741B20EF" w14:textId="77777777" w:rsidR="00A96CF7" w:rsidRPr="009258C6" w:rsidRDefault="00A96CF7" w:rsidP="00A96CF7">
      <w:pPr>
        <w:spacing w:line="276" w:lineRule="auto"/>
        <w:rPr>
          <w:color w:val="000000" w:themeColor="text1"/>
        </w:rPr>
      </w:pPr>
    </w:p>
    <w:p w14:paraId="4FCB6291" w14:textId="01D0F9F6" w:rsidR="00A96CF7" w:rsidRPr="009258C6" w:rsidRDefault="00A96CF7" w:rsidP="00A96CF7">
      <w:pPr>
        <w:spacing w:line="276" w:lineRule="auto"/>
        <w:rPr>
          <w:color w:val="000000" w:themeColor="text1"/>
        </w:rPr>
      </w:pPr>
      <w:r w:rsidRPr="009258C6">
        <w:rPr>
          <w:color w:val="000000" w:themeColor="text1"/>
        </w:rPr>
        <w:t xml:space="preserve">Dankoski, M.E., (2000) What Makes Research </w:t>
      </w:r>
      <w:r w:rsidR="009258C6" w:rsidRPr="009258C6">
        <w:rPr>
          <w:color w:val="000000" w:themeColor="text1"/>
        </w:rPr>
        <w:t>Feminist?</w:t>
      </w:r>
      <w:r w:rsidRPr="009258C6">
        <w:rPr>
          <w:color w:val="000000" w:themeColor="text1"/>
        </w:rPr>
        <w:t xml:space="preserve"> </w:t>
      </w:r>
      <w:r w:rsidRPr="009258C6">
        <w:rPr>
          <w:i/>
          <w:color w:val="000000" w:themeColor="text1"/>
        </w:rPr>
        <w:t>Journal of Feminist Family Therapy</w:t>
      </w:r>
      <w:r w:rsidRPr="009258C6">
        <w:rPr>
          <w:color w:val="000000" w:themeColor="text1"/>
        </w:rPr>
        <w:t>, 12:1, 3-19.</w:t>
      </w:r>
    </w:p>
    <w:p w14:paraId="48912453" w14:textId="77777777" w:rsidR="00A96CF7" w:rsidRPr="009258C6" w:rsidRDefault="00A96CF7" w:rsidP="00A96CF7">
      <w:pPr>
        <w:spacing w:line="276" w:lineRule="auto"/>
        <w:rPr>
          <w:color w:val="000000" w:themeColor="text1"/>
        </w:rPr>
      </w:pPr>
    </w:p>
    <w:p w14:paraId="032B6138" w14:textId="54099A8C" w:rsidR="00A96CF7" w:rsidRPr="009258C6" w:rsidRDefault="00A96CF7" w:rsidP="00A96CF7">
      <w:pPr>
        <w:spacing w:line="276" w:lineRule="auto"/>
        <w:rPr>
          <w:color w:val="000000" w:themeColor="text1"/>
        </w:rPr>
      </w:pPr>
      <w:r w:rsidRPr="009258C6">
        <w:rPr>
          <w:iCs/>
          <w:color w:val="000000" w:themeColor="text1"/>
        </w:rPr>
        <w:t>Debapratim, P. and Rajiv, F. (2007)</w:t>
      </w:r>
      <w:r w:rsidRPr="009258C6">
        <w:rPr>
          <w:color w:val="000000" w:themeColor="text1"/>
        </w:rPr>
        <w:t xml:space="preserve"> </w:t>
      </w:r>
      <w:r w:rsidRPr="009258C6">
        <w:rPr>
          <w:bCs/>
          <w:i/>
          <w:color w:val="000000" w:themeColor="text1"/>
        </w:rPr>
        <w:t>The Body Shop: social responsibility or sustained greenwashing</w:t>
      </w:r>
      <w:r w:rsidRPr="009258C6">
        <w:rPr>
          <w:bCs/>
          <w:color w:val="000000" w:themeColor="text1"/>
        </w:rPr>
        <w:t>? [Online]</w:t>
      </w:r>
      <w:r w:rsidRPr="009258C6">
        <w:rPr>
          <w:bCs/>
          <w:i/>
          <w:color w:val="000000" w:themeColor="text1"/>
        </w:rPr>
        <w:t xml:space="preserve"> </w:t>
      </w:r>
      <w:r w:rsidRPr="009258C6">
        <w:rPr>
          <w:color w:val="000000" w:themeColor="text1"/>
        </w:rPr>
        <w:t xml:space="preserve">Hyderabad:  ICFAI, Center for Management Research. Available from: </w:t>
      </w:r>
      <w:r w:rsidRPr="009258C6">
        <w:rPr>
          <w:rStyle w:val="Hyperlink"/>
          <w:rFonts w:eastAsiaTheme="majorEastAsia"/>
          <w:color w:val="000000" w:themeColor="text1"/>
          <w:u w:val="none"/>
        </w:rPr>
        <w:t>http://backup.oikos-international.org/fileadmin/oikos-international/international/Case_competition/Inspection_copy_ICFAI2007.pdf</w:t>
      </w:r>
      <w:r w:rsidR="009258C6">
        <w:rPr>
          <w:color w:val="000000" w:themeColor="text1"/>
        </w:rPr>
        <w:t xml:space="preserve"> </w:t>
      </w:r>
      <w:r w:rsidRPr="009258C6">
        <w:rPr>
          <w:color w:val="000000" w:themeColor="text1"/>
        </w:rPr>
        <w:t xml:space="preserve">[Accessed 30th July 2017]. </w:t>
      </w:r>
    </w:p>
    <w:p w14:paraId="323D4563" w14:textId="77777777" w:rsidR="00A96CF7" w:rsidRPr="009258C6" w:rsidRDefault="00A96CF7" w:rsidP="00A96CF7">
      <w:pPr>
        <w:spacing w:line="276" w:lineRule="auto"/>
        <w:rPr>
          <w:color w:val="000000" w:themeColor="text1"/>
        </w:rPr>
      </w:pPr>
    </w:p>
    <w:p w14:paraId="739BA89A" w14:textId="77777777" w:rsidR="00A96CF7" w:rsidRPr="009258C6" w:rsidRDefault="00A96CF7" w:rsidP="00A96CF7">
      <w:pPr>
        <w:spacing w:line="276" w:lineRule="auto"/>
        <w:rPr>
          <w:color w:val="000000" w:themeColor="text1"/>
          <w:lang w:val="es-NI"/>
        </w:rPr>
      </w:pPr>
      <w:r w:rsidRPr="009258C6">
        <w:rPr>
          <w:color w:val="000000" w:themeColor="text1"/>
          <w:lang w:val="en-US"/>
        </w:rPr>
        <w:t xml:space="preserve">Deere, C. and Leon, M. (1998). </w:t>
      </w:r>
      <w:r w:rsidRPr="009258C6">
        <w:rPr>
          <w:color w:val="000000" w:themeColor="text1"/>
          <w:lang w:val="es-NI"/>
        </w:rPr>
        <w:t xml:space="preserve">‘Mujeres, derechos a la tierra y contrarreformas en América Latina’, </w:t>
      </w:r>
      <w:r w:rsidRPr="009258C6">
        <w:rPr>
          <w:i/>
          <w:color w:val="000000" w:themeColor="text1"/>
          <w:lang w:val="es-NI"/>
        </w:rPr>
        <w:t>Debate Agrario</w:t>
      </w:r>
      <w:r w:rsidRPr="009258C6">
        <w:rPr>
          <w:color w:val="000000" w:themeColor="text1"/>
          <w:lang w:val="es-NI"/>
        </w:rPr>
        <w:t>, No. 27, pp. 129-154.</w:t>
      </w:r>
    </w:p>
    <w:p w14:paraId="35A01149" w14:textId="77777777" w:rsidR="00A96CF7" w:rsidRPr="00147E8C" w:rsidRDefault="00A96CF7" w:rsidP="00A96CF7">
      <w:pPr>
        <w:spacing w:line="276" w:lineRule="auto"/>
        <w:rPr>
          <w:color w:val="000000" w:themeColor="text1"/>
          <w:lang w:val="es-NI"/>
        </w:rPr>
      </w:pPr>
    </w:p>
    <w:p w14:paraId="58C3E261"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del Tronco, J. (2009) ‘¿Políticas pro-género o sesgo sexista de la política social? Feminizacion de beneficiarios y autonomía de la mujer en América Latina’, in Zaremberg, G. (ed.) </w:t>
      </w:r>
      <w:r w:rsidRPr="00147E8C">
        <w:rPr>
          <w:i/>
          <w:color w:val="000000" w:themeColor="text1"/>
          <w:lang w:val="es-NI"/>
        </w:rPr>
        <w:t>Políticas, sociales y Género: Tomo II, los problemas sociales y metodológicos</w:t>
      </w:r>
      <w:r w:rsidRPr="00147E8C">
        <w:rPr>
          <w:color w:val="000000" w:themeColor="text1"/>
          <w:lang w:val="es-NI"/>
        </w:rPr>
        <w:t xml:space="preserve">. </w:t>
      </w:r>
      <w:r w:rsidRPr="00147E8C">
        <w:rPr>
          <w:color w:val="000000" w:themeColor="text1"/>
          <w:lang w:val="en-US"/>
        </w:rPr>
        <w:t xml:space="preserve">México: FLACSO, pp. 173-222. </w:t>
      </w:r>
    </w:p>
    <w:p w14:paraId="6DD07A4D" w14:textId="77777777" w:rsidR="00A96CF7" w:rsidRPr="00147E8C" w:rsidRDefault="00A96CF7" w:rsidP="00A96CF7">
      <w:pPr>
        <w:spacing w:line="276" w:lineRule="auto"/>
        <w:rPr>
          <w:color w:val="000000" w:themeColor="text1"/>
          <w:lang w:val="en-US"/>
        </w:rPr>
      </w:pPr>
    </w:p>
    <w:p w14:paraId="71F0DEB8" w14:textId="77777777" w:rsidR="00A96CF7" w:rsidRPr="00147E8C" w:rsidRDefault="00A96CF7" w:rsidP="00A96CF7">
      <w:pPr>
        <w:spacing w:line="276" w:lineRule="auto"/>
        <w:rPr>
          <w:color w:val="000000" w:themeColor="text1"/>
        </w:rPr>
      </w:pPr>
      <w:r w:rsidRPr="00147E8C">
        <w:rPr>
          <w:color w:val="000000" w:themeColor="text1"/>
        </w:rPr>
        <w:t xml:space="preserve">Dello Buono R (1996) Nicaraguan women in the formal and informal economy. In: Dubeck P and Borman K (eds) </w:t>
      </w:r>
      <w:r w:rsidRPr="00147E8C">
        <w:rPr>
          <w:i/>
          <w:iCs/>
          <w:color w:val="000000" w:themeColor="text1"/>
        </w:rPr>
        <w:t>Women and Work</w:t>
      </w:r>
      <w:r w:rsidRPr="00147E8C">
        <w:rPr>
          <w:color w:val="000000" w:themeColor="text1"/>
        </w:rPr>
        <w:t>. New Brunswick, NJ: Rutgers University Press, 495–499.</w:t>
      </w:r>
    </w:p>
    <w:p w14:paraId="409D37B3" w14:textId="77777777" w:rsidR="00A96CF7" w:rsidRPr="00147E8C" w:rsidRDefault="00A96CF7" w:rsidP="00A96CF7">
      <w:pPr>
        <w:spacing w:line="276" w:lineRule="auto"/>
        <w:rPr>
          <w:color w:val="000000" w:themeColor="text1"/>
          <w:lang w:val="en-US"/>
        </w:rPr>
      </w:pPr>
    </w:p>
    <w:p w14:paraId="6A6E956F" w14:textId="77777777" w:rsidR="00A96CF7" w:rsidRPr="00147E8C" w:rsidRDefault="00A96CF7" w:rsidP="00A96CF7">
      <w:pPr>
        <w:spacing w:line="276" w:lineRule="auto"/>
        <w:rPr>
          <w:color w:val="000000" w:themeColor="text1"/>
        </w:rPr>
      </w:pPr>
      <w:r w:rsidRPr="00147E8C">
        <w:rPr>
          <w:color w:val="000000" w:themeColor="text1"/>
        </w:rPr>
        <w:t xml:space="preserve">Denzin, N.K. (1997) </w:t>
      </w:r>
      <w:r w:rsidRPr="00147E8C">
        <w:rPr>
          <w:i/>
          <w:iCs/>
          <w:color w:val="000000" w:themeColor="text1"/>
        </w:rPr>
        <w:t>Interpretive ethnography: ethnographic practices for the 21st Century.</w:t>
      </w:r>
      <w:r w:rsidRPr="00147E8C">
        <w:rPr>
          <w:color w:val="000000" w:themeColor="text1"/>
        </w:rPr>
        <w:t xml:space="preserve"> Thousand Oaks: Sage.</w:t>
      </w:r>
    </w:p>
    <w:p w14:paraId="2F67A123" w14:textId="77777777" w:rsidR="00A96CF7" w:rsidRPr="00147E8C" w:rsidRDefault="00A96CF7" w:rsidP="00A96CF7">
      <w:pPr>
        <w:spacing w:line="276" w:lineRule="auto"/>
        <w:rPr>
          <w:color w:val="000000" w:themeColor="text1"/>
        </w:rPr>
      </w:pPr>
    </w:p>
    <w:p w14:paraId="359D7F14" w14:textId="77777777" w:rsidR="00A96CF7" w:rsidRPr="00147E8C" w:rsidRDefault="00A96CF7" w:rsidP="00A96CF7">
      <w:pPr>
        <w:spacing w:line="276" w:lineRule="auto"/>
        <w:rPr>
          <w:color w:val="000000" w:themeColor="text1"/>
        </w:rPr>
      </w:pPr>
      <w:r w:rsidRPr="00147E8C">
        <w:rPr>
          <w:color w:val="000000" w:themeColor="text1"/>
        </w:rPr>
        <w:t xml:space="preserve">Denzin, N.K., and Lincoln, Y.S (eds). (2011) </w:t>
      </w:r>
      <w:r w:rsidRPr="00147E8C">
        <w:rPr>
          <w:i/>
          <w:iCs/>
          <w:color w:val="000000" w:themeColor="text1"/>
        </w:rPr>
        <w:t>Handbook of qualitative research</w:t>
      </w:r>
      <w:r w:rsidRPr="00147E8C">
        <w:rPr>
          <w:color w:val="000000" w:themeColor="text1"/>
        </w:rPr>
        <w:t xml:space="preserve">, 4th edn. London: Sage. </w:t>
      </w:r>
    </w:p>
    <w:p w14:paraId="7620E10D" w14:textId="77777777" w:rsidR="00A96CF7" w:rsidRPr="00147E8C" w:rsidRDefault="00A96CF7" w:rsidP="00A96CF7">
      <w:pPr>
        <w:spacing w:line="276" w:lineRule="auto"/>
        <w:rPr>
          <w:color w:val="000000" w:themeColor="text1"/>
        </w:rPr>
      </w:pPr>
    </w:p>
    <w:p w14:paraId="6666B82A"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r w:rsidRPr="00147E8C">
        <w:rPr>
          <w:rFonts w:ascii="Times New Roman" w:hAnsi="Times New Roman" w:cs="Times New Roman"/>
          <w:color w:val="000000" w:themeColor="text1"/>
          <w:sz w:val="24"/>
          <w:szCs w:val="24"/>
        </w:rPr>
        <w:t xml:space="preserve">Dilley, C. (2011) ‘Women and Fair Trade coffee production in Nicaragua’, </w:t>
      </w:r>
      <w:r w:rsidRPr="00147E8C">
        <w:rPr>
          <w:rFonts w:ascii="Times New Roman" w:hAnsi="Times New Roman" w:cs="Times New Roman"/>
          <w:i/>
          <w:color w:val="000000" w:themeColor="text1"/>
          <w:sz w:val="24"/>
          <w:szCs w:val="24"/>
        </w:rPr>
        <w:t>Malaysia Journal of Society and Space</w:t>
      </w:r>
      <w:r w:rsidRPr="00147E8C">
        <w:rPr>
          <w:rFonts w:ascii="Times New Roman" w:hAnsi="Times New Roman" w:cs="Times New Roman"/>
          <w:color w:val="000000" w:themeColor="text1"/>
          <w:sz w:val="24"/>
          <w:szCs w:val="24"/>
        </w:rPr>
        <w:t>, 7 (1). pp. 74-84.</w:t>
      </w:r>
    </w:p>
    <w:p w14:paraId="0DB41A9F"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p>
    <w:p w14:paraId="516E06CC"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r w:rsidRPr="00147E8C">
        <w:rPr>
          <w:rFonts w:ascii="Times New Roman" w:hAnsi="Times New Roman" w:cs="Times New Roman"/>
          <w:color w:val="000000" w:themeColor="text1"/>
          <w:sz w:val="24"/>
          <w:szCs w:val="24"/>
        </w:rPr>
        <w:t xml:space="preserve">Disney J (2004) Incomplete revolutions: gendered participation in productive and reproductive labor in Mozambique and Nicaragua. </w:t>
      </w:r>
      <w:r w:rsidRPr="00147E8C">
        <w:rPr>
          <w:rFonts w:ascii="Times New Roman" w:hAnsi="Times New Roman" w:cs="Times New Roman"/>
          <w:i/>
          <w:iCs/>
          <w:color w:val="000000" w:themeColor="text1"/>
          <w:sz w:val="24"/>
          <w:szCs w:val="24"/>
        </w:rPr>
        <w:t xml:space="preserve">Socialism and Democracy </w:t>
      </w:r>
      <w:r w:rsidRPr="00147E8C">
        <w:rPr>
          <w:rFonts w:ascii="Times New Roman" w:hAnsi="Times New Roman" w:cs="Times New Roman"/>
          <w:color w:val="000000" w:themeColor="text1"/>
          <w:sz w:val="24"/>
          <w:szCs w:val="24"/>
        </w:rPr>
        <w:t>18(1): 7–41.</w:t>
      </w:r>
    </w:p>
    <w:p w14:paraId="0507B36E"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p>
    <w:p w14:paraId="137B24FB" w14:textId="77777777" w:rsidR="00A96CF7" w:rsidRPr="00147E8C" w:rsidRDefault="00A96CF7" w:rsidP="00A96CF7">
      <w:pPr>
        <w:spacing w:line="276" w:lineRule="auto"/>
        <w:rPr>
          <w:color w:val="000000" w:themeColor="text1"/>
        </w:rPr>
      </w:pPr>
      <w:r w:rsidRPr="00147E8C">
        <w:rPr>
          <w:color w:val="000000" w:themeColor="text1"/>
        </w:rPr>
        <w:lastRenderedPageBreak/>
        <w:t>Dixon, H. (2011) ‘</w:t>
      </w:r>
      <w:r w:rsidRPr="00147E8C">
        <w:rPr>
          <w:iCs/>
          <w:color w:val="000000" w:themeColor="text1"/>
        </w:rPr>
        <w:t>Feminism and the organized subjectivity of change’</w:t>
      </w:r>
      <w:r w:rsidRPr="00147E8C">
        <w:rPr>
          <w:color w:val="000000" w:themeColor="text1"/>
        </w:rPr>
        <w:t xml:space="preserve">. </w:t>
      </w:r>
      <w:r w:rsidRPr="00147E8C">
        <w:rPr>
          <w:i/>
          <w:color w:val="000000" w:themeColor="text1"/>
        </w:rPr>
        <w:t xml:space="preserve">Gender and Development Network and the Development Studies Association meeting. </w:t>
      </w:r>
      <w:r w:rsidRPr="00147E8C">
        <w:rPr>
          <w:color w:val="000000" w:themeColor="text1"/>
        </w:rPr>
        <w:t>London. 3 November.</w:t>
      </w:r>
    </w:p>
    <w:p w14:paraId="7646767D" w14:textId="77777777" w:rsidR="00A96CF7" w:rsidRPr="00147E8C" w:rsidRDefault="00A96CF7" w:rsidP="00A96CF7">
      <w:pPr>
        <w:spacing w:line="276" w:lineRule="auto"/>
        <w:rPr>
          <w:color w:val="000000" w:themeColor="text1"/>
        </w:rPr>
      </w:pPr>
    </w:p>
    <w:p w14:paraId="083C9A4A" w14:textId="77777777" w:rsidR="00A96CF7" w:rsidRPr="009258C6" w:rsidRDefault="00A96CF7" w:rsidP="00A96CF7">
      <w:pPr>
        <w:spacing w:line="276" w:lineRule="auto"/>
        <w:rPr>
          <w:color w:val="000000" w:themeColor="text1"/>
          <w:lang w:val="en-US"/>
        </w:rPr>
      </w:pPr>
      <w:r w:rsidRPr="00147E8C">
        <w:rPr>
          <w:color w:val="000000" w:themeColor="text1"/>
          <w:lang w:val="en-US"/>
        </w:rPr>
        <w:t xml:space="preserve">Dixon, H. (2014). </w:t>
      </w:r>
      <w:r w:rsidRPr="00147E8C">
        <w:rPr>
          <w:i/>
          <w:color w:val="000000" w:themeColor="text1"/>
          <w:lang w:val="en-US"/>
        </w:rPr>
        <w:t xml:space="preserve">Nicaragua country report: </w:t>
      </w:r>
      <w:r w:rsidRPr="00147E8C">
        <w:rPr>
          <w:i/>
          <w:color w:val="000000" w:themeColor="text1"/>
        </w:rPr>
        <w:t xml:space="preserve">a multi-year results-oriented evaluation of Sida’s support to civil society actors in developing countries via Swedish CSOs. Round 1 Reality Check. </w:t>
      </w:r>
      <w:r w:rsidRPr="00147E8C">
        <w:rPr>
          <w:color w:val="000000" w:themeColor="text1"/>
        </w:rPr>
        <w:t xml:space="preserve">Final Report, January 2014. Sweden: Swedish International </w:t>
      </w:r>
      <w:r w:rsidRPr="009258C6">
        <w:rPr>
          <w:color w:val="000000" w:themeColor="text1"/>
        </w:rPr>
        <w:t xml:space="preserve">Development Cooperation Agency (SIDA). Available from: </w:t>
      </w:r>
      <w:r w:rsidRPr="009258C6">
        <w:rPr>
          <w:color w:val="000000" w:themeColor="text1"/>
          <w:lang w:val="en-US"/>
        </w:rPr>
        <w:t xml:space="preserve"> - </w:t>
      </w:r>
      <w:r w:rsidRPr="009258C6">
        <w:rPr>
          <w:rStyle w:val="Hyperlink"/>
          <w:rFonts w:eastAsiaTheme="majorEastAsia"/>
          <w:color w:val="000000" w:themeColor="text1"/>
          <w:u w:val="none"/>
        </w:rPr>
        <w:t>https://sidacivilsocietyeval.files.wordpress.com/2013/04/nicaragua-country-report-final-140113.pdf</w:t>
      </w:r>
      <w:r w:rsidRPr="009258C6">
        <w:rPr>
          <w:color w:val="000000" w:themeColor="text1"/>
          <w:lang w:val="en-US"/>
        </w:rPr>
        <w:t xml:space="preserve"> [Accessed 3rd January 2017].</w:t>
      </w:r>
    </w:p>
    <w:p w14:paraId="17F7CC8C" w14:textId="77777777" w:rsidR="00A96CF7" w:rsidRPr="009258C6" w:rsidRDefault="00A96CF7" w:rsidP="00A96CF7">
      <w:pPr>
        <w:spacing w:line="276" w:lineRule="auto"/>
        <w:rPr>
          <w:color w:val="000000" w:themeColor="text1"/>
          <w:lang w:val="en-US"/>
        </w:rPr>
      </w:pPr>
    </w:p>
    <w:p w14:paraId="186ECB29" w14:textId="77777777" w:rsidR="00A96CF7" w:rsidRPr="009258C6" w:rsidRDefault="00A96CF7" w:rsidP="00A96CF7">
      <w:pPr>
        <w:spacing w:line="276" w:lineRule="auto"/>
        <w:rPr>
          <w:color w:val="000000" w:themeColor="text1"/>
        </w:rPr>
      </w:pPr>
      <w:r w:rsidRPr="009258C6">
        <w:rPr>
          <w:color w:val="000000" w:themeColor="text1"/>
        </w:rPr>
        <w:t xml:space="preserve">Dolan, C. (2004). ‘On farm and packhouse: employment at the bottom of a global commodity chain’, </w:t>
      </w:r>
      <w:r w:rsidRPr="009258C6">
        <w:rPr>
          <w:i/>
          <w:iCs/>
          <w:color w:val="000000" w:themeColor="text1"/>
        </w:rPr>
        <w:t>Rural Sociology</w:t>
      </w:r>
      <w:r w:rsidRPr="009258C6">
        <w:rPr>
          <w:color w:val="000000" w:themeColor="text1"/>
        </w:rPr>
        <w:t>, 69 (1), pp. 99–126. </w:t>
      </w:r>
    </w:p>
    <w:p w14:paraId="6D74B57D" w14:textId="77777777" w:rsidR="00A96CF7" w:rsidRPr="009258C6" w:rsidRDefault="00A96CF7" w:rsidP="00A96CF7">
      <w:pPr>
        <w:spacing w:line="276" w:lineRule="auto"/>
        <w:rPr>
          <w:color w:val="000000" w:themeColor="text1"/>
          <w:lang w:val="en-US"/>
        </w:rPr>
      </w:pPr>
    </w:p>
    <w:p w14:paraId="31637532" w14:textId="77777777" w:rsidR="00A96CF7" w:rsidRPr="00147E8C" w:rsidRDefault="00A96CF7" w:rsidP="00A96CF7">
      <w:pPr>
        <w:spacing w:line="276" w:lineRule="auto"/>
        <w:rPr>
          <w:color w:val="000000" w:themeColor="text1"/>
          <w:lang w:val="en-US"/>
        </w:rPr>
      </w:pPr>
      <w:r w:rsidRPr="00147E8C">
        <w:rPr>
          <w:color w:val="000000" w:themeColor="text1"/>
          <w:lang w:val="en-US"/>
        </w:rPr>
        <w:t>Dore E, 1997, ``The holy family; imagined households in Latin American history'', in Gender Politics in Latin America: Debates, Theory and Practice Ed. E Dore (Monthly Review Press, New York) pp 101-117.</w:t>
      </w:r>
    </w:p>
    <w:p w14:paraId="4F93D182" w14:textId="77777777" w:rsidR="00A96CF7" w:rsidRPr="00147E8C" w:rsidRDefault="00A96CF7" w:rsidP="00A96CF7">
      <w:pPr>
        <w:spacing w:line="276" w:lineRule="auto"/>
        <w:rPr>
          <w:color w:val="000000" w:themeColor="text1"/>
        </w:rPr>
      </w:pPr>
    </w:p>
    <w:p w14:paraId="74D959F7" w14:textId="77777777" w:rsidR="00A96CF7" w:rsidRPr="00147E8C" w:rsidRDefault="00A96CF7" w:rsidP="00A96CF7">
      <w:pPr>
        <w:spacing w:line="276" w:lineRule="auto"/>
        <w:rPr>
          <w:color w:val="000000" w:themeColor="text1"/>
        </w:rPr>
      </w:pPr>
      <w:r w:rsidRPr="00147E8C">
        <w:rPr>
          <w:color w:val="000000" w:themeColor="text1"/>
        </w:rPr>
        <w:t>Doucet, A. and Mauthner N. S. (2006) ‘Feminist methodologies and epistemologies’ in Bryant, C. D. and Peck, D. L. (eds.) </w:t>
      </w:r>
      <w:r w:rsidRPr="00147E8C">
        <w:rPr>
          <w:i/>
          <w:iCs/>
          <w:color w:val="000000" w:themeColor="text1"/>
        </w:rPr>
        <w:t>Handbook of 21st century sociology</w:t>
      </w:r>
      <w:r w:rsidRPr="00147E8C">
        <w:rPr>
          <w:color w:val="000000" w:themeColor="text1"/>
        </w:rPr>
        <w:t>. Thousand Oaks: Sage.</w:t>
      </w:r>
    </w:p>
    <w:p w14:paraId="515D4E98" w14:textId="77777777" w:rsidR="00A96CF7" w:rsidRPr="00147E8C" w:rsidRDefault="00A96CF7" w:rsidP="00A96CF7">
      <w:pPr>
        <w:spacing w:line="276" w:lineRule="auto"/>
        <w:rPr>
          <w:color w:val="000000" w:themeColor="text1"/>
        </w:rPr>
      </w:pPr>
    </w:p>
    <w:p w14:paraId="039CEC6C"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r w:rsidRPr="00147E8C">
        <w:rPr>
          <w:rStyle w:val="apple-converted-space"/>
          <w:rFonts w:ascii="Times New Roman" w:hAnsi="Times New Roman" w:cs="Times New Roman"/>
          <w:color w:val="000000" w:themeColor="text1"/>
          <w:sz w:val="24"/>
          <w:szCs w:val="24"/>
        </w:rPr>
        <w:t>D</w:t>
      </w:r>
      <w:r w:rsidRPr="00147E8C">
        <w:rPr>
          <w:rFonts w:ascii="Times New Roman" w:hAnsi="Times New Roman" w:cs="Times New Roman"/>
          <w:color w:val="000000" w:themeColor="text1"/>
          <w:sz w:val="24"/>
          <w:szCs w:val="24"/>
        </w:rPr>
        <w:t xml:space="preserve">oss, C. 2013. ‘Intra household bargaining and resource allocation in developing countries’. </w:t>
      </w:r>
      <w:r w:rsidRPr="00147E8C">
        <w:rPr>
          <w:rFonts w:ascii="Times New Roman" w:hAnsi="Times New Roman" w:cs="Times New Roman"/>
          <w:i/>
          <w:iCs/>
          <w:color w:val="000000" w:themeColor="text1"/>
          <w:sz w:val="24"/>
          <w:szCs w:val="24"/>
        </w:rPr>
        <w:t>World Bank Research Observer</w:t>
      </w:r>
      <w:r w:rsidRPr="00147E8C">
        <w:rPr>
          <w:rStyle w:val="apple-converted-space"/>
          <w:rFonts w:ascii="Times New Roman" w:hAnsi="Times New Roman" w:cs="Times New Roman"/>
          <w:i/>
          <w:iCs/>
          <w:color w:val="000000" w:themeColor="text1"/>
          <w:sz w:val="24"/>
          <w:szCs w:val="24"/>
        </w:rPr>
        <w:t xml:space="preserve">, </w:t>
      </w:r>
      <w:r w:rsidRPr="00147E8C">
        <w:rPr>
          <w:rStyle w:val="apple-converted-space"/>
          <w:rFonts w:ascii="Times New Roman" w:hAnsi="Times New Roman" w:cs="Times New Roman"/>
          <w:color w:val="000000" w:themeColor="text1"/>
          <w:sz w:val="24"/>
          <w:szCs w:val="24"/>
        </w:rPr>
        <w:t>2</w:t>
      </w:r>
      <w:r w:rsidRPr="00147E8C">
        <w:rPr>
          <w:rFonts w:ascii="Times New Roman" w:hAnsi="Times New Roman" w:cs="Times New Roman"/>
          <w:color w:val="000000" w:themeColor="text1"/>
          <w:sz w:val="24"/>
          <w:szCs w:val="24"/>
        </w:rPr>
        <w:t xml:space="preserve">8 (1), pp. 52–78. </w:t>
      </w:r>
    </w:p>
    <w:p w14:paraId="36269E7C" w14:textId="77777777" w:rsidR="00A96CF7" w:rsidRPr="00147E8C" w:rsidRDefault="00A96CF7" w:rsidP="00A96CF7">
      <w:pPr>
        <w:spacing w:line="276" w:lineRule="auto"/>
        <w:rPr>
          <w:color w:val="000000" w:themeColor="text1"/>
        </w:rPr>
      </w:pPr>
    </w:p>
    <w:p w14:paraId="029ADE2E" w14:textId="77777777" w:rsidR="00A96CF7" w:rsidRPr="00147E8C" w:rsidRDefault="00A96CF7" w:rsidP="00A96CF7">
      <w:pPr>
        <w:spacing w:line="276" w:lineRule="auto"/>
        <w:rPr>
          <w:color w:val="000000" w:themeColor="text1"/>
        </w:rPr>
      </w:pPr>
      <w:r w:rsidRPr="00147E8C">
        <w:rPr>
          <w:color w:val="000000" w:themeColor="text1"/>
        </w:rPr>
        <w:t xml:space="preserve">Duflo, E. (2012) ‘Women empowerment and economic development’, </w:t>
      </w:r>
      <w:r w:rsidRPr="00147E8C">
        <w:rPr>
          <w:i/>
          <w:iCs/>
          <w:color w:val="000000" w:themeColor="text1"/>
        </w:rPr>
        <w:t xml:space="preserve">Journal of Economic Literature, </w:t>
      </w:r>
      <w:r w:rsidRPr="00147E8C">
        <w:rPr>
          <w:color w:val="000000" w:themeColor="text1"/>
        </w:rPr>
        <w:t>50 (4), p.1052.   </w:t>
      </w:r>
    </w:p>
    <w:p w14:paraId="0A4A4A1B" w14:textId="77777777" w:rsidR="00A96CF7" w:rsidRPr="009258C6" w:rsidRDefault="00A96CF7" w:rsidP="00A96CF7">
      <w:pPr>
        <w:spacing w:line="276" w:lineRule="auto"/>
        <w:rPr>
          <w:color w:val="000000" w:themeColor="text1"/>
        </w:rPr>
      </w:pPr>
    </w:p>
    <w:p w14:paraId="5F09948C" w14:textId="77777777" w:rsidR="00A96CF7" w:rsidRPr="009258C6" w:rsidRDefault="00A96CF7" w:rsidP="00A96CF7">
      <w:pPr>
        <w:spacing w:line="276" w:lineRule="auto"/>
        <w:rPr>
          <w:color w:val="000000" w:themeColor="text1"/>
          <w:lang w:val="en-US"/>
        </w:rPr>
      </w:pPr>
      <w:r w:rsidRPr="009258C6">
        <w:rPr>
          <w:rStyle w:val="Hyperlink"/>
          <w:rFonts w:eastAsiaTheme="majorEastAsia"/>
          <w:color w:val="000000" w:themeColor="text1"/>
          <w:u w:val="none"/>
        </w:rPr>
        <w:t xml:space="preserve">Duryea, S. and Robles, M. (2016). </w:t>
      </w:r>
      <w:r w:rsidRPr="009258C6">
        <w:rPr>
          <w:rStyle w:val="Hyperlink"/>
          <w:rFonts w:eastAsiaTheme="majorEastAsia"/>
          <w:color w:val="000000" w:themeColor="text1"/>
          <w:u w:val="none"/>
          <w:lang w:val="es-NI"/>
        </w:rPr>
        <w:t xml:space="preserve">‘Realidades y perspectivas’, </w:t>
      </w:r>
      <w:r w:rsidRPr="009258C6">
        <w:rPr>
          <w:rStyle w:val="Hyperlink"/>
          <w:rFonts w:eastAsiaTheme="majorEastAsia"/>
          <w:i/>
          <w:color w:val="000000" w:themeColor="text1"/>
          <w:u w:val="none"/>
          <w:lang w:val="es-NI"/>
        </w:rPr>
        <w:t xml:space="preserve">Pulso social de América Latina y el Caribe 2016 </w:t>
      </w:r>
      <w:r w:rsidRPr="009258C6">
        <w:rPr>
          <w:rStyle w:val="Hyperlink"/>
          <w:rFonts w:eastAsiaTheme="majorEastAsia"/>
          <w:color w:val="000000" w:themeColor="text1"/>
          <w:u w:val="none"/>
          <w:lang w:val="es-NI"/>
        </w:rPr>
        <w:t xml:space="preserve">[Online]. </w:t>
      </w:r>
      <w:r w:rsidRPr="009258C6">
        <w:rPr>
          <w:rStyle w:val="Hyperlink"/>
          <w:rFonts w:eastAsiaTheme="majorEastAsia"/>
          <w:color w:val="000000" w:themeColor="text1"/>
          <w:u w:val="none"/>
        </w:rPr>
        <w:t>Banco Interamericano de Desarrollo (BID). Available from: https://publications.iadb.org/handle/11319/7863</w:t>
      </w:r>
      <w:r w:rsidRPr="009258C6">
        <w:rPr>
          <w:color w:val="000000" w:themeColor="text1"/>
          <w:lang w:val="en-US"/>
        </w:rPr>
        <w:t xml:space="preserve"> [Accessed 10th April 2017].</w:t>
      </w:r>
    </w:p>
    <w:p w14:paraId="0D94AC2C" w14:textId="77777777" w:rsidR="00A96CF7" w:rsidRPr="00147E8C" w:rsidRDefault="00A96CF7" w:rsidP="00A96CF7">
      <w:pPr>
        <w:spacing w:line="276" w:lineRule="auto"/>
        <w:rPr>
          <w:color w:val="000000" w:themeColor="text1"/>
          <w:lang w:val="en-US"/>
        </w:rPr>
      </w:pPr>
    </w:p>
    <w:p w14:paraId="1B9DDF11" w14:textId="77777777" w:rsidR="00A96CF7" w:rsidRPr="00147E8C" w:rsidRDefault="00A96CF7" w:rsidP="00A96CF7">
      <w:pPr>
        <w:spacing w:line="276" w:lineRule="auto"/>
        <w:rPr>
          <w:color w:val="000000" w:themeColor="text1"/>
          <w:lang w:val="en-US"/>
        </w:rPr>
      </w:pPr>
      <w:r w:rsidRPr="00147E8C">
        <w:rPr>
          <w:color w:val="000000" w:themeColor="text1"/>
          <w:lang w:val="en-US"/>
        </w:rPr>
        <w:t>Dutton, D. B. (1995). The domestic assault of women. Vancouver: University of British Columbia Press.</w:t>
      </w:r>
    </w:p>
    <w:p w14:paraId="128342CE" w14:textId="77777777" w:rsidR="00A96CF7" w:rsidRPr="00147E8C" w:rsidRDefault="00A96CF7" w:rsidP="00A96CF7">
      <w:pPr>
        <w:pStyle w:val="NormalWeb"/>
        <w:spacing w:before="0" w:beforeAutospacing="0" w:after="0" w:afterAutospacing="0" w:line="276" w:lineRule="auto"/>
        <w:rPr>
          <w:rFonts w:eastAsia="Times New Roman"/>
          <w:color w:val="000000" w:themeColor="text1"/>
          <w:lang w:val="en-US" w:eastAsia="en-US"/>
        </w:rPr>
      </w:pPr>
    </w:p>
    <w:p w14:paraId="50A69215" w14:textId="77777777" w:rsidR="00A96CF7" w:rsidRPr="00147E8C" w:rsidRDefault="00A96CF7" w:rsidP="00A96CF7">
      <w:pPr>
        <w:pStyle w:val="NormalWeb"/>
        <w:spacing w:before="0" w:beforeAutospacing="0" w:after="0" w:afterAutospacing="0" w:line="276" w:lineRule="auto"/>
        <w:rPr>
          <w:rFonts w:eastAsia="Times New Roman"/>
          <w:color w:val="000000" w:themeColor="text1"/>
          <w:lang w:val="en-US" w:eastAsia="en-US"/>
        </w:rPr>
      </w:pPr>
      <w:r w:rsidRPr="00147E8C">
        <w:rPr>
          <w:rFonts w:eastAsia="Times New Roman"/>
          <w:color w:val="000000" w:themeColor="text1"/>
          <w:lang w:val="en-US" w:eastAsia="en-US"/>
        </w:rPr>
        <w:t xml:space="preserve">Early, K (2014) </w:t>
      </w:r>
      <w:r w:rsidRPr="00147E8C">
        <w:rPr>
          <w:rFonts w:eastAsia="Times New Roman"/>
          <w:i/>
          <w:color w:val="000000" w:themeColor="text1"/>
          <w:lang w:val="en-US" w:eastAsia="en-US"/>
        </w:rPr>
        <w:t>Base Code Guidance: Living wages, ETI.</w:t>
      </w:r>
      <w:r w:rsidRPr="00147E8C">
        <w:rPr>
          <w:rFonts w:eastAsia="Times New Roman"/>
          <w:color w:val="000000" w:themeColor="text1"/>
          <w:lang w:val="en-US" w:eastAsia="en-US"/>
        </w:rPr>
        <w:t xml:space="preserve"> Available from:</w:t>
      </w:r>
    </w:p>
    <w:p w14:paraId="213F00C7" w14:textId="77777777" w:rsidR="00A96CF7" w:rsidRPr="00147E8C" w:rsidRDefault="0082537D" w:rsidP="00A96CF7">
      <w:pPr>
        <w:pStyle w:val="NormalWeb"/>
        <w:spacing w:before="0" w:beforeAutospacing="0" w:after="0" w:afterAutospacing="0" w:line="276" w:lineRule="auto"/>
        <w:rPr>
          <w:rFonts w:eastAsia="Times New Roman"/>
          <w:color w:val="000000" w:themeColor="text1"/>
          <w:lang w:val="en-US" w:eastAsia="en-US"/>
        </w:rPr>
      </w:pPr>
      <w:hyperlink r:id="rId37" w:history="1">
        <w:r w:rsidR="00A96CF7" w:rsidRPr="00147E8C">
          <w:rPr>
            <w:rFonts w:eastAsia="Times New Roman"/>
            <w:color w:val="000000" w:themeColor="text1"/>
            <w:lang w:val="en-US" w:eastAsia="en-US"/>
          </w:rPr>
          <w:t>https://www.ethicaltrade.org/sites/default/files/shared_resources/eti_living_wage_guidance_2.pdf</w:t>
        </w:r>
      </w:hyperlink>
      <w:r w:rsidR="00A96CF7" w:rsidRPr="00147E8C">
        <w:rPr>
          <w:rFonts w:eastAsia="Times New Roman"/>
          <w:color w:val="000000" w:themeColor="text1"/>
          <w:lang w:val="en-US" w:eastAsia="en-US"/>
        </w:rPr>
        <w:t xml:space="preserve"> [Accessed 24th May 2018].</w:t>
      </w:r>
    </w:p>
    <w:p w14:paraId="090DA145"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 </w:t>
      </w:r>
    </w:p>
    <w:p w14:paraId="6AF098C6" w14:textId="77777777" w:rsidR="00A96CF7" w:rsidRPr="00147E8C" w:rsidRDefault="00A96CF7" w:rsidP="00A96CF7">
      <w:pPr>
        <w:spacing w:line="276" w:lineRule="auto"/>
        <w:rPr>
          <w:color w:val="000000" w:themeColor="text1"/>
        </w:rPr>
      </w:pPr>
      <w:r w:rsidRPr="00147E8C">
        <w:rPr>
          <w:color w:val="000000" w:themeColor="text1"/>
          <w:lang w:val="en-US"/>
        </w:rPr>
        <w:t>Economic Commission for Latin America and the Caribbean-ECLAC (2014) ‘</w:t>
      </w:r>
      <w:r w:rsidRPr="00147E8C">
        <w:rPr>
          <w:iCs/>
          <w:color w:val="000000" w:themeColor="text1"/>
        </w:rPr>
        <w:t>Understanding poverty from a gender perspective</w:t>
      </w:r>
      <w:r w:rsidRPr="00147E8C">
        <w:rPr>
          <w:color w:val="000000" w:themeColor="text1"/>
        </w:rPr>
        <w:t xml:space="preserve">’, </w:t>
      </w:r>
      <w:r w:rsidRPr="00147E8C">
        <w:rPr>
          <w:i/>
          <w:color w:val="000000" w:themeColor="text1"/>
        </w:rPr>
        <w:t xml:space="preserve">Serie Mujer y Desarrollo </w:t>
      </w:r>
      <w:r w:rsidRPr="00147E8C">
        <w:rPr>
          <w:color w:val="000000" w:themeColor="text1"/>
        </w:rPr>
        <w:t xml:space="preserve">[Online], 52. Santiago: ECLAC. Available from: </w:t>
      </w:r>
      <w:r w:rsidRPr="00147E8C">
        <w:rPr>
          <w:color w:val="000000" w:themeColor="text1"/>
        </w:rPr>
        <w:lastRenderedPageBreak/>
        <w:t>http://www.cepal.org/publicaciones/xml/0/21550/lcl2063i.pdf [Accessed 4th June 2017].</w:t>
      </w:r>
    </w:p>
    <w:p w14:paraId="2B21D36D" w14:textId="77777777" w:rsidR="00A96CF7" w:rsidRPr="00147E8C" w:rsidRDefault="00A96CF7" w:rsidP="00A96CF7">
      <w:pPr>
        <w:spacing w:line="276" w:lineRule="auto"/>
        <w:rPr>
          <w:color w:val="000000" w:themeColor="text1"/>
        </w:rPr>
      </w:pPr>
    </w:p>
    <w:p w14:paraId="4BB8BADD" w14:textId="77777777" w:rsidR="00A96CF7" w:rsidRPr="00147E8C" w:rsidRDefault="00A96CF7" w:rsidP="00A96CF7">
      <w:pPr>
        <w:spacing w:line="276" w:lineRule="auto"/>
        <w:rPr>
          <w:color w:val="000000" w:themeColor="text1"/>
        </w:rPr>
      </w:pPr>
      <w:r w:rsidRPr="00147E8C">
        <w:rPr>
          <w:color w:val="000000" w:themeColor="text1"/>
        </w:rPr>
        <w:t>Edleson, J., &amp; Tolman, R.M (1992). Intervention for men who batter: An ecological approach. Newbury Park, CA: Sage.</w:t>
      </w:r>
    </w:p>
    <w:p w14:paraId="08E587F4" w14:textId="77777777" w:rsidR="00A96CF7" w:rsidRPr="00147E8C" w:rsidRDefault="00A96CF7" w:rsidP="00A96CF7">
      <w:pPr>
        <w:spacing w:line="276" w:lineRule="auto"/>
        <w:rPr>
          <w:color w:val="000000" w:themeColor="text1"/>
        </w:rPr>
      </w:pPr>
    </w:p>
    <w:p w14:paraId="689D630C" w14:textId="77777777" w:rsidR="00A96CF7" w:rsidRPr="00147E8C" w:rsidRDefault="00A96CF7" w:rsidP="00A96CF7">
      <w:pPr>
        <w:spacing w:line="276" w:lineRule="auto"/>
        <w:rPr>
          <w:color w:val="000000" w:themeColor="text1"/>
        </w:rPr>
      </w:pPr>
      <w:r w:rsidRPr="00147E8C">
        <w:rPr>
          <w:color w:val="000000" w:themeColor="text1"/>
        </w:rPr>
        <w:t xml:space="preserve">Edström, J., Das, A. and Dolan, C. (2014) ‘Introduction: undressing patriarchy and masculinities to re-politicise gender’, </w:t>
      </w:r>
      <w:r w:rsidRPr="00147E8C">
        <w:rPr>
          <w:i/>
          <w:color w:val="000000" w:themeColor="text1"/>
        </w:rPr>
        <w:t>IDS Bulletin</w:t>
      </w:r>
      <w:r w:rsidRPr="00147E8C">
        <w:rPr>
          <w:color w:val="000000" w:themeColor="text1"/>
        </w:rPr>
        <w:t xml:space="preserve">, 45 (1), pp. 1–10. </w:t>
      </w:r>
    </w:p>
    <w:p w14:paraId="78EDA12B" w14:textId="77777777" w:rsidR="00A96CF7" w:rsidRPr="00147E8C" w:rsidRDefault="00A96CF7" w:rsidP="00A96CF7">
      <w:pPr>
        <w:spacing w:line="276" w:lineRule="auto"/>
        <w:rPr>
          <w:color w:val="000000" w:themeColor="text1"/>
        </w:rPr>
      </w:pPr>
    </w:p>
    <w:p w14:paraId="4F4CD858" w14:textId="77777777" w:rsidR="00A96CF7" w:rsidRPr="00147E8C" w:rsidRDefault="00A96CF7" w:rsidP="00A96CF7">
      <w:pPr>
        <w:spacing w:line="276" w:lineRule="auto"/>
        <w:rPr>
          <w:color w:val="000000" w:themeColor="text1"/>
        </w:rPr>
      </w:pPr>
      <w:r w:rsidRPr="00147E8C">
        <w:rPr>
          <w:color w:val="000000" w:themeColor="text1"/>
        </w:rPr>
        <w:t xml:space="preserve">Ekman, P. (1973) ‘Cross culture studies of facial expressions’, </w:t>
      </w:r>
      <w:r w:rsidRPr="00147E8C">
        <w:rPr>
          <w:i/>
          <w:color w:val="000000" w:themeColor="text1"/>
        </w:rPr>
        <w:t>Darwin and facial expressions: a century of research in review</w:t>
      </w:r>
      <w:r w:rsidRPr="00147E8C">
        <w:rPr>
          <w:color w:val="000000" w:themeColor="text1"/>
        </w:rPr>
        <w:t xml:space="preserve">. New York: Academic Press, pp.169-222. </w:t>
      </w:r>
    </w:p>
    <w:p w14:paraId="52148D32" w14:textId="77777777" w:rsidR="00A96CF7" w:rsidRPr="00147E8C" w:rsidRDefault="00A96CF7" w:rsidP="00A96CF7">
      <w:pPr>
        <w:spacing w:line="276" w:lineRule="auto"/>
        <w:rPr>
          <w:color w:val="000000" w:themeColor="text1"/>
        </w:rPr>
      </w:pPr>
    </w:p>
    <w:p w14:paraId="7979A036" w14:textId="77777777" w:rsidR="00A96CF7" w:rsidRPr="00147E8C" w:rsidRDefault="00A96CF7" w:rsidP="00A96CF7">
      <w:pPr>
        <w:spacing w:line="276" w:lineRule="auto"/>
        <w:rPr>
          <w:color w:val="000000" w:themeColor="text1"/>
        </w:rPr>
      </w:pPr>
      <w:r w:rsidRPr="00147E8C">
        <w:rPr>
          <w:color w:val="000000" w:themeColor="text1"/>
        </w:rPr>
        <w:t xml:space="preserve">Elson, D. (1988) ‘The economic, the political and the domestic: businesses, states and households in the organisation of production’, </w:t>
      </w:r>
      <w:r w:rsidRPr="00147E8C">
        <w:rPr>
          <w:i/>
          <w:iCs/>
          <w:color w:val="000000" w:themeColor="text1"/>
        </w:rPr>
        <w:t>New Political Econom</w:t>
      </w:r>
      <w:r w:rsidRPr="00147E8C">
        <w:rPr>
          <w:color w:val="000000" w:themeColor="text1"/>
        </w:rPr>
        <w:t>y, 3 (2), pp.189-208.</w:t>
      </w:r>
    </w:p>
    <w:p w14:paraId="4A042AC8" w14:textId="77777777" w:rsidR="00A96CF7" w:rsidRPr="00147E8C" w:rsidRDefault="00A96CF7" w:rsidP="00A96CF7">
      <w:pPr>
        <w:spacing w:line="276" w:lineRule="auto"/>
        <w:rPr>
          <w:color w:val="000000" w:themeColor="text1"/>
        </w:rPr>
      </w:pPr>
    </w:p>
    <w:p w14:paraId="1CEA1B8A" w14:textId="77777777" w:rsidR="00A96CF7" w:rsidRPr="00147E8C" w:rsidRDefault="00A96CF7" w:rsidP="00A96CF7">
      <w:pPr>
        <w:spacing w:line="276" w:lineRule="auto"/>
        <w:rPr>
          <w:color w:val="000000" w:themeColor="text1"/>
        </w:rPr>
      </w:pPr>
      <w:r w:rsidRPr="00147E8C">
        <w:rPr>
          <w:color w:val="000000" w:themeColor="text1"/>
        </w:rPr>
        <w:t xml:space="preserve">Elson D. (1992) ‘Male bias in structural adjustment’ in: Afshar, H., Dennis, C. (eds) </w:t>
      </w:r>
      <w:r w:rsidRPr="00147E8C">
        <w:rPr>
          <w:i/>
          <w:iCs/>
          <w:color w:val="000000" w:themeColor="text1"/>
        </w:rPr>
        <w:t>Women and adjustment policies in the Third World. Women’s Studies</w:t>
      </w:r>
      <w:r w:rsidRPr="00147E8C">
        <w:rPr>
          <w:i/>
          <w:color w:val="000000" w:themeColor="text1"/>
        </w:rPr>
        <w:t xml:space="preserve"> at York/Macmillan Series.</w:t>
      </w:r>
      <w:r w:rsidRPr="00147E8C">
        <w:rPr>
          <w:color w:val="000000" w:themeColor="text1"/>
        </w:rPr>
        <w:t xml:space="preserve"> London: Palgrave Macmillan.</w:t>
      </w:r>
    </w:p>
    <w:p w14:paraId="5C2F51A7" w14:textId="77777777" w:rsidR="00A96CF7" w:rsidRPr="00147E8C" w:rsidRDefault="00A96CF7" w:rsidP="00A96CF7">
      <w:pPr>
        <w:spacing w:line="276" w:lineRule="auto"/>
        <w:rPr>
          <w:color w:val="000000" w:themeColor="text1"/>
        </w:rPr>
      </w:pPr>
    </w:p>
    <w:p w14:paraId="1E5C4950" w14:textId="77777777" w:rsidR="00A96CF7" w:rsidRPr="00147E8C" w:rsidRDefault="00A96CF7" w:rsidP="00A96CF7">
      <w:pPr>
        <w:spacing w:line="276" w:lineRule="auto"/>
        <w:rPr>
          <w:color w:val="000000" w:themeColor="text1"/>
        </w:rPr>
      </w:pPr>
      <w:r w:rsidRPr="00147E8C">
        <w:rPr>
          <w:color w:val="000000" w:themeColor="text1"/>
        </w:rPr>
        <w:t xml:space="preserve">Elson, D. (1999) ‘Labor markets as gendered institutions: equality, efficiency and empowerment issues’, </w:t>
      </w:r>
      <w:r w:rsidRPr="00147E8C">
        <w:rPr>
          <w:i/>
          <w:iCs/>
          <w:color w:val="000000" w:themeColor="text1"/>
        </w:rPr>
        <w:t>World Development</w:t>
      </w:r>
      <w:r w:rsidRPr="00147E8C">
        <w:rPr>
          <w:color w:val="000000" w:themeColor="text1"/>
        </w:rPr>
        <w:t>, 27 (3), pp. 611-627.</w:t>
      </w:r>
    </w:p>
    <w:p w14:paraId="55754D24" w14:textId="77777777" w:rsidR="00A96CF7" w:rsidRPr="00147E8C" w:rsidRDefault="00A96CF7" w:rsidP="00A96CF7">
      <w:pPr>
        <w:spacing w:line="276" w:lineRule="auto"/>
        <w:rPr>
          <w:color w:val="000000" w:themeColor="text1"/>
        </w:rPr>
      </w:pPr>
    </w:p>
    <w:p w14:paraId="101D3812" w14:textId="77777777" w:rsidR="00A96CF7" w:rsidRPr="00147E8C" w:rsidRDefault="00A96CF7" w:rsidP="00A96CF7">
      <w:pPr>
        <w:spacing w:line="276" w:lineRule="auto"/>
        <w:rPr>
          <w:color w:val="000000" w:themeColor="text1"/>
        </w:rPr>
      </w:pPr>
      <w:r w:rsidRPr="00147E8C">
        <w:rPr>
          <w:color w:val="000000" w:themeColor="text1"/>
        </w:rPr>
        <w:t xml:space="preserve">Elson, D. (2002) Gender justice, human rights and neoliberal economic policies in Molyneux, M. and Shahra, R. (eds) </w:t>
      </w:r>
      <w:r w:rsidRPr="00147E8C">
        <w:rPr>
          <w:i/>
          <w:color w:val="000000" w:themeColor="text1"/>
        </w:rPr>
        <w:t>Gender justice, development and rights</w:t>
      </w:r>
      <w:r w:rsidRPr="00147E8C">
        <w:rPr>
          <w:color w:val="000000" w:themeColor="text1"/>
        </w:rPr>
        <w:t>. Oxford: Oxford University Press, pp. 78–114.</w:t>
      </w:r>
    </w:p>
    <w:p w14:paraId="4BFCC3C9" w14:textId="77777777" w:rsidR="00A96CF7" w:rsidRPr="00147E8C" w:rsidRDefault="00A96CF7" w:rsidP="00A96CF7">
      <w:pPr>
        <w:spacing w:line="276" w:lineRule="auto"/>
        <w:rPr>
          <w:color w:val="000000" w:themeColor="text1"/>
        </w:rPr>
      </w:pPr>
    </w:p>
    <w:p w14:paraId="3AEFC72B" w14:textId="77777777" w:rsidR="00A96CF7" w:rsidRPr="00147E8C" w:rsidRDefault="00A96CF7" w:rsidP="00A96CF7">
      <w:pPr>
        <w:spacing w:line="276" w:lineRule="auto"/>
        <w:rPr>
          <w:color w:val="000000" w:themeColor="text1"/>
        </w:rPr>
      </w:pPr>
      <w:r w:rsidRPr="00147E8C">
        <w:rPr>
          <w:color w:val="000000" w:themeColor="text1"/>
        </w:rPr>
        <w:t xml:space="preserve">Elson, D. (2008) </w:t>
      </w:r>
      <w:r w:rsidRPr="00147E8C">
        <w:rPr>
          <w:i/>
          <w:iCs/>
          <w:color w:val="000000" w:themeColor="text1"/>
        </w:rPr>
        <w:t>The three r’s of unpaid work: recognition, reduction and redistribution.</w:t>
      </w:r>
      <w:r w:rsidRPr="00147E8C">
        <w:rPr>
          <w:color w:val="000000" w:themeColor="text1"/>
        </w:rPr>
        <w:t xml:space="preserve"> Paper presented at the Expert Group Meeting on Unpaid Work. November 2008. New York: Economic Development and Human Well-Being, UNDP. </w:t>
      </w:r>
    </w:p>
    <w:p w14:paraId="1BB88B99" w14:textId="77777777" w:rsidR="00A96CF7" w:rsidRPr="00147E8C" w:rsidRDefault="00A96CF7" w:rsidP="00A96CF7">
      <w:pPr>
        <w:spacing w:line="276" w:lineRule="auto"/>
        <w:rPr>
          <w:color w:val="000000" w:themeColor="text1"/>
        </w:rPr>
      </w:pPr>
    </w:p>
    <w:p w14:paraId="11D0314B" w14:textId="77777777" w:rsidR="00A96CF7" w:rsidRPr="00147E8C" w:rsidRDefault="00A96CF7" w:rsidP="00A96CF7">
      <w:pPr>
        <w:spacing w:line="276" w:lineRule="auto"/>
        <w:rPr>
          <w:color w:val="000000" w:themeColor="text1"/>
        </w:rPr>
      </w:pPr>
      <w:r w:rsidRPr="00147E8C">
        <w:rPr>
          <w:color w:val="000000" w:themeColor="text1"/>
        </w:rPr>
        <w:t>Elster, J. (1989) ‘Social norms and economic theory’</w:t>
      </w:r>
      <w:r w:rsidRPr="00147E8C">
        <w:rPr>
          <w:i/>
          <w:iCs/>
          <w:color w:val="000000" w:themeColor="text1"/>
        </w:rPr>
        <w:t xml:space="preserve">, Journal of Economic Perspectives, </w:t>
      </w:r>
      <w:r w:rsidRPr="00147E8C">
        <w:rPr>
          <w:color w:val="000000" w:themeColor="text1"/>
        </w:rPr>
        <w:t>3 (4), pp. 99–117.</w:t>
      </w:r>
    </w:p>
    <w:p w14:paraId="7AFFD35F" w14:textId="77777777" w:rsidR="00A96CF7" w:rsidRPr="00147E8C" w:rsidRDefault="00A96CF7" w:rsidP="00A96CF7">
      <w:pPr>
        <w:spacing w:line="276" w:lineRule="auto"/>
        <w:rPr>
          <w:color w:val="000000" w:themeColor="text1"/>
          <w:lang w:val="en-US"/>
        </w:rPr>
      </w:pPr>
    </w:p>
    <w:p w14:paraId="435CEE81" w14:textId="77777777"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t xml:space="preserve">Ellsberg M, and Heise L. (2005) </w:t>
      </w:r>
      <w:r w:rsidRPr="00147E8C">
        <w:rPr>
          <w:i/>
          <w:color w:val="000000" w:themeColor="text1"/>
        </w:rPr>
        <w:t>Researching Violence Against Women: A Practical Guide for Researchers and Activists. Washington DC, United States: World Health Organization, PATH; 2005.</w:t>
      </w:r>
      <w:r w:rsidRPr="00147E8C">
        <w:rPr>
          <w:color w:val="000000" w:themeColor="text1"/>
        </w:rPr>
        <w:t xml:space="preserve"> </w:t>
      </w:r>
    </w:p>
    <w:p w14:paraId="5F36A29A" w14:textId="449860B9" w:rsidR="00A96CF7" w:rsidRPr="00147E8C" w:rsidRDefault="00A96CF7" w:rsidP="00A96CF7">
      <w:pPr>
        <w:pStyle w:val="NormalWeb"/>
        <w:spacing w:before="0" w:beforeAutospacing="0" w:after="0" w:afterAutospacing="0" w:line="276" w:lineRule="auto"/>
        <w:rPr>
          <w:color w:val="000000" w:themeColor="text1"/>
        </w:rPr>
      </w:pPr>
      <w:r w:rsidRPr="00C40083">
        <w:rPr>
          <w:rStyle w:val="Hyperlink"/>
          <w:color w:val="000000" w:themeColor="text1"/>
          <w:u w:val="none"/>
        </w:rPr>
        <w:t>https://path.azureedge.net/media/documents/GBV_rvaw_complete.pdf</w:t>
      </w:r>
      <w:r w:rsidR="00C40083">
        <w:rPr>
          <w:color w:val="000000" w:themeColor="text1"/>
        </w:rPr>
        <w:t xml:space="preserve"> [Accessed 6th June 2018].</w:t>
      </w:r>
    </w:p>
    <w:p w14:paraId="4E08E2AF" w14:textId="77777777" w:rsidR="00A96CF7" w:rsidRPr="00147E8C" w:rsidRDefault="00A96CF7" w:rsidP="00A96CF7">
      <w:pPr>
        <w:spacing w:line="276" w:lineRule="auto"/>
        <w:rPr>
          <w:color w:val="000000" w:themeColor="text1"/>
        </w:rPr>
      </w:pPr>
    </w:p>
    <w:p w14:paraId="45ED2D43"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Ellsberg, M. </w:t>
      </w:r>
      <w:r w:rsidRPr="00147E8C">
        <w:rPr>
          <w:i/>
          <w:iCs/>
          <w:color w:val="000000" w:themeColor="text1"/>
        </w:rPr>
        <w:t>et al.</w:t>
      </w:r>
      <w:r w:rsidRPr="00147E8C">
        <w:rPr>
          <w:color w:val="000000" w:themeColor="text1"/>
        </w:rPr>
        <w:t xml:space="preserve"> (2001) ‘Researching Domestic Violence Against Women: Methodological and Ethical Considerations’, </w:t>
      </w:r>
      <w:r w:rsidRPr="00147E8C">
        <w:rPr>
          <w:i/>
          <w:iCs/>
          <w:color w:val="000000" w:themeColor="text1"/>
        </w:rPr>
        <w:t>Studies in Family Planning</w:t>
      </w:r>
      <w:r w:rsidRPr="00147E8C">
        <w:rPr>
          <w:color w:val="000000" w:themeColor="text1"/>
        </w:rPr>
        <w:t xml:space="preserve">. Wiley Online Library, 32(1), pp. 1–16. </w:t>
      </w:r>
    </w:p>
    <w:p w14:paraId="36EE4D70" w14:textId="77777777" w:rsidR="00A96CF7" w:rsidRPr="00147E8C" w:rsidRDefault="00A96CF7" w:rsidP="00A96CF7">
      <w:pPr>
        <w:spacing w:line="276" w:lineRule="auto"/>
        <w:rPr>
          <w:color w:val="000000" w:themeColor="text1"/>
        </w:rPr>
      </w:pPr>
    </w:p>
    <w:p w14:paraId="6F1DA351" w14:textId="77777777" w:rsidR="00A96CF7" w:rsidRPr="00147E8C" w:rsidRDefault="00A96CF7" w:rsidP="00A96CF7">
      <w:pPr>
        <w:spacing w:line="276" w:lineRule="auto"/>
        <w:rPr>
          <w:color w:val="000000" w:themeColor="text1"/>
        </w:rPr>
      </w:pPr>
      <w:r w:rsidRPr="00147E8C">
        <w:rPr>
          <w:color w:val="000000" w:themeColor="text1"/>
        </w:rPr>
        <w:t>Ellsberg, M., Peña, R., Herrera, A., Liljestrand, J., &amp; Winkvist, A. (2000). Candies in hell: Women’s experiences of violence in Nicaragua. </w:t>
      </w:r>
      <w:r w:rsidRPr="00147E8C">
        <w:rPr>
          <w:i/>
          <w:iCs/>
          <w:color w:val="000000" w:themeColor="text1"/>
        </w:rPr>
        <w:t>Social Science and Medicine</w:t>
      </w:r>
      <w:r w:rsidRPr="00147E8C">
        <w:rPr>
          <w:color w:val="000000" w:themeColor="text1"/>
        </w:rPr>
        <w:t>, </w:t>
      </w:r>
      <w:r w:rsidRPr="00147E8C">
        <w:rPr>
          <w:i/>
          <w:iCs/>
          <w:color w:val="000000" w:themeColor="text1"/>
        </w:rPr>
        <w:t>51</w:t>
      </w:r>
      <w:r w:rsidRPr="00147E8C">
        <w:rPr>
          <w:color w:val="000000" w:themeColor="text1"/>
        </w:rPr>
        <w:t xml:space="preserve">(11), 1595–1610.  </w:t>
      </w:r>
    </w:p>
    <w:p w14:paraId="5F0F4E43" w14:textId="77777777" w:rsidR="00A96CF7" w:rsidRPr="00147E8C" w:rsidRDefault="00A96CF7" w:rsidP="00A96CF7">
      <w:pPr>
        <w:spacing w:line="276" w:lineRule="auto"/>
        <w:rPr>
          <w:color w:val="000000" w:themeColor="text1"/>
        </w:rPr>
      </w:pPr>
    </w:p>
    <w:p w14:paraId="693A59A6" w14:textId="77777777" w:rsidR="00A96CF7" w:rsidRPr="00147E8C" w:rsidRDefault="00A96CF7" w:rsidP="00A96CF7">
      <w:pPr>
        <w:spacing w:line="276" w:lineRule="auto"/>
        <w:rPr>
          <w:color w:val="000000" w:themeColor="text1"/>
        </w:rPr>
      </w:pPr>
      <w:r w:rsidRPr="00147E8C">
        <w:rPr>
          <w:color w:val="000000" w:themeColor="text1"/>
        </w:rPr>
        <w:t xml:space="preserve">England, K. V. (1994), Getting Personal: Reflexivity, Positionality, and Feminist Research. </w:t>
      </w:r>
      <w:r w:rsidRPr="00147E8C">
        <w:rPr>
          <w:i/>
          <w:color w:val="000000" w:themeColor="text1"/>
        </w:rPr>
        <w:t>The Professional Geographer</w:t>
      </w:r>
      <w:r w:rsidRPr="00147E8C">
        <w:rPr>
          <w:color w:val="000000" w:themeColor="text1"/>
        </w:rPr>
        <w:t xml:space="preserve">, 46 (1), 80-89. </w:t>
      </w:r>
    </w:p>
    <w:p w14:paraId="7E8E1210" w14:textId="77777777" w:rsidR="00A96CF7" w:rsidRPr="00147E8C" w:rsidRDefault="00A96CF7" w:rsidP="00A96CF7">
      <w:pPr>
        <w:spacing w:line="276" w:lineRule="auto"/>
        <w:rPr>
          <w:color w:val="000000" w:themeColor="text1"/>
        </w:rPr>
      </w:pPr>
    </w:p>
    <w:p w14:paraId="2B57EB12" w14:textId="77777777" w:rsidR="00A96CF7" w:rsidRPr="00147E8C" w:rsidRDefault="00A96CF7" w:rsidP="00A96CF7">
      <w:pPr>
        <w:spacing w:line="276" w:lineRule="auto"/>
        <w:rPr>
          <w:color w:val="000000" w:themeColor="text1"/>
        </w:rPr>
      </w:pPr>
      <w:r w:rsidRPr="00147E8C">
        <w:rPr>
          <w:color w:val="000000" w:themeColor="text1"/>
        </w:rPr>
        <w:t xml:space="preserve">Erikson, R. J. (2005) ‘Why emotion work matters: sex, gender, and the division of household labor source’, </w:t>
      </w:r>
      <w:r w:rsidRPr="00147E8C">
        <w:rPr>
          <w:i/>
          <w:color w:val="000000" w:themeColor="text1"/>
        </w:rPr>
        <w:t>Journal of Marriage and Family</w:t>
      </w:r>
      <w:r w:rsidRPr="00147E8C">
        <w:rPr>
          <w:color w:val="000000" w:themeColor="text1"/>
        </w:rPr>
        <w:t xml:space="preserve">, 67 (2), pp. 337-351. </w:t>
      </w:r>
    </w:p>
    <w:p w14:paraId="66E1E3BC" w14:textId="77777777" w:rsidR="00A96CF7" w:rsidRPr="00147E8C" w:rsidRDefault="00A96CF7" w:rsidP="00A96CF7">
      <w:pPr>
        <w:pStyle w:val="NormalWeb"/>
        <w:spacing w:line="276" w:lineRule="auto"/>
        <w:rPr>
          <w:color w:val="000000" w:themeColor="text1"/>
        </w:rPr>
      </w:pPr>
      <w:r w:rsidRPr="00147E8C">
        <w:rPr>
          <w:color w:val="000000" w:themeColor="text1"/>
          <w:lang w:val="es-NI"/>
        </w:rPr>
        <w:t xml:space="preserve">Espinosa, I. (2004) </w:t>
      </w:r>
      <w:r w:rsidRPr="00147E8C">
        <w:rPr>
          <w:i/>
          <w:iCs/>
          <w:color w:val="000000" w:themeColor="text1"/>
          <w:lang w:val="es-NI"/>
        </w:rPr>
        <w:t xml:space="preserve">Perfil de género de la economía nicaragüense en el nuevo contexto de la apertura comercial </w:t>
      </w:r>
      <w:r w:rsidRPr="00147E8C">
        <w:rPr>
          <w:color w:val="000000" w:themeColor="text1"/>
          <w:lang w:val="es-NI"/>
        </w:rPr>
        <w:t xml:space="preserve">[Online]. </w:t>
      </w:r>
      <w:r w:rsidRPr="00147E8C">
        <w:rPr>
          <w:color w:val="000000" w:themeColor="text1"/>
          <w:lang w:val="en-US"/>
        </w:rPr>
        <w:t>Ma</w:t>
      </w:r>
      <w:r w:rsidRPr="00147E8C">
        <w:rPr>
          <w:color w:val="000000" w:themeColor="text1"/>
        </w:rPr>
        <w:t xml:space="preserve">nagua: UNIFEM, Managua. Available from: www.undp.org.ni/publicaciones [Accessed 16th May 2017]. </w:t>
      </w:r>
    </w:p>
    <w:p w14:paraId="02EA871B" w14:textId="77777777" w:rsidR="00A96CF7" w:rsidRPr="00C40083" w:rsidRDefault="00A96CF7" w:rsidP="00A96CF7">
      <w:pPr>
        <w:pStyle w:val="NormalWeb"/>
        <w:spacing w:line="276" w:lineRule="auto"/>
        <w:rPr>
          <w:color w:val="000000" w:themeColor="text1"/>
        </w:rPr>
      </w:pPr>
      <w:r w:rsidRPr="00147E8C">
        <w:rPr>
          <w:color w:val="000000" w:themeColor="text1"/>
        </w:rPr>
        <w:t xml:space="preserve">Espinosa, I. (2010) ‘The case of Nicaragua’, in Budlender, D. (ed.) </w:t>
      </w:r>
      <w:r w:rsidRPr="00147E8C">
        <w:rPr>
          <w:i/>
          <w:color w:val="000000" w:themeColor="text1"/>
        </w:rPr>
        <w:t xml:space="preserve">Time use studies </w:t>
      </w:r>
      <w:r w:rsidRPr="00C40083">
        <w:rPr>
          <w:i/>
          <w:color w:val="000000" w:themeColor="text1"/>
        </w:rPr>
        <w:t>and unpaid wok</w:t>
      </w:r>
      <w:r w:rsidRPr="00C40083">
        <w:rPr>
          <w:color w:val="000000" w:themeColor="text1"/>
        </w:rPr>
        <w:t xml:space="preserve">. [Online]. London: Routledge. Available from: </w:t>
      </w:r>
      <w:r w:rsidRPr="00C40083">
        <w:rPr>
          <w:rStyle w:val="Hyperlink"/>
          <w:color w:val="000000" w:themeColor="text1"/>
          <w:u w:val="none"/>
        </w:rPr>
        <w:t>http://www.unrisd.org/80256B3C005BCCF9/%28httpPublications%29/414BA4D59E6D9AB1C125775B00480FD7?OpenDocument</w:t>
      </w:r>
      <w:r w:rsidRPr="00C40083">
        <w:rPr>
          <w:color w:val="000000" w:themeColor="text1"/>
        </w:rPr>
        <w:t xml:space="preserve"> [Accessed 19</w:t>
      </w:r>
      <w:r w:rsidRPr="00C40083">
        <w:rPr>
          <w:color w:val="000000" w:themeColor="text1"/>
          <w:vertAlign w:val="superscript"/>
        </w:rPr>
        <w:t>th</w:t>
      </w:r>
      <w:r w:rsidRPr="00C40083">
        <w:rPr>
          <w:color w:val="000000" w:themeColor="text1"/>
        </w:rPr>
        <w:t xml:space="preserve"> June 2017]. </w:t>
      </w:r>
    </w:p>
    <w:p w14:paraId="7A4DC82F" w14:textId="77777777" w:rsidR="00A96CF7" w:rsidRPr="00C40083" w:rsidRDefault="00A96CF7" w:rsidP="00A96CF7">
      <w:pPr>
        <w:spacing w:line="276" w:lineRule="auto"/>
        <w:rPr>
          <w:color w:val="000000" w:themeColor="text1"/>
          <w:lang w:val="es-ES"/>
        </w:rPr>
      </w:pPr>
      <w:r w:rsidRPr="00C40083">
        <w:rPr>
          <w:color w:val="000000" w:themeColor="text1"/>
          <w:lang w:val="es-NI"/>
        </w:rPr>
        <w:t>Esquivel, V. (2011a</w:t>
      </w:r>
      <w:r w:rsidRPr="00C40083">
        <w:rPr>
          <w:color w:val="000000" w:themeColor="text1"/>
          <w:lang w:val="es-ES"/>
        </w:rPr>
        <w:t xml:space="preserve">) </w:t>
      </w:r>
      <w:r w:rsidRPr="00C40083">
        <w:rPr>
          <w:i/>
          <w:color w:val="000000" w:themeColor="text1"/>
          <w:lang w:val="es-ES"/>
        </w:rPr>
        <w:t>La economía del cuidado en América Latina: poniendo a los cuidados en el centro de la agenda</w:t>
      </w:r>
      <w:r w:rsidRPr="00C40083">
        <w:rPr>
          <w:color w:val="000000" w:themeColor="text1"/>
          <w:lang w:val="es-ES"/>
        </w:rPr>
        <w:t xml:space="preserve">. [Online] Serie “Atando Cabos; deshaciendo nudos” PNUD. Available from: </w:t>
      </w:r>
      <w:hyperlink r:id="rId38" w:history="1">
        <w:r w:rsidRPr="00C40083">
          <w:rPr>
            <w:rStyle w:val="Hyperlink"/>
            <w:rFonts w:eastAsiaTheme="majorEastAsia"/>
            <w:color w:val="000000" w:themeColor="text1"/>
            <w:u w:val="none"/>
            <w:lang w:val="es-ES"/>
          </w:rPr>
          <w:t>http://www.americalatinagenera.org/es/documentos/Atando_Cabos.pdf</w:t>
        </w:r>
      </w:hyperlink>
      <w:r w:rsidRPr="00C40083">
        <w:rPr>
          <w:color w:val="000000" w:themeColor="text1"/>
          <w:lang w:val="es-ES"/>
        </w:rPr>
        <w:t xml:space="preserve"> [Accessed 30th June 2017]. </w:t>
      </w:r>
    </w:p>
    <w:p w14:paraId="1505A7D1" w14:textId="77777777" w:rsidR="00A96CF7" w:rsidRPr="00C40083" w:rsidRDefault="00A96CF7" w:rsidP="00A96CF7">
      <w:pPr>
        <w:spacing w:line="276" w:lineRule="auto"/>
        <w:rPr>
          <w:color w:val="000000" w:themeColor="text1"/>
          <w:lang w:val="es-ES"/>
        </w:rPr>
      </w:pPr>
    </w:p>
    <w:p w14:paraId="1503C755" w14:textId="77777777" w:rsidR="00A96CF7" w:rsidRPr="00147E8C" w:rsidRDefault="00A96CF7" w:rsidP="00A96CF7">
      <w:pPr>
        <w:spacing w:line="276" w:lineRule="auto"/>
        <w:rPr>
          <w:color w:val="000000" w:themeColor="text1"/>
        </w:rPr>
      </w:pPr>
      <w:r w:rsidRPr="00147E8C">
        <w:rPr>
          <w:color w:val="000000" w:themeColor="text1"/>
        </w:rPr>
        <w:t xml:space="preserve">Esquivel, V. (2011b) ‘Sixteen years after Beijing: what are the new policy agendas for time-use data collection?’, </w:t>
      </w:r>
      <w:r w:rsidRPr="00147E8C">
        <w:rPr>
          <w:i/>
          <w:color w:val="000000" w:themeColor="text1"/>
        </w:rPr>
        <w:t>Feminist Economics</w:t>
      </w:r>
      <w:r w:rsidRPr="00147E8C">
        <w:rPr>
          <w:color w:val="000000" w:themeColor="text1"/>
        </w:rPr>
        <w:t xml:space="preserve"> 17, pp. 215–38.</w:t>
      </w:r>
    </w:p>
    <w:p w14:paraId="4D02C984" w14:textId="77777777" w:rsidR="00A96CF7" w:rsidRPr="00147E8C" w:rsidRDefault="00A96CF7" w:rsidP="00A96CF7">
      <w:pPr>
        <w:spacing w:line="276" w:lineRule="auto"/>
        <w:rPr>
          <w:color w:val="000000" w:themeColor="text1"/>
        </w:rPr>
      </w:pPr>
    </w:p>
    <w:p w14:paraId="7EF9AB49" w14:textId="77777777" w:rsidR="00A96CF7" w:rsidRPr="00147E8C" w:rsidRDefault="00A96CF7" w:rsidP="00A96CF7">
      <w:pPr>
        <w:spacing w:line="276" w:lineRule="auto"/>
        <w:rPr>
          <w:color w:val="000000" w:themeColor="text1"/>
        </w:rPr>
      </w:pPr>
      <w:r w:rsidRPr="00147E8C">
        <w:rPr>
          <w:color w:val="000000" w:themeColor="text1"/>
        </w:rPr>
        <w:t xml:space="preserve">Esquivel, V. (2013) </w:t>
      </w:r>
      <w:r w:rsidRPr="00147E8C">
        <w:rPr>
          <w:i/>
          <w:color w:val="000000" w:themeColor="text1"/>
        </w:rPr>
        <w:t>Care in households and communities</w:t>
      </w:r>
      <w:r w:rsidRPr="00147E8C">
        <w:rPr>
          <w:color w:val="000000" w:themeColor="text1"/>
        </w:rPr>
        <w:t xml:space="preserve">. Background paper on conceptual issues. Oxford: Oxfam Research Reports.  </w:t>
      </w:r>
    </w:p>
    <w:p w14:paraId="4B2D03A8" w14:textId="77777777" w:rsidR="00A96CF7" w:rsidRPr="00147E8C" w:rsidRDefault="00A96CF7" w:rsidP="00A96CF7">
      <w:pPr>
        <w:spacing w:line="276" w:lineRule="auto"/>
        <w:rPr>
          <w:color w:val="000000" w:themeColor="text1"/>
        </w:rPr>
      </w:pPr>
    </w:p>
    <w:p w14:paraId="18F232DA" w14:textId="77777777" w:rsidR="00A96CF7" w:rsidRPr="00147E8C" w:rsidRDefault="00A96CF7" w:rsidP="00A96CF7">
      <w:pPr>
        <w:spacing w:line="276" w:lineRule="auto"/>
        <w:rPr>
          <w:color w:val="000000" w:themeColor="text1"/>
        </w:rPr>
      </w:pPr>
      <w:r w:rsidRPr="00147E8C">
        <w:rPr>
          <w:color w:val="000000" w:themeColor="text1"/>
        </w:rPr>
        <w:t xml:space="preserve">Esquivel, V. (2014) ‘What is a transformative approach to care, and why do we need it?’, </w:t>
      </w:r>
      <w:r w:rsidRPr="00147E8C">
        <w:rPr>
          <w:i/>
          <w:color w:val="000000" w:themeColor="text1"/>
        </w:rPr>
        <w:t>Gender &amp; Development</w:t>
      </w:r>
      <w:r w:rsidRPr="00147E8C">
        <w:rPr>
          <w:color w:val="000000" w:themeColor="text1"/>
        </w:rPr>
        <w:t xml:space="preserve">, 22 (3), pp. 423-429. </w:t>
      </w:r>
    </w:p>
    <w:p w14:paraId="1E95A17A" w14:textId="77777777" w:rsidR="00A96CF7" w:rsidRPr="00147E8C" w:rsidRDefault="00A96CF7" w:rsidP="00A96CF7">
      <w:pPr>
        <w:spacing w:line="276" w:lineRule="auto"/>
        <w:rPr>
          <w:color w:val="000000" w:themeColor="text1"/>
        </w:rPr>
      </w:pPr>
    </w:p>
    <w:p w14:paraId="6D607559" w14:textId="77777777" w:rsidR="00A96CF7" w:rsidRPr="00147E8C" w:rsidRDefault="00A96CF7" w:rsidP="00A96CF7">
      <w:pPr>
        <w:spacing w:line="276" w:lineRule="auto"/>
        <w:rPr>
          <w:color w:val="000000" w:themeColor="text1"/>
        </w:rPr>
      </w:pPr>
      <w:r w:rsidRPr="00147E8C">
        <w:rPr>
          <w:color w:val="000000" w:themeColor="text1"/>
          <w:lang w:val="en-US"/>
        </w:rPr>
        <w:t xml:space="preserve">Esquivel, V., Bundlender, D., Folbre, N. and Hirway, I. </w:t>
      </w:r>
      <w:r w:rsidRPr="00147E8C">
        <w:rPr>
          <w:color w:val="000000" w:themeColor="text1"/>
        </w:rPr>
        <w:t xml:space="preserve">(2008) ‘Explorations: time-use surveys in the south’, </w:t>
      </w:r>
      <w:r w:rsidRPr="00147E8C">
        <w:rPr>
          <w:i/>
          <w:iCs/>
          <w:color w:val="000000" w:themeColor="text1"/>
        </w:rPr>
        <w:t xml:space="preserve">Feminist Economics, </w:t>
      </w:r>
      <w:r w:rsidRPr="00147E8C">
        <w:rPr>
          <w:iCs/>
          <w:color w:val="000000" w:themeColor="text1"/>
        </w:rPr>
        <w:t>14 (3), pp. 107- 152.</w:t>
      </w:r>
    </w:p>
    <w:p w14:paraId="2882C1BB" w14:textId="77777777" w:rsidR="00A96CF7" w:rsidRPr="00147E8C" w:rsidRDefault="00A96CF7" w:rsidP="00A96CF7">
      <w:pPr>
        <w:spacing w:line="276" w:lineRule="auto"/>
        <w:rPr>
          <w:color w:val="000000" w:themeColor="text1"/>
        </w:rPr>
      </w:pPr>
    </w:p>
    <w:p w14:paraId="3B4EFA13"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ETICO - The Ethical Trading Company (2010) </w:t>
      </w:r>
      <w:r w:rsidRPr="00147E8C">
        <w:rPr>
          <w:i/>
          <w:iCs/>
          <w:color w:val="000000" w:themeColor="text1"/>
          <w:lang w:val="en-US"/>
        </w:rPr>
        <w:t>Report and accounts for year ending</w:t>
      </w:r>
    </w:p>
    <w:p w14:paraId="5FDC8E41" w14:textId="77777777" w:rsidR="00A96CF7" w:rsidRPr="00147E8C" w:rsidRDefault="00A96CF7" w:rsidP="00A96CF7">
      <w:pPr>
        <w:spacing w:line="276" w:lineRule="auto"/>
        <w:rPr>
          <w:color w:val="000000" w:themeColor="text1"/>
          <w:lang w:val="en-US"/>
        </w:rPr>
      </w:pPr>
      <w:r w:rsidRPr="00147E8C">
        <w:rPr>
          <w:i/>
          <w:iCs/>
          <w:color w:val="000000" w:themeColor="text1"/>
          <w:lang w:val="en-US"/>
        </w:rPr>
        <w:t>31 March 2009</w:t>
      </w:r>
      <w:r w:rsidRPr="00147E8C">
        <w:rPr>
          <w:color w:val="000000" w:themeColor="text1"/>
          <w:lang w:val="en-US"/>
        </w:rPr>
        <w:t xml:space="preserve">. London: ETICO. </w:t>
      </w:r>
    </w:p>
    <w:p w14:paraId="2B4A4E46" w14:textId="77777777" w:rsidR="00A96CF7" w:rsidRPr="00147E8C" w:rsidRDefault="00A96CF7" w:rsidP="00A96CF7">
      <w:pPr>
        <w:spacing w:line="276" w:lineRule="auto"/>
        <w:rPr>
          <w:color w:val="000000" w:themeColor="text1"/>
          <w:lang w:val="en-US"/>
        </w:rPr>
      </w:pPr>
    </w:p>
    <w:p w14:paraId="5CA9942B" w14:textId="77777777" w:rsidR="00A96CF7" w:rsidRPr="00147E8C" w:rsidRDefault="00A96CF7" w:rsidP="00A96CF7">
      <w:pPr>
        <w:spacing w:line="276" w:lineRule="auto"/>
        <w:rPr>
          <w:color w:val="000000" w:themeColor="text1"/>
        </w:rPr>
      </w:pPr>
      <w:r w:rsidRPr="00147E8C">
        <w:rPr>
          <w:color w:val="000000" w:themeColor="text1"/>
        </w:rPr>
        <w:lastRenderedPageBreak/>
        <w:t>Ethical Trading Initiative. (2005). ETI Smallholder Guidelines: Recommendations for Working with Smallholders.</w:t>
      </w:r>
    </w:p>
    <w:p w14:paraId="70A60D0F" w14:textId="77777777" w:rsidR="00A96CF7" w:rsidRPr="00C40083" w:rsidRDefault="00A96CF7" w:rsidP="00A96CF7">
      <w:pPr>
        <w:spacing w:line="276" w:lineRule="auto"/>
        <w:rPr>
          <w:color w:val="000000" w:themeColor="text1"/>
        </w:rPr>
      </w:pPr>
    </w:p>
    <w:p w14:paraId="2D4FF7AE" w14:textId="77777777" w:rsidR="00A96CF7" w:rsidRPr="00C40083" w:rsidRDefault="00A96CF7" w:rsidP="00A96CF7">
      <w:pPr>
        <w:spacing w:line="276" w:lineRule="auto"/>
        <w:rPr>
          <w:color w:val="000000" w:themeColor="text1"/>
        </w:rPr>
      </w:pPr>
      <w:r w:rsidRPr="00C40083">
        <w:rPr>
          <w:color w:val="000000" w:themeColor="text1"/>
        </w:rPr>
        <w:t xml:space="preserve">Ethical Trading Initiative. (2014). Base Code Guidance: Living Wages. </w:t>
      </w:r>
      <w:r w:rsidRPr="00C40083">
        <w:rPr>
          <w:rStyle w:val="Hyperlink"/>
          <w:rFonts w:eastAsiaTheme="majorEastAsia"/>
          <w:color w:val="000000" w:themeColor="text1"/>
          <w:u w:val="none"/>
        </w:rPr>
        <w:t>https://www.ethicaltrade.org/sites/default/files/shared_resources/eti_living_wage_guidance_2.pdf</w:t>
      </w:r>
      <w:r w:rsidRPr="00C40083">
        <w:rPr>
          <w:color w:val="000000" w:themeColor="text1"/>
        </w:rPr>
        <w:t xml:space="preserve"> [Accessed: 12</w:t>
      </w:r>
      <w:r w:rsidRPr="00C40083">
        <w:rPr>
          <w:color w:val="000000" w:themeColor="text1"/>
          <w:vertAlign w:val="superscript"/>
        </w:rPr>
        <w:t>th</w:t>
      </w:r>
      <w:r w:rsidRPr="00C40083">
        <w:rPr>
          <w:color w:val="000000" w:themeColor="text1"/>
        </w:rPr>
        <w:t xml:space="preserve"> February 2014].</w:t>
      </w:r>
    </w:p>
    <w:p w14:paraId="6FDD922B" w14:textId="77777777" w:rsidR="00A96CF7" w:rsidRPr="00C40083" w:rsidRDefault="00A96CF7" w:rsidP="00A96CF7">
      <w:pPr>
        <w:spacing w:line="276" w:lineRule="auto"/>
        <w:rPr>
          <w:color w:val="000000" w:themeColor="text1"/>
        </w:rPr>
      </w:pPr>
    </w:p>
    <w:p w14:paraId="223D7229" w14:textId="77777777" w:rsidR="00A96CF7" w:rsidRPr="00C40083" w:rsidRDefault="00A96CF7" w:rsidP="00A96CF7">
      <w:pPr>
        <w:spacing w:line="276" w:lineRule="auto"/>
        <w:rPr>
          <w:color w:val="000000" w:themeColor="text1"/>
        </w:rPr>
      </w:pPr>
      <w:r w:rsidRPr="00C40083">
        <w:rPr>
          <w:color w:val="000000" w:themeColor="text1"/>
        </w:rPr>
        <w:t xml:space="preserve">Ethical Trading Initiative. (2015). Living Wages in Global Supply Chains. DIEH. </w:t>
      </w:r>
      <w:r w:rsidRPr="00C40083">
        <w:rPr>
          <w:rStyle w:val="Hyperlink"/>
          <w:rFonts w:eastAsiaTheme="majorEastAsia"/>
          <w:color w:val="000000" w:themeColor="text1"/>
          <w:u w:val="none"/>
        </w:rPr>
        <w:t>https://www.dieh.dk/dyn/Normal/3/23/Normal_Content/file/950/1461571467/ieh_eti_dieh_report_web.pdf</w:t>
      </w:r>
      <w:r w:rsidRPr="00C40083">
        <w:rPr>
          <w:color w:val="000000" w:themeColor="text1"/>
        </w:rPr>
        <w:t xml:space="preserve"> [Accessed: 12</w:t>
      </w:r>
      <w:r w:rsidRPr="00C40083">
        <w:rPr>
          <w:color w:val="000000" w:themeColor="text1"/>
          <w:vertAlign w:val="superscript"/>
        </w:rPr>
        <w:t>th</w:t>
      </w:r>
      <w:r w:rsidRPr="00C40083">
        <w:rPr>
          <w:color w:val="000000" w:themeColor="text1"/>
        </w:rPr>
        <w:t xml:space="preserve"> February 2018].</w:t>
      </w:r>
    </w:p>
    <w:p w14:paraId="2A515029" w14:textId="77777777" w:rsidR="00A96CF7" w:rsidRPr="00147E8C" w:rsidRDefault="00A96CF7" w:rsidP="00A96CF7">
      <w:pPr>
        <w:spacing w:line="276" w:lineRule="auto"/>
        <w:rPr>
          <w:color w:val="000000" w:themeColor="text1"/>
        </w:rPr>
      </w:pPr>
    </w:p>
    <w:p w14:paraId="0C7CF064" w14:textId="77777777" w:rsidR="00A96CF7" w:rsidRPr="00147E8C" w:rsidRDefault="00A96CF7" w:rsidP="00A96CF7">
      <w:pPr>
        <w:spacing w:line="276" w:lineRule="auto"/>
        <w:rPr>
          <w:color w:val="000000" w:themeColor="text1"/>
        </w:rPr>
      </w:pPr>
      <w:r w:rsidRPr="00147E8C">
        <w:rPr>
          <w:color w:val="000000" w:themeColor="text1"/>
        </w:rPr>
        <w:t xml:space="preserve">Ewig, C. (1999) ‘The strengths and limits of the NGO women’s movement model: Shaping Nicaragua’s democratic institutions’, </w:t>
      </w:r>
      <w:r w:rsidRPr="00147E8C">
        <w:rPr>
          <w:i/>
          <w:iCs/>
          <w:color w:val="000000" w:themeColor="text1"/>
        </w:rPr>
        <w:t xml:space="preserve">Latin American Research Review </w:t>
      </w:r>
      <w:r w:rsidRPr="00147E8C">
        <w:rPr>
          <w:color w:val="000000" w:themeColor="text1"/>
        </w:rPr>
        <w:t xml:space="preserve">34, pp. 75-102. </w:t>
      </w:r>
    </w:p>
    <w:p w14:paraId="301EE859" w14:textId="77777777" w:rsidR="00A96CF7" w:rsidRPr="00147E8C" w:rsidRDefault="00A96CF7" w:rsidP="00A96CF7">
      <w:pPr>
        <w:spacing w:line="276" w:lineRule="auto"/>
        <w:rPr>
          <w:color w:val="000000" w:themeColor="text1"/>
        </w:rPr>
      </w:pPr>
    </w:p>
    <w:p w14:paraId="2CC464C4" w14:textId="77777777" w:rsidR="00A96CF7" w:rsidRPr="00C40083" w:rsidRDefault="00A96CF7" w:rsidP="00A96CF7">
      <w:pPr>
        <w:spacing w:line="276" w:lineRule="auto"/>
        <w:rPr>
          <w:color w:val="000000" w:themeColor="text1"/>
        </w:rPr>
      </w:pPr>
      <w:r w:rsidRPr="00C40083">
        <w:rPr>
          <w:color w:val="000000" w:themeColor="text1"/>
        </w:rPr>
        <w:t xml:space="preserve">Eyben, R. (2012) </w:t>
      </w:r>
      <w:r w:rsidRPr="00C40083">
        <w:rPr>
          <w:i/>
          <w:color w:val="000000" w:themeColor="text1"/>
        </w:rPr>
        <w:t>The hegemony cracked: the power guide to getting care onto the development agenda.</w:t>
      </w:r>
      <w:r w:rsidRPr="00C40083">
        <w:rPr>
          <w:color w:val="000000" w:themeColor="text1"/>
        </w:rPr>
        <w:t> </w:t>
      </w:r>
      <w:r w:rsidRPr="00C40083">
        <w:rPr>
          <w:iCs/>
          <w:color w:val="000000" w:themeColor="text1"/>
        </w:rPr>
        <w:t>IDS Working Papers</w:t>
      </w:r>
      <w:r w:rsidRPr="00C40083">
        <w:rPr>
          <w:color w:val="000000" w:themeColor="text1"/>
        </w:rPr>
        <w:t>, No. 411. Sussex: IDS.</w:t>
      </w:r>
    </w:p>
    <w:p w14:paraId="055A8328" w14:textId="77777777" w:rsidR="00A96CF7" w:rsidRPr="00C40083" w:rsidRDefault="00A96CF7" w:rsidP="00A96CF7">
      <w:pPr>
        <w:spacing w:line="276" w:lineRule="auto"/>
        <w:rPr>
          <w:color w:val="000000" w:themeColor="text1"/>
        </w:rPr>
      </w:pPr>
    </w:p>
    <w:p w14:paraId="7C6641BC" w14:textId="77777777" w:rsidR="00A96CF7" w:rsidRPr="00C40083" w:rsidRDefault="00A96CF7" w:rsidP="00A96CF7">
      <w:pPr>
        <w:spacing w:line="276" w:lineRule="auto"/>
        <w:rPr>
          <w:color w:val="000000" w:themeColor="text1"/>
        </w:rPr>
      </w:pPr>
      <w:r w:rsidRPr="00C40083">
        <w:rPr>
          <w:color w:val="000000" w:themeColor="text1"/>
        </w:rPr>
        <w:t xml:space="preserve">Eyben, R. (2013). ‘Getting unpaid care onto development agendas’, </w:t>
      </w:r>
      <w:r w:rsidRPr="00C40083">
        <w:rPr>
          <w:i/>
          <w:color w:val="000000" w:themeColor="text1"/>
        </w:rPr>
        <w:t xml:space="preserve">IDS in Focus, Policy Briefing </w:t>
      </w:r>
      <w:r w:rsidRPr="00C40083">
        <w:rPr>
          <w:color w:val="000000" w:themeColor="text1"/>
        </w:rPr>
        <w:t xml:space="preserve">[Online], (31), pp.1-4. Available from: </w:t>
      </w:r>
      <w:r w:rsidRPr="00C40083">
        <w:rPr>
          <w:rStyle w:val="Hyperlink"/>
          <w:rFonts w:eastAsiaTheme="majorEastAsia"/>
          <w:color w:val="000000" w:themeColor="text1"/>
          <w:u w:val="none"/>
        </w:rPr>
        <w:t>https://www.ids.ac.uk/files/dmfile/IFPB31.pdf</w:t>
      </w:r>
      <w:r w:rsidRPr="00C40083">
        <w:rPr>
          <w:color w:val="000000" w:themeColor="text1"/>
        </w:rPr>
        <w:t xml:space="preserve"> [Accessed 5th April 2017]. </w:t>
      </w:r>
    </w:p>
    <w:p w14:paraId="79F4CFF1" w14:textId="6E7B2BD2" w:rsidR="00A96CF7" w:rsidRPr="00C40083" w:rsidRDefault="00A96CF7" w:rsidP="00A96CF7">
      <w:pPr>
        <w:pStyle w:val="NormalWeb"/>
        <w:spacing w:line="276" w:lineRule="auto"/>
        <w:rPr>
          <w:color w:val="000000" w:themeColor="text1"/>
          <w:lang w:val="en-US"/>
        </w:rPr>
      </w:pPr>
      <w:r w:rsidRPr="00C40083">
        <w:rPr>
          <w:color w:val="000000" w:themeColor="text1"/>
        </w:rPr>
        <w:t xml:space="preserve">Eybend, R. and Fontana, M. (2011) </w:t>
      </w:r>
      <w:r w:rsidRPr="00C40083">
        <w:rPr>
          <w:i/>
          <w:color w:val="000000" w:themeColor="text1"/>
        </w:rPr>
        <w:t>Caring for well-being</w:t>
      </w:r>
      <w:r w:rsidRPr="00C40083">
        <w:rPr>
          <w:color w:val="000000" w:themeColor="text1"/>
        </w:rPr>
        <w:t xml:space="preserve">. Commissioned paper for The Bellagio Initiative. </w:t>
      </w:r>
      <w:r w:rsidRPr="00C40083">
        <w:rPr>
          <w:color w:val="000000" w:themeColor="text1"/>
          <w:lang w:val="en-US"/>
        </w:rPr>
        <w:t xml:space="preserve">Brighton: IDS. Available from: </w:t>
      </w:r>
      <w:r w:rsidRPr="00C40083">
        <w:rPr>
          <w:rStyle w:val="Hyperlink"/>
          <w:color w:val="000000" w:themeColor="text1"/>
          <w:u w:val="none"/>
        </w:rPr>
        <w:t>https://opendocs.ids.ac.uk/opendocs/bitstream/handle/123456789/3674/Bellagio-Eyben%20and%20Fontana.pdf?sequence=1</w:t>
      </w:r>
      <w:r w:rsidR="005C7198">
        <w:rPr>
          <w:color w:val="000000" w:themeColor="text1"/>
          <w:lang w:val="en-US"/>
        </w:rPr>
        <w:t xml:space="preserve"> [Accessed</w:t>
      </w:r>
      <w:r w:rsidRPr="00C40083">
        <w:rPr>
          <w:color w:val="000000" w:themeColor="text1"/>
          <w:lang w:val="en-US"/>
        </w:rPr>
        <w:t xml:space="preserve"> 8th March 2016].</w:t>
      </w:r>
    </w:p>
    <w:p w14:paraId="3FDA3A20" w14:textId="77777777" w:rsidR="00A96CF7" w:rsidRPr="00C40083" w:rsidRDefault="00A96CF7" w:rsidP="00A96CF7">
      <w:pPr>
        <w:spacing w:line="276" w:lineRule="auto"/>
        <w:rPr>
          <w:color w:val="000000" w:themeColor="text1"/>
        </w:rPr>
      </w:pPr>
      <w:r w:rsidRPr="00C40083">
        <w:rPr>
          <w:color w:val="000000" w:themeColor="text1"/>
        </w:rPr>
        <w:t xml:space="preserve">Fairbairns, Z. (1988) ‘Wages for housework’, </w:t>
      </w:r>
      <w:r w:rsidRPr="00C40083">
        <w:rPr>
          <w:i/>
          <w:iCs/>
          <w:color w:val="000000" w:themeColor="text1"/>
        </w:rPr>
        <w:t xml:space="preserve">New Internationalist, </w:t>
      </w:r>
      <w:r w:rsidRPr="00C40083">
        <w:rPr>
          <w:iCs/>
          <w:color w:val="000000" w:themeColor="text1"/>
        </w:rPr>
        <w:t>(181), pp.</w:t>
      </w:r>
      <w:r w:rsidRPr="00C40083">
        <w:rPr>
          <w:color w:val="000000" w:themeColor="text1"/>
        </w:rPr>
        <w:t xml:space="preserve"> 1-5.</w:t>
      </w:r>
    </w:p>
    <w:p w14:paraId="31F4B4EB" w14:textId="77777777" w:rsidR="00A96CF7" w:rsidRPr="00C40083" w:rsidRDefault="00A96CF7" w:rsidP="00A96CF7">
      <w:pPr>
        <w:spacing w:line="276" w:lineRule="auto"/>
        <w:rPr>
          <w:color w:val="000000" w:themeColor="text1"/>
        </w:rPr>
      </w:pPr>
    </w:p>
    <w:p w14:paraId="13CD664D" w14:textId="77777777" w:rsidR="00A96CF7" w:rsidRPr="00C40083" w:rsidRDefault="00A96CF7" w:rsidP="00A96CF7">
      <w:pPr>
        <w:spacing w:line="276" w:lineRule="auto"/>
        <w:rPr>
          <w:color w:val="000000" w:themeColor="text1"/>
        </w:rPr>
      </w:pPr>
      <w:r w:rsidRPr="00C40083">
        <w:rPr>
          <w:color w:val="000000" w:themeColor="text1"/>
        </w:rPr>
        <w:t xml:space="preserve">Fairtrade Foundation (no date) </w:t>
      </w:r>
      <w:r w:rsidRPr="00C40083">
        <w:rPr>
          <w:i/>
          <w:color w:val="000000" w:themeColor="text1"/>
        </w:rPr>
        <w:t xml:space="preserve">Fairtrade and sustainability: towards gender equality </w:t>
      </w:r>
      <w:r w:rsidRPr="00C40083">
        <w:rPr>
          <w:color w:val="000000" w:themeColor="text1"/>
        </w:rPr>
        <w:t xml:space="preserve">[Online]. London: Fairtrade Foundation. Available from: </w:t>
      </w:r>
      <w:r w:rsidRPr="00C40083">
        <w:rPr>
          <w:rStyle w:val="Hyperlink"/>
          <w:rFonts w:eastAsiaTheme="majorEastAsia"/>
          <w:color w:val="000000" w:themeColor="text1"/>
          <w:u w:val="none"/>
        </w:rPr>
        <w:t>http://www.fairtrade.org.uk/~/media/FairtradeUK/What%20is%20Fairtrade/Documents/Fairtrade%20and%20sustainability/Fairtrade%20and%20sustainability%20-%20gender.pdf</w:t>
      </w:r>
      <w:r w:rsidRPr="00C40083">
        <w:rPr>
          <w:color w:val="000000" w:themeColor="text1"/>
        </w:rPr>
        <w:t xml:space="preserve"> [Accessed: 17 June 2017]. </w:t>
      </w:r>
    </w:p>
    <w:p w14:paraId="49DA6406" w14:textId="77777777" w:rsidR="00A96CF7" w:rsidRPr="00C40083" w:rsidRDefault="00A96CF7" w:rsidP="00A96CF7">
      <w:pPr>
        <w:spacing w:line="276" w:lineRule="auto"/>
        <w:rPr>
          <w:color w:val="000000" w:themeColor="text1"/>
        </w:rPr>
      </w:pPr>
    </w:p>
    <w:p w14:paraId="5A3C2207" w14:textId="77777777" w:rsidR="00A96CF7" w:rsidRPr="00C40083" w:rsidRDefault="00A96CF7" w:rsidP="00A96CF7">
      <w:pPr>
        <w:spacing w:line="276" w:lineRule="auto"/>
        <w:rPr>
          <w:color w:val="000000" w:themeColor="text1"/>
        </w:rPr>
      </w:pPr>
      <w:r w:rsidRPr="00C40083">
        <w:rPr>
          <w:color w:val="000000" w:themeColor="text1"/>
        </w:rPr>
        <w:t xml:space="preserve">Fairtrade Foundation (2015) </w:t>
      </w:r>
      <w:r w:rsidRPr="00C40083">
        <w:rPr>
          <w:i/>
          <w:color w:val="000000" w:themeColor="text1"/>
        </w:rPr>
        <w:t xml:space="preserve">Equal harvest: removing the barriers for women´s participation in smallholder agriculture. </w:t>
      </w:r>
      <w:r w:rsidRPr="00C40083">
        <w:rPr>
          <w:color w:val="000000" w:themeColor="text1"/>
        </w:rPr>
        <w:t xml:space="preserve">[Online]. London: FairtradeFoundation. Available from: </w:t>
      </w:r>
      <w:r w:rsidRPr="00C40083">
        <w:rPr>
          <w:rStyle w:val="Hyperlink"/>
          <w:rFonts w:eastAsiaTheme="majorEastAsia"/>
          <w:color w:val="000000" w:themeColor="text1"/>
          <w:u w:val="none"/>
        </w:rPr>
        <w:t>http://www.fairtrade.org.uk/~/media/fairtradeuk/what%20is%20fairtrade/documents/policy%20and%20research%20documents/policy%20reports/equal%20harvest_exec%20summary.ashx</w:t>
      </w:r>
      <w:r w:rsidR="0008715C">
        <w:rPr>
          <w:color w:val="000000" w:themeColor="text1"/>
        </w:rPr>
        <w:t xml:space="preserve"> [Accessed</w:t>
      </w:r>
      <w:r w:rsidRPr="00C40083">
        <w:rPr>
          <w:color w:val="000000" w:themeColor="text1"/>
        </w:rPr>
        <w:t xml:space="preserve"> 18th June 2017]. </w:t>
      </w:r>
    </w:p>
    <w:p w14:paraId="4FF25D4E" w14:textId="77777777" w:rsidR="00A96CF7" w:rsidRPr="00C40083" w:rsidRDefault="00A96CF7" w:rsidP="00A96CF7">
      <w:pPr>
        <w:spacing w:line="276" w:lineRule="auto"/>
        <w:rPr>
          <w:color w:val="000000" w:themeColor="text1"/>
        </w:rPr>
      </w:pPr>
    </w:p>
    <w:p w14:paraId="1FF24F5B" w14:textId="77777777" w:rsidR="00A96CF7" w:rsidRPr="00C40083" w:rsidRDefault="00A96CF7" w:rsidP="00A96CF7">
      <w:pPr>
        <w:spacing w:line="276" w:lineRule="auto"/>
        <w:rPr>
          <w:color w:val="000000" w:themeColor="text1"/>
        </w:rPr>
      </w:pPr>
      <w:r w:rsidRPr="00C40083">
        <w:rPr>
          <w:color w:val="000000" w:themeColor="text1"/>
        </w:rPr>
        <w:lastRenderedPageBreak/>
        <w:t xml:space="preserve">Fairtrade Foundation (2017) </w:t>
      </w:r>
      <w:r w:rsidRPr="00C40083">
        <w:rPr>
          <w:i/>
          <w:iCs/>
          <w:color w:val="000000" w:themeColor="text1"/>
        </w:rPr>
        <w:t>About FLO. Frequently Asked Questions.</w:t>
      </w:r>
      <w:r w:rsidRPr="00C40083">
        <w:rPr>
          <w:color w:val="000000" w:themeColor="text1"/>
        </w:rPr>
        <w:t xml:space="preserve"> [Online]. Available from: </w:t>
      </w:r>
      <w:r w:rsidRPr="00C40083">
        <w:rPr>
          <w:rStyle w:val="Hyperlink"/>
          <w:rFonts w:eastAsiaTheme="majorEastAsia"/>
          <w:color w:val="000000" w:themeColor="text1"/>
          <w:u w:val="none"/>
        </w:rPr>
        <w:t>http://www.fairtrade.org.uk/What-is-Fairtrade/FAQs</w:t>
      </w:r>
      <w:r w:rsidRPr="00C40083">
        <w:rPr>
          <w:color w:val="000000" w:themeColor="text1"/>
        </w:rPr>
        <w:t xml:space="preserve"> [Accessed 27 July 2017]. </w:t>
      </w:r>
    </w:p>
    <w:p w14:paraId="2DDB1D9E" w14:textId="77777777" w:rsidR="00A96CF7" w:rsidRPr="00C40083" w:rsidRDefault="00A96CF7" w:rsidP="00A96CF7">
      <w:pPr>
        <w:spacing w:line="276" w:lineRule="auto"/>
        <w:rPr>
          <w:color w:val="000000" w:themeColor="text1"/>
        </w:rPr>
      </w:pPr>
    </w:p>
    <w:p w14:paraId="4A0BFBC8" w14:textId="77777777" w:rsidR="00A96CF7" w:rsidRPr="00C40083" w:rsidRDefault="00A96CF7" w:rsidP="00A96CF7">
      <w:pPr>
        <w:spacing w:line="276" w:lineRule="auto"/>
        <w:rPr>
          <w:color w:val="000000" w:themeColor="text1"/>
        </w:rPr>
      </w:pPr>
      <w:r w:rsidRPr="00C40083">
        <w:rPr>
          <w:color w:val="000000" w:themeColor="text1"/>
        </w:rPr>
        <w:t xml:space="preserve">Fairtrade International (2016) </w:t>
      </w:r>
      <w:r w:rsidRPr="00C40083">
        <w:rPr>
          <w:i/>
          <w:color w:val="000000" w:themeColor="text1"/>
        </w:rPr>
        <w:t xml:space="preserve">Fairtrade International gender strategy: transforming equal opportunity, access and benefits for all. </w:t>
      </w:r>
      <w:r w:rsidRPr="00C40083">
        <w:rPr>
          <w:color w:val="000000" w:themeColor="text1"/>
        </w:rPr>
        <w:t xml:space="preserve">[Online]. Bonn: Fairtrade International. Available from: </w:t>
      </w:r>
      <w:r w:rsidRPr="00C40083">
        <w:rPr>
          <w:rStyle w:val="Hyperlink"/>
          <w:rFonts w:eastAsiaTheme="majorEastAsia"/>
          <w:color w:val="000000" w:themeColor="text1"/>
          <w:u w:val="none"/>
        </w:rPr>
        <w:t>https://www.fairtrade.net/fileadmin/user_upload/content/2009/programmes/gender/1601-intro_ft_gender_strategy_16-20.pdf</w:t>
      </w:r>
      <w:r w:rsidRPr="00C40083">
        <w:rPr>
          <w:color w:val="000000" w:themeColor="text1"/>
        </w:rPr>
        <w:t xml:space="preserve"> [Accessed: 18th June 2017].</w:t>
      </w:r>
    </w:p>
    <w:p w14:paraId="48C70923" w14:textId="77777777" w:rsidR="00A96CF7" w:rsidRPr="00C40083" w:rsidRDefault="00A96CF7" w:rsidP="00A96CF7">
      <w:pPr>
        <w:spacing w:line="276" w:lineRule="auto"/>
        <w:rPr>
          <w:color w:val="000000" w:themeColor="text1"/>
        </w:rPr>
      </w:pPr>
    </w:p>
    <w:p w14:paraId="16B6699F" w14:textId="49346E25" w:rsidR="00A96CF7" w:rsidRPr="00C40083" w:rsidRDefault="00A96CF7" w:rsidP="00A96CF7">
      <w:pPr>
        <w:spacing w:line="276" w:lineRule="auto"/>
        <w:rPr>
          <w:color w:val="000000" w:themeColor="text1"/>
        </w:rPr>
      </w:pPr>
      <w:r w:rsidRPr="00C40083">
        <w:rPr>
          <w:color w:val="000000" w:themeColor="text1"/>
        </w:rPr>
        <w:t xml:space="preserve">Fairtrade International (2017a) </w:t>
      </w:r>
      <w:r w:rsidRPr="00C40083">
        <w:rPr>
          <w:i/>
          <w:color w:val="000000" w:themeColor="text1"/>
        </w:rPr>
        <w:t>Glossary</w:t>
      </w:r>
      <w:r w:rsidRPr="00C40083">
        <w:rPr>
          <w:color w:val="000000" w:themeColor="text1"/>
        </w:rPr>
        <w:t xml:space="preserve"> [Online]. Available from: </w:t>
      </w:r>
      <w:r w:rsidRPr="00C40083">
        <w:rPr>
          <w:rStyle w:val="Hyperlink"/>
          <w:rFonts w:eastAsiaTheme="majorEastAsia"/>
          <w:color w:val="000000" w:themeColor="text1"/>
          <w:u w:val="none"/>
        </w:rPr>
        <w:t>http://www.flocert.net/glossary/</w:t>
      </w:r>
      <w:r w:rsidR="0075410C">
        <w:rPr>
          <w:color w:val="000000" w:themeColor="text1"/>
        </w:rPr>
        <w:t xml:space="preserve"> [Accessed</w:t>
      </w:r>
      <w:r w:rsidRPr="00C40083">
        <w:rPr>
          <w:color w:val="000000" w:themeColor="text1"/>
        </w:rPr>
        <w:t xml:space="preserve"> 7th April 2017]. </w:t>
      </w:r>
    </w:p>
    <w:p w14:paraId="6EFEAD6F" w14:textId="77777777" w:rsidR="00A96CF7" w:rsidRPr="00C40083" w:rsidRDefault="00A96CF7" w:rsidP="00A96CF7">
      <w:pPr>
        <w:spacing w:line="276" w:lineRule="auto"/>
        <w:rPr>
          <w:color w:val="000000" w:themeColor="text1"/>
        </w:rPr>
      </w:pPr>
    </w:p>
    <w:p w14:paraId="3B506FC3" w14:textId="77777777" w:rsidR="00A96CF7" w:rsidRPr="00874F54" w:rsidRDefault="00A96CF7" w:rsidP="00A96CF7">
      <w:pPr>
        <w:spacing w:line="276" w:lineRule="auto"/>
        <w:rPr>
          <w:color w:val="000000" w:themeColor="text1"/>
        </w:rPr>
      </w:pPr>
      <w:r w:rsidRPr="00C40083">
        <w:rPr>
          <w:color w:val="000000" w:themeColor="text1"/>
        </w:rPr>
        <w:t xml:space="preserve">Fairtrade International (2017b) </w:t>
      </w:r>
      <w:r w:rsidRPr="00C40083">
        <w:rPr>
          <w:i/>
          <w:iCs/>
          <w:color w:val="000000" w:themeColor="text1"/>
        </w:rPr>
        <w:t>Gender</w:t>
      </w:r>
      <w:r w:rsidRPr="00C40083">
        <w:rPr>
          <w:color w:val="000000" w:themeColor="text1"/>
        </w:rPr>
        <w:t xml:space="preserve">. [Online] Available from: </w:t>
      </w:r>
      <w:hyperlink r:id="rId39" w:history="1">
        <w:r w:rsidRPr="00C40083">
          <w:rPr>
            <w:rStyle w:val="Hyperlink"/>
            <w:rFonts w:eastAsiaTheme="majorEastAsia"/>
            <w:color w:val="000000" w:themeColor="text1"/>
            <w:u w:val="none"/>
          </w:rPr>
          <w:t>https://www.fairtrade.net/programmes/gender.html</w:t>
        </w:r>
      </w:hyperlink>
      <w:r w:rsidRPr="00C40083">
        <w:rPr>
          <w:color w:val="000000" w:themeColor="text1"/>
        </w:rPr>
        <w:t xml:space="preserve"> [Accessed</w:t>
      </w:r>
      <w:r w:rsidRPr="00874F54">
        <w:rPr>
          <w:color w:val="000000" w:themeColor="text1"/>
        </w:rPr>
        <w:t xml:space="preserve"> 2nd June 2017]. </w:t>
      </w:r>
    </w:p>
    <w:p w14:paraId="17DC702C" w14:textId="77777777" w:rsidR="00A96CF7" w:rsidRPr="00874F54" w:rsidRDefault="00A96CF7" w:rsidP="00A96CF7">
      <w:pPr>
        <w:spacing w:line="276" w:lineRule="auto"/>
        <w:rPr>
          <w:color w:val="000000" w:themeColor="text1"/>
        </w:rPr>
      </w:pPr>
    </w:p>
    <w:p w14:paraId="7EC803C6" w14:textId="77777777" w:rsidR="00A96CF7" w:rsidRPr="00874F54" w:rsidRDefault="00A96CF7" w:rsidP="00A96CF7">
      <w:pPr>
        <w:spacing w:line="276" w:lineRule="auto"/>
        <w:rPr>
          <w:color w:val="000000" w:themeColor="text1"/>
        </w:rPr>
      </w:pPr>
      <w:r w:rsidRPr="00874F54">
        <w:rPr>
          <w:color w:val="000000" w:themeColor="text1"/>
        </w:rPr>
        <w:t xml:space="preserve">Fälth, A. and Blackden, M. (2009) ‘Unpaid care work’, </w:t>
      </w:r>
      <w:r w:rsidRPr="00874F54">
        <w:rPr>
          <w:i/>
          <w:color w:val="000000" w:themeColor="text1"/>
        </w:rPr>
        <w:t xml:space="preserve">Policy Brief – Gender Equality and Poverty Reduction </w:t>
      </w:r>
      <w:r w:rsidRPr="00874F54">
        <w:rPr>
          <w:color w:val="000000" w:themeColor="text1"/>
        </w:rPr>
        <w:t>[Online],</w:t>
      </w:r>
      <w:r w:rsidRPr="00874F54">
        <w:rPr>
          <w:i/>
          <w:color w:val="000000" w:themeColor="text1"/>
        </w:rPr>
        <w:t xml:space="preserve"> UNDP </w:t>
      </w:r>
      <w:r w:rsidRPr="00874F54">
        <w:rPr>
          <w:color w:val="000000" w:themeColor="text1"/>
        </w:rPr>
        <w:t xml:space="preserve">(1), pp.1-8. Available from: http://www.undp.org/content/dam/undp/library/gender/Gender%20and%20Poverty%20Reduction/Unpaid%20care%20work%20English.pdf [Accessed 20th June 20 2017]. </w:t>
      </w:r>
    </w:p>
    <w:p w14:paraId="5A45C12F" w14:textId="77777777" w:rsidR="00A96CF7" w:rsidRPr="00874F54" w:rsidRDefault="00A96CF7" w:rsidP="00A96CF7">
      <w:pPr>
        <w:spacing w:line="276" w:lineRule="auto"/>
        <w:rPr>
          <w:color w:val="000000" w:themeColor="text1"/>
        </w:rPr>
      </w:pPr>
    </w:p>
    <w:p w14:paraId="41110476" w14:textId="77777777" w:rsidR="00A96CF7" w:rsidRPr="00147E8C" w:rsidRDefault="00A96CF7" w:rsidP="00A96CF7">
      <w:pPr>
        <w:spacing w:line="276" w:lineRule="auto"/>
        <w:rPr>
          <w:color w:val="000000" w:themeColor="text1"/>
        </w:rPr>
      </w:pPr>
      <w:r w:rsidRPr="00874F54">
        <w:rPr>
          <w:color w:val="000000" w:themeColor="text1"/>
        </w:rPr>
        <w:t>Feder, E.K. (1997) ‘Discipling the family: The case of gender identity disorder’</w:t>
      </w:r>
      <w:r w:rsidRPr="00147E8C">
        <w:rPr>
          <w:color w:val="000000" w:themeColor="text1"/>
        </w:rPr>
        <w:t xml:space="preserve">, </w:t>
      </w:r>
      <w:r w:rsidRPr="00147E8C">
        <w:rPr>
          <w:i/>
          <w:iCs/>
          <w:color w:val="000000" w:themeColor="text1"/>
        </w:rPr>
        <w:t xml:space="preserve">Philosophical Studies, </w:t>
      </w:r>
      <w:r w:rsidRPr="00147E8C">
        <w:rPr>
          <w:color w:val="000000" w:themeColor="text1"/>
        </w:rPr>
        <w:t>85 (2–3), pp. 195–211.</w:t>
      </w:r>
    </w:p>
    <w:p w14:paraId="44E4FB48" w14:textId="77777777" w:rsidR="00A96CF7" w:rsidRPr="00147E8C" w:rsidRDefault="00A96CF7" w:rsidP="00A96CF7">
      <w:pPr>
        <w:spacing w:line="276" w:lineRule="auto"/>
        <w:rPr>
          <w:color w:val="000000" w:themeColor="text1"/>
        </w:rPr>
      </w:pPr>
      <w:r w:rsidRPr="00147E8C">
        <w:rPr>
          <w:color w:val="000000" w:themeColor="text1"/>
        </w:rPr>
        <w:br/>
        <w:t xml:space="preserve">Feder, E.K. (2007a). ‘The dangerous individual(’s) mother: biopower, family, and the production of race’, </w:t>
      </w:r>
      <w:r w:rsidRPr="00147E8C">
        <w:rPr>
          <w:i/>
          <w:iCs/>
          <w:color w:val="000000" w:themeColor="text1"/>
        </w:rPr>
        <w:t xml:space="preserve">Hypatia </w:t>
      </w:r>
      <w:r w:rsidRPr="00147E8C">
        <w:rPr>
          <w:color w:val="000000" w:themeColor="text1"/>
        </w:rPr>
        <w:t>22 (2), pp. 60–78.</w:t>
      </w:r>
    </w:p>
    <w:p w14:paraId="1F88DFE3" w14:textId="77777777" w:rsidR="00A96CF7" w:rsidRPr="00147E8C" w:rsidRDefault="00A96CF7" w:rsidP="00A96CF7">
      <w:pPr>
        <w:spacing w:line="276" w:lineRule="auto"/>
        <w:rPr>
          <w:color w:val="000000" w:themeColor="text1"/>
        </w:rPr>
      </w:pPr>
      <w:r w:rsidRPr="00147E8C">
        <w:rPr>
          <w:color w:val="000000" w:themeColor="text1"/>
        </w:rPr>
        <w:br/>
        <w:t xml:space="preserve">Feder, E.K. (2007b) </w:t>
      </w:r>
      <w:r w:rsidRPr="00147E8C">
        <w:rPr>
          <w:i/>
          <w:iCs/>
          <w:color w:val="000000" w:themeColor="text1"/>
        </w:rPr>
        <w:t>Family bonds: genealogies of race and gender</w:t>
      </w:r>
      <w:r w:rsidRPr="00147E8C">
        <w:rPr>
          <w:color w:val="000000" w:themeColor="text1"/>
        </w:rPr>
        <w:t xml:space="preserve">. Oxford: Oxford University Press. </w:t>
      </w:r>
    </w:p>
    <w:p w14:paraId="6101BC10" w14:textId="77777777" w:rsidR="00A96CF7" w:rsidRPr="00147E8C" w:rsidRDefault="00A96CF7" w:rsidP="00A96CF7">
      <w:pPr>
        <w:spacing w:line="276" w:lineRule="auto"/>
        <w:rPr>
          <w:color w:val="000000" w:themeColor="text1"/>
        </w:rPr>
      </w:pPr>
    </w:p>
    <w:p w14:paraId="1A989F49" w14:textId="77777777" w:rsidR="00A96CF7" w:rsidRPr="00147E8C" w:rsidRDefault="00A96CF7" w:rsidP="00A96CF7">
      <w:pPr>
        <w:spacing w:line="276" w:lineRule="auto"/>
        <w:rPr>
          <w:color w:val="000000" w:themeColor="text1"/>
          <w:lang w:val="en-US"/>
        </w:rPr>
      </w:pPr>
      <w:r w:rsidRPr="00147E8C">
        <w:rPr>
          <w:color w:val="000000" w:themeColor="text1"/>
        </w:rPr>
        <w:t xml:space="preserve">Fernández-Poncela A. M. (1996) ‘The disruptions of adjustment: women in Nicaragua’, </w:t>
      </w:r>
      <w:r w:rsidRPr="00147E8C">
        <w:rPr>
          <w:i/>
          <w:color w:val="000000" w:themeColor="text1"/>
          <w:lang w:val="en-US"/>
        </w:rPr>
        <w:t>Latin American Perspectives</w:t>
      </w:r>
      <w:r w:rsidRPr="00147E8C">
        <w:rPr>
          <w:color w:val="000000" w:themeColor="text1"/>
          <w:lang w:val="en-US"/>
        </w:rPr>
        <w:t>, 23(1), pp. 49–66.</w:t>
      </w:r>
    </w:p>
    <w:p w14:paraId="6C237574" w14:textId="77777777" w:rsidR="00A96CF7" w:rsidRPr="00147E8C" w:rsidRDefault="00A96CF7" w:rsidP="00A96CF7">
      <w:pPr>
        <w:spacing w:line="276" w:lineRule="auto"/>
        <w:rPr>
          <w:color w:val="000000" w:themeColor="text1"/>
          <w:lang w:val="en-US"/>
        </w:rPr>
      </w:pPr>
    </w:p>
    <w:p w14:paraId="275DDD5A"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Ferrant, G. Pesando, L.M. and Nowacka, K. (2014) </w:t>
      </w:r>
      <w:r w:rsidRPr="00147E8C">
        <w:rPr>
          <w:i/>
          <w:color w:val="000000" w:themeColor="text1"/>
        </w:rPr>
        <w:t>Unpaid Care Work: The missing link in the analysis of gender gaps in labour outcomes</w:t>
      </w:r>
      <w:r w:rsidRPr="00147E8C">
        <w:rPr>
          <w:color w:val="000000" w:themeColor="text1"/>
        </w:rPr>
        <w:t xml:space="preserve">. [Online] OECD Development Center. </w:t>
      </w:r>
      <w:r w:rsidRPr="00874F54">
        <w:rPr>
          <w:color w:val="000000" w:themeColor="text1"/>
        </w:rPr>
        <w:t>Available from:</w:t>
      </w:r>
      <w:r w:rsidRPr="00874F54">
        <w:rPr>
          <w:color w:val="000000" w:themeColor="text1"/>
          <w:lang w:val="en-US"/>
        </w:rPr>
        <w:t xml:space="preserve"> </w:t>
      </w:r>
      <w:hyperlink r:id="rId40" w:history="1">
        <w:r w:rsidRPr="00874F54">
          <w:rPr>
            <w:rStyle w:val="Hyperlink"/>
            <w:rFonts w:eastAsiaTheme="majorEastAsia"/>
            <w:color w:val="000000" w:themeColor="text1"/>
            <w:u w:val="none"/>
          </w:rPr>
          <w:t>https://www.oecd.org/dev/development-gender/Unpaid_care_work.pdf</w:t>
        </w:r>
      </w:hyperlink>
      <w:r w:rsidRPr="00147E8C">
        <w:rPr>
          <w:color w:val="000000" w:themeColor="text1"/>
          <w:lang w:val="en-US"/>
        </w:rPr>
        <w:t xml:space="preserve"> [Accessed 2nd July 2017]. </w:t>
      </w:r>
    </w:p>
    <w:p w14:paraId="5701830F" w14:textId="77777777" w:rsidR="00A96CF7" w:rsidRPr="00147E8C" w:rsidRDefault="00A96CF7" w:rsidP="00A96CF7">
      <w:pPr>
        <w:spacing w:line="276" w:lineRule="auto"/>
        <w:rPr>
          <w:color w:val="000000" w:themeColor="text1"/>
        </w:rPr>
      </w:pPr>
    </w:p>
    <w:p w14:paraId="700DCD95" w14:textId="77777777" w:rsidR="00A96CF7" w:rsidRPr="00147E8C" w:rsidRDefault="00A96CF7" w:rsidP="00A96CF7">
      <w:pPr>
        <w:spacing w:line="276" w:lineRule="auto"/>
        <w:rPr>
          <w:color w:val="000000" w:themeColor="text1"/>
        </w:rPr>
      </w:pPr>
      <w:r w:rsidRPr="00147E8C">
        <w:rPr>
          <w:color w:val="000000" w:themeColor="text1"/>
        </w:rPr>
        <w:t xml:space="preserve">Flick, U. (2009) </w:t>
      </w:r>
      <w:r w:rsidRPr="00147E8C">
        <w:rPr>
          <w:i/>
          <w:iCs/>
          <w:color w:val="000000" w:themeColor="text1"/>
        </w:rPr>
        <w:t>An introduction to qualitative research</w:t>
      </w:r>
      <w:r w:rsidRPr="00147E8C">
        <w:rPr>
          <w:color w:val="000000" w:themeColor="text1"/>
        </w:rPr>
        <w:t>, 4th (edn.) London: Sage Publications.</w:t>
      </w:r>
    </w:p>
    <w:p w14:paraId="5C94C5FD" w14:textId="77777777" w:rsidR="00A96CF7" w:rsidRPr="00147E8C" w:rsidRDefault="00A96CF7" w:rsidP="00A96CF7">
      <w:pPr>
        <w:spacing w:line="276" w:lineRule="auto"/>
        <w:rPr>
          <w:color w:val="000000" w:themeColor="text1"/>
        </w:rPr>
      </w:pPr>
    </w:p>
    <w:p w14:paraId="527C544C" w14:textId="77777777" w:rsidR="00A96CF7" w:rsidRPr="00147E8C" w:rsidRDefault="00A96CF7" w:rsidP="00A96CF7">
      <w:pPr>
        <w:spacing w:line="276" w:lineRule="auto"/>
        <w:rPr>
          <w:color w:val="000000" w:themeColor="text1"/>
        </w:rPr>
      </w:pPr>
      <w:r w:rsidRPr="00147E8C">
        <w:rPr>
          <w:color w:val="000000" w:themeColor="text1"/>
        </w:rPr>
        <w:t xml:space="preserve">Flores, S. (2016) </w:t>
      </w:r>
      <w:r w:rsidRPr="00147E8C">
        <w:rPr>
          <w:i/>
          <w:color w:val="000000" w:themeColor="text1"/>
        </w:rPr>
        <w:t>Gender dynamics in dairy value chains in Nicaragua: current practices, changes and challenges</w:t>
      </w:r>
      <w:r w:rsidRPr="00147E8C">
        <w:rPr>
          <w:color w:val="000000" w:themeColor="text1"/>
        </w:rPr>
        <w:t xml:space="preserve"> [Online]</w:t>
      </w:r>
      <w:r w:rsidRPr="00147E8C">
        <w:rPr>
          <w:color w:val="000000" w:themeColor="text1"/>
          <w:shd w:val="clear" w:color="auto" w:fill="FFFFFF"/>
        </w:rPr>
        <w:t xml:space="preserve">. </w:t>
      </w:r>
      <w:r w:rsidRPr="00147E8C">
        <w:rPr>
          <w:rStyle w:val="opaccatimpl"/>
          <w:color w:val="000000" w:themeColor="text1"/>
          <w:shd w:val="clear" w:color="auto" w:fill="FFFFFF"/>
        </w:rPr>
        <w:t>Antwerpen</w:t>
      </w:r>
      <w:r w:rsidRPr="00147E8C">
        <w:rPr>
          <w:color w:val="000000" w:themeColor="text1"/>
          <w:shd w:val="clear" w:color="auto" w:fill="FFFFFF"/>
        </w:rPr>
        <w:t>: </w:t>
      </w:r>
      <w:r w:rsidRPr="00147E8C">
        <w:rPr>
          <w:rStyle w:val="opaccatimug"/>
          <w:color w:val="000000" w:themeColor="text1"/>
          <w:shd w:val="clear" w:color="auto" w:fill="FFFFFF"/>
        </w:rPr>
        <w:t>Universiteit Antwerpen. Available from:</w:t>
      </w:r>
      <w:r w:rsidRPr="00147E8C">
        <w:rPr>
          <w:color w:val="000000" w:themeColor="text1"/>
        </w:rPr>
        <w:t xml:space="preserve"> </w:t>
      </w:r>
      <w:hyperlink r:id="rId41" w:history="1">
        <w:r w:rsidRPr="00874F54">
          <w:rPr>
            <w:rStyle w:val="Hyperlink"/>
            <w:rFonts w:eastAsiaTheme="majorEastAsia"/>
            <w:color w:val="000000" w:themeColor="text1"/>
            <w:u w:val="none"/>
          </w:rPr>
          <w:t>https://repository.uantwerpen.be/desktop/irua/core/index.phtml?language=&amp;euser=&amp;session=&amp;service=opacirua&amp;robot=&amp;deskservice=desktop&amp;desktop=irua&amp;workstation=&amp;extra=loi=c:irua:130504</w:t>
        </w:r>
      </w:hyperlink>
      <w:r w:rsidRPr="00147E8C">
        <w:rPr>
          <w:color w:val="000000" w:themeColor="text1"/>
        </w:rPr>
        <w:t xml:space="preserve"> [Accessed 12th June 2017]. </w:t>
      </w:r>
    </w:p>
    <w:p w14:paraId="06BADC34" w14:textId="77777777" w:rsidR="00A96CF7" w:rsidRPr="00147E8C" w:rsidRDefault="00A96CF7" w:rsidP="00A96CF7">
      <w:pPr>
        <w:spacing w:line="276" w:lineRule="auto"/>
        <w:rPr>
          <w:color w:val="000000" w:themeColor="text1"/>
        </w:rPr>
      </w:pPr>
    </w:p>
    <w:p w14:paraId="499E5C48" w14:textId="77777777" w:rsidR="00A96CF7" w:rsidRPr="00147E8C" w:rsidRDefault="00A96CF7" w:rsidP="00A96CF7">
      <w:pPr>
        <w:spacing w:line="276" w:lineRule="auto"/>
        <w:rPr>
          <w:color w:val="000000" w:themeColor="text1"/>
        </w:rPr>
      </w:pPr>
      <w:r w:rsidRPr="00147E8C">
        <w:rPr>
          <w:color w:val="000000" w:themeColor="text1"/>
          <w:lang w:val="es-NI"/>
        </w:rPr>
        <w:t xml:space="preserve">Flores, S., Collado Solis, C., Flores Cordero. </w:t>
      </w:r>
      <w:r w:rsidRPr="00147E8C">
        <w:rPr>
          <w:color w:val="000000" w:themeColor="text1"/>
        </w:rPr>
        <w:t>(2014) Land Ownership: Challenges faced by rural women. Nitlpan’s and Trocaire-ADDAC’s experience in Matagalpa, Nicaragua. Available from: http://www.landcoalition.org/sites/default/files/documents/resources/family_farming_web_4_nicaragua_nitlapan_en.pdf [Accessed 15th June 2017].</w:t>
      </w:r>
    </w:p>
    <w:p w14:paraId="5B470222" w14:textId="77777777" w:rsidR="00A96CF7" w:rsidRPr="00147E8C" w:rsidRDefault="00A96CF7" w:rsidP="00A96CF7">
      <w:pPr>
        <w:spacing w:line="276" w:lineRule="auto"/>
        <w:rPr>
          <w:color w:val="000000" w:themeColor="text1"/>
        </w:rPr>
      </w:pPr>
    </w:p>
    <w:p w14:paraId="4E29B33C" w14:textId="77777777" w:rsidR="00A96CF7" w:rsidRPr="00147E8C" w:rsidRDefault="00A96CF7" w:rsidP="00A96CF7">
      <w:pPr>
        <w:spacing w:line="276" w:lineRule="auto"/>
        <w:rPr>
          <w:color w:val="000000" w:themeColor="text1"/>
        </w:rPr>
      </w:pPr>
      <w:r w:rsidRPr="00147E8C">
        <w:rPr>
          <w:color w:val="000000" w:themeColor="text1"/>
        </w:rPr>
        <w:t xml:space="preserve">Floro, M.S. (1995) ‘Women’s wellbeing, poverty and work intensity’, </w:t>
      </w:r>
      <w:r w:rsidRPr="00147E8C">
        <w:rPr>
          <w:i/>
          <w:iCs/>
          <w:color w:val="000000" w:themeColor="text1"/>
        </w:rPr>
        <w:t xml:space="preserve">Feminist Economics </w:t>
      </w:r>
      <w:r w:rsidRPr="00147E8C">
        <w:rPr>
          <w:color w:val="000000" w:themeColor="text1"/>
        </w:rPr>
        <w:t xml:space="preserve">1 (3), pp. 1–25. </w:t>
      </w:r>
    </w:p>
    <w:p w14:paraId="30CDD951"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Floro, M.S. and Willoughby, J. (2016) ‘Feminist economics and the analysis of the global economy’, </w:t>
      </w:r>
      <w:r w:rsidRPr="00147E8C">
        <w:rPr>
          <w:i/>
          <w:color w:val="000000" w:themeColor="text1"/>
        </w:rPr>
        <w:t>The Fletcher Forum of World Affairs</w:t>
      </w:r>
      <w:r w:rsidRPr="00147E8C">
        <w:rPr>
          <w:color w:val="000000" w:themeColor="text1"/>
        </w:rPr>
        <w:t xml:space="preserve">, 40 (2), pp.15-27.  </w:t>
      </w:r>
    </w:p>
    <w:p w14:paraId="6416CE11" w14:textId="77777777" w:rsidR="00A96CF7" w:rsidRPr="00147E8C" w:rsidRDefault="00A96CF7" w:rsidP="00A96CF7">
      <w:pPr>
        <w:spacing w:line="276" w:lineRule="auto"/>
        <w:rPr>
          <w:color w:val="000000" w:themeColor="text1"/>
        </w:rPr>
      </w:pPr>
      <w:r w:rsidRPr="00147E8C">
        <w:rPr>
          <w:color w:val="000000" w:themeColor="text1"/>
        </w:rPr>
        <w:t xml:space="preserve">Folbre, N. (2009). ‘Time use and living standards’, </w:t>
      </w:r>
      <w:r w:rsidRPr="00147E8C">
        <w:rPr>
          <w:i/>
          <w:iCs/>
          <w:color w:val="000000" w:themeColor="text1"/>
        </w:rPr>
        <w:t>Social Indicators Research</w:t>
      </w:r>
      <w:r w:rsidRPr="00147E8C">
        <w:rPr>
          <w:color w:val="000000" w:themeColor="text1"/>
        </w:rPr>
        <w:t>, 93 (1), pp.77-83.</w:t>
      </w:r>
    </w:p>
    <w:p w14:paraId="59EC539E" w14:textId="77777777" w:rsidR="00A96CF7" w:rsidRPr="00147E8C" w:rsidRDefault="00A96CF7" w:rsidP="00A96CF7">
      <w:pPr>
        <w:spacing w:line="276" w:lineRule="auto"/>
        <w:rPr>
          <w:color w:val="000000" w:themeColor="text1"/>
        </w:rPr>
      </w:pPr>
    </w:p>
    <w:p w14:paraId="5A50AE63" w14:textId="77777777" w:rsidR="00A96CF7" w:rsidRPr="00147E8C" w:rsidRDefault="00A96CF7" w:rsidP="00A96CF7">
      <w:pPr>
        <w:spacing w:line="276" w:lineRule="auto"/>
        <w:rPr>
          <w:color w:val="000000" w:themeColor="text1"/>
        </w:rPr>
      </w:pPr>
      <w:r w:rsidRPr="00147E8C">
        <w:rPr>
          <w:color w:val="000000" w:themeColor="text1"/>
        </w:rPr>
        <w:t xml:space="preserve">Fonow, M. and Cook, J. (1991) </w:t>
      </w:r>
      <w:r w:rsidRPr="00147E8C">
        <w:rPr>
          <w:i/>
          <w:iCs/>
          <w:color w:val="000000" w:themeColor="text1"/>
        </w:rPr>
        <w:t xml:space="preserve">Beyond methodology: feminist scholarship as lived research. </w:t>
      </w:r>
      <w:r w:rsidRPr="00147E8C">
        <w:rPr>
          <w:color w:val="000000" w:themeColor="text1"/>
        </w:rPr>
        <w:t xml:space="preserve">Bloomington: Indiana University Press. </w:t>
      </w:r>
    </w:p>
    <w:p w14:paraId="643EEB92" w14:textId="77777777" w:rsidR="00A96CF7" w:rsidRPr="00147E8C" w:rsidRDefault="00A96CF7" w:rsidP="00A96CF7">
      <w:pPr>
        <w:spacing w:line="276" w:lineRule="auto"/>
        <w:rPr>
          <w:color w:val="000000" w:themeColor="text1"/>
        </w:rPr>
      </w:pPr>
    </w:p>
    <w:p w14:paraId="5CE0378C" w14:textId="77777777" w:rsidR="00A96CF7" w:rsidRPr="00147E8C" w:rsidRDefault="00A96CF7" w:rsidP="00A96CF7">
      <w:pPr>
        <w:spacing w:line="276" w:lineRule="auto"/>
        <w:rPr>
          <w:color w:val="000000" w:themeColor="text1"/>
        </w:rPr>
      </w:pPr>
      <w:r w:rsidRPr="00147E8C">
        <w:rPr>
          <w:color w:val="000000" w:themeColor="text1"/>
        </w:rPr>
        <w:t xml:space="preserve">Fonow, M. and Cook, J. (2005) ‘Feminist methodology: new applications in the academy and public policy’, </w:t>
      </w:r>
      <w:r w:rsidRPr="00147E8C">
        <w:rPr>
          <w:i/>
          <w:iCs/>
          <w:color w:val="000000" w:themeColor="text1"/>
        </w:rPr>
        <w:t xml:space="preserve">Signs: Journal of Women in Culture and Society, </w:t>
      </w:r>
      <w:r w:rsidRPr="00147E8C">
        <w:rPr>
          <w:color w:val="000000" w:themeColor="text1"/>
        </w:rPr>
        <w:t xml:space="preserve">30 (4), pp. 2211–36. </w:t>
      </w:r>
    </w:p>
    <w:p w14:paraId="20BFEB33" w14:textId="77777777" w:rsidR="00A96CF7" w:rsidRPr="00147E8C" w:rsidRDefault="00A96CF7" w:rsidP="00A96CF7">
      <w:pPr>
        <w:spacing w:line="276" w:lineRule="auto"/>
        <w:rPr>
          <w:color w:val="000000" w:themeColor="text1"/>
        </w:rPr>
      </w:pPr>
    </w:p>
    <w:p w14:paraId="7DAEC83C" w14:textId="77777777" w:rsidR="00A96CF7" w:rsidRPr="00147E8C" w:rsidRDefault="00A96CF7" w:rsidP="00A96CF7">
      <w:pPr>
        <w:spacing w:line="276" w:lineRule="auto"/>
        <w:rPr>
          <w:color w:val="000000" w:themeColor="text1"/>
        </w:rPr>
      </w:pPr>
      <w:r w:rsidRPr="00147E8C">
        <w:rPr>
          <w:color w:val="000000" w:themeColor="text1"/>
        </w:rPr>
        <w:t xml:space="preserve">Fontana, A., and Frey, J.H. (2003) ‘The interview: from structured questions to negotiated text’ in Denzin, N.K. and Lincoln, Y.S. (eds.), </w:t>
      </w:r>
      <w:r w:rsidRPr="00147E8C">
        <w:rPr>
          <w:i/>
          <w:iCs/>
          <w:color w:val="000000" w:themeColor="text1"/>
        </w:rPr>
        <w:t>Collecting and interpreting qualitative, arterials.</w:t>
      </w:r>
      <w:r w:rsidRPr="00147E8C">
        <w:rPr>
          <w:color w:val="000000" w:themeColor="text1"/>
        </w:rPr>
        <w:t xml:space="preserve"> Thousand Oaks: Sage, pp. 61-106. </w:t>
      </w:r>
    </w:p>
    <w:p w14:paraId="3544954B" w14:textId="77777777" w:rsidR="00A96CF7" w:rsidRPr="00147E8C" w:rsidRDefault="00A96CF7" w:rsidP="00A96CF7">
      <w:pPr>
        <w:spacing w:line="276" w:lineRule="auto"/>
        <w:rPr>
          <w:color w:val="000000" w:themeColor="text1"/>
        </w:rPr>
      </w:pPr>
    </w:p>
    <w:p w14:paraId="23201C83" w14:textId="77777777" w:rsidR="00A96CF7" w:rsidRPr="00147E8C" w:rsidRDefault="00A96CF7" w:rsidP="00A96CF7">
      <w:pPr>
        <w:spacing w:line="276" w:lineRule="auto"/>
        <w:rPr>
          <w:color w:val="000000" w:themeColor="text1"/>
        </w:rPr>
      </w:pPr>
      <w:r w:rsidRPr="00147E8C">
        <w:rPr>
          <w:color w:val="000000" w:themeColor="text1"/>
        </w:rPr>
        <w:t xml:space="preserve">Fontana, M.  and Eybend, R. (2009) ‘Agenda for change: women's empowerment needs a people-centred economy’, </w:t>
      </w:r>
      <w:r w:rsidRPr="00147E8C">
        <w:rPr>
          <w:i/>
          <w:iCs/>
          <w:color w:val="000000" w:themeColor="text1"/>
        </w:rPr>
        <w:t xml:space="preserve">Pathways of women’s empowerment </w:t>
      </w:r>
      <w:r w:rsidRPr="00147E8C">
        <w:rPr>
          <w:color w:val="000000" w:themeColor="text1"/>
        </w:rPr>
        <w:t>[Online]</w:t>
      </w:r>
      <w:r w:rsidRPr="00147E8C">
        <w:rPr>
          <w:i/>
          <w:iCs/>
          <w:color w:val="000000" w:themeColor="text1"/>
        </w:rPr>
        <w:t xml:space="preserve">. </w:t>
      </w:r>
      <w:r w:rsidRPr="00147E8C">
        <w:rPr>
          <w:iCs/>
          <w:color w:val="000000" w:themeColor="text1"/>
        </w:rPr>
        <w:t>March 2009</w:t>
      </w:r>
      <w:r w:rsidRPr="00147E8C">
        <w:rPr>
          <w:color w:val="000000" w:themeColor="text1"/>
        </w:rPr>
        <w:t xml:space="preserve"> Available from</w:t>
      </w:r>
      <w:r w:rsidRPr="00874F54">
        <w:rPr>
          <w:color w:val="000000" w:themeColor="text1"/>
        </w:rPr>
        <w:t xml:space="preserve">: </w:t>
      </w:r>
      <w:hyperlink r:id="rId42" w:history="1">
        <w:r w:rsidRPr="00874F54">
          <w:rPr>
            <w:rStyle w:val="Hyperlink"/>
            <w:rFonts w:eastAsiaTheme="majorEastAsia"/>
            <w:color w:val="000000" w:themeColor="text1"/>
            <w:u w:val="none"/>
          </w:rPr>
          <w:t>http://s3-eu-west-1.amazonaws.com/pathwaysofempowerment-org-production/downloads/agenda_for_change_original6cf1dd4da422d93cc21abb9419f0067c.pdf</w:t>
        </w:r>
      </w:hyperlink>
      <w:r w:rsidRPr="00874F54">
        <w:rPr>
          <w:color w:val="000000" w:themeColor="text1"/>
        </w:rPr>
        <w:t xml:space="preserve"> </w:t>
      </w:r>
      <w:r w:rsidRPr="00147E8C">
        <w:rPr>
          <w:color w:val="000000" w:themeColor="text1"/>
        </w:rPr>
        <w:t xml:space="preserve">[Accessed 13 May 2017]. </w:t>
      </w:r>
    </w:p>
    <w:p w14:paraId="21F2A542" w14:textId="77777777" w:rsidR="00A96CF7" w:rsidRPr="00147E8C" w:rsidRDefault="00A96CF7" w:rsidP="00A96CF7">
      <w:pPr>
        <w:spacing w:line="276" w:lineRule="auto"/>
        <w:rPr>
          <w:color w:val="000000" w:themeColor="text1"/>
        </w:rPr>
      </w:pPr>
    </w:p>
    <w:p w14:paraId="74BA9C61" w14:textId="77777777" w:rsidR="00A96CF7" w:rsidRPr="00147E8C" w:rsidRDefault="00A96CF7" w:rsidP="00A96CF7">
      <w:pPr>
        <w:spacing w:line="276" w:lineRule="auto"/>
        <w:rPr>
          <w:bCs/>
          <w:color w:val="000000" w:themeColor="text1"/>
        </w:rPr>
      </w:pPr>
      <w:r w:rsidRPr="00147E8C">
        <w:rPr>
          <w:color w:val="000000" w:themeColor="text1"/>
        </w:rPr>
        <w:t xml:space="preserve">Foucault, M. (1975) ‘Panopticism’, </w:t>
      </w:r>
      <w:r w:rsidRPr="00147E8C">
        <w:rPr>
          <w:i/>
          <w:iCs/>
          <w:color w:val="000000" w:themeColor="text1"/>
        </w:rPr>
        <w:t>Discipline and punish: the birth of the prison</w:t>
      </w:r>
      <w:r w:rsidRPr="00147E8C">
        <w:rPr>
          <w:color w:val="000000" w:themeColor="text1"/>
        </w:rPr>
        <w:t>. New York: Random House, pp.</w:t>
      </w:r>
      <w:r w:rsidRPr="00147E8C">
        <w:rPr>
          <w:bCs/>
          <w:color w:val="000000" w:themeColor="text1"/>
        </w:rPr>
        <w:t>195-228.</w:t>
      </w:r>
    </w:p>
    <w:p w14:paraId="360E396A" w14:textId="77777777" w:rsidR="00A96CF7" w:rsidRPr="00147E8C" w:rsidRDefault="00A96CF7" w:rsidP="00A96CF7">
      <w:pPr>
        <w:spacing w:line="276" w:lineRule="auto"/>
        <w:rPr>
          <w:bCs/>
          <w:color w:val="000000" w:themeColor="text1"/>
        </w:rPr>
      </w:pPr>
    </w:p>
    <w:p w14:paraId="5ABD5ADE" w14:textId="77777777" w:rsidR="00A96CF7" w:rsidRPr="00147E8C" w:rsidRDefault="00A96CF7" w:rsidP="00A96CF7">
      <w:pPr>
        <w:spacing w:line="276" w:lineRule="auto"/>
        <w:rPr>
          <w:color w:val="000000" w:themeColor="text1"/>
        </w:rPr>
      </w:pPr>
      <w:r w:rsidRPr="00147E8C">
        <w:rPr>
          <w:color w:val="000000" w:themeColor="text1"/>
        </w:rPr>
        <w:t xml:space="preserve">Foucault, M. (1978) The history of sexuality, vol.1. New York: Pantheon Books. </w:t>
      </w:r>
    </w:p>
    <w:p w14:paraId="2D53DBCE" w14:textId="77777777" w:rsidR="00A96CF7" w:rsidRPr="00147E8C" w:rsidRDefault="00A96CF7" w:rsidP="00A96CF7">
      <w:pPr>
        <w:spacing w:line="276" w:lineRule="auto"/>
        <w:rPr>
          <w:color w:val="000000" w:themeColor="text1"/>
        </w:rPr>
      </w:pPr>
    </w:p>
    <w:p w14:paraId="0524298F" w14:textId="77777777" w:rsidR="00A96CF7" w:rsidRPr="00147E8C" w:rsidRDefault="00A96CF7" w:rsidP="00A96CF7">
      <w:pPr>
        <w:spacing w:line="276" w:lineRule="auto"/>
        <w:rPr>
          <w:color w:val="000000" w:themeColor="text1"/>
        </w:rPr>
      </w:pPr>
      <w:r w:rsidRPr="00147E8C">
        <w:rPr>
          <w:color w:val="000000" w:themeColor="text1"/>
        </w:rPr>
        <w:t>Foucault, M., (1991). Discipline and punish: the birth of the prison, London: Penguin.</w:t>
      </w:r>
    </w:p>
    <w:p w14:paraId="575AFD82" w14:textId="77777777" w:rsidR="00A96CF7" w:rsidRPr="00147E8C" w:rsidRDefault="00A96CF7" w:rsidP="00A96CF7">
      <w:pPr>
        <w:spacing w:line="276" w:lineRule="auto"/>
        <w:rPr>
          <w:bCs/>
          <w:color w:val="000000" w:themeColor="text1"/>
        </w:rPr>
      </w:pPr>
    </w:p>
    <w:p w14:paraId="58BC44A8"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Fraser, N., Dahl, H., Stoltz, P. and Willig, R. (2004) ‘Recognition, redistribution and representation in capitalist global society’, </w:t>
      </w:r>
      <w:r w:rsidRPr="00147E8C">
        <w:rPr>
          <w:i/>
          <w:iCs/>
          <w:color w:val="000000" w:themeColor="text1"/>
        </w:rPr>
        <w:t>Acta Sociologica</w:t>
      </w:r>
      <w:r w:rsidRPr="00147E8C">
        <w:rPr>
          <w:color w:val="000000" w:themeColor="text1"/>
        </w:rPr>
        <w:t>, 47(4), pp.374-382.</w:t>
      </w:r>
    </w:p>
    <w:p w14:paraId="49A2D877" w14:textId="77777777" w:rsidR="00A96CF7" w:rsidRPr="00147E8C" w:rsidRDefault="00A96CF7" w:rsidP="00A96CF7">
      <w:pPr>
        <w:spacing w:line="276" w:lineRule="auto"/>
        <w:rPr>
          <w:color w:val="000000" w:themeColor="text1"/>
        </w:rPr>
      </w:pPr>
    </w:p>
    <w:p w14:paraId="07573B9B" w14:textId="77777777" w:rsidR="00A96CF7" w:rsidRPr="00147E8C" w:rsidRDefault="00A96CF7" w:rsidP="00A96CF7">
      <w:pPr>
        <w:spacing w:line="276" w:lineRule="auto"/>
        <w:rPr>
          <w:color w:val="000000" w:themeColor="text1"/>
        </w:rPr>
      </w:pPr>
      <w:r w:rsidRPr="00147E8C">
        <w:rPr>
          <w:color w:val="000000" w:themeColor="text1"/>
        </w:rPr>
        <w:t xml:space="preserve">Franzoni, J. (2008) </w:t>
      </w:r>
      <w:r w:rsidRPr="00147E8C">
        <w:rPr>
          <w:i/>
          <w:color w:val="000000" w:themeColor="text1"/>
        </w:rPr>
        <w:t>The political and social economy of care: Nicaragua</w:t>
      </w:r>
      <w:r w:rsidRPr="00147E8C">
        <w:rPr>
          <w:color w:val="000000" w:themeColor="text1"/>
        </w:rPr>
        <w:t>. Research Report No. 1. Geneva: United Nations Research Institute for Social Development (UNRISD).</w:t>
      </w:r>
    </w:p>
    <w:p w14:paraId="38964BC7" w14:textId="77777777" w:rsidR="00A96CF7" w:rsidRPr="00147E8C" w:rsidRDefault="00A96CF7" w:rsidP="00A96CF7">
      <w:pPr>
        <w:pStyle w:val="NormalWeb"/>
        <w:spacing w:line="276" w:lineRule="auto"/>
        <w:rPr>
          <w:color w:val="000000" w:themeColor="text1"/>
        </w:rPr>
      </w:pPr>
      <w:r w:rsidRPr="00147E8C">
        <w:rPr>
          <w:color w:val="000000" w:themeColor="text1"/>
          <w:lang w:val="en-US"/>
        </w:rPr>
        <w:t xml:space="preserve">Fregoso, R-L. and </w:t>
      </w:r>
      <w:r w:rsidRPr="00147E8C">
        <w:rPr>
          <w:color w:val="000000" w:themeColor="text1"/>
        </w:rPr>
        <w:t xml:space="preserve">Bejarano, C. (2010) </w:t>
      </w:r>
      <w:r w:rsidRPr="00147E8C">
        <w:rPr>
          <w:i/>
          <w:iCs/>
          <w:color w:val="000000" w:themeColor="text1"/>
        </w:rPr>
        <w:t xml:space="preserve">Terrorizing Women: Feminicide in the Américas. </w:t>
      </w:r>
      <w:r w:rsidRPr="00147E8C">
        <w:rPr>
          <w:color w:val="000000" w:themeColor="text1"/>
        </w:rPr>
        <w:t>Durham: Duke University Press.</w:t>
      </w:r>
    </w:p>
    <w:p w14:paraId="78E5DA0C" w14:textId="77777777" w:rsidR="00A96CF7" w:rsidRPr="00147E8C" w:rsidRDefault="00A96CF7" w:rsidP="00A96CF7">
      <w:pPr>
        <w:spacing w:before="100" w:beforeAutospacing="1" w:after="24" w:line="276" w:lineRule="auto"/>
        <w:ind w:left="24"/>
        <w:rPr>
          <w:color w:val="000000" w:themeColor="text1"/>
        </w:rPr>
      </w:pPr>
      <w:r w:rsidRPr="00147E8C">
        <w:rPr>
          <w:color w:val="000000" w:themeColor="text1"/>
        </w:rPr>
        <w:t>Freire, P. (1970).</w:t>
      </w:r>
      <w:r w:rsidRPr="00147E8C">
        <w:rPr>
          <w:rStyle w:val="apple-converted-space"/>
          <w:rFonts w:eastAsiaTheme="majorEastAsia"/>
          <w:color w:val="000000" w:themeColor="text1"/>
        </w:rPr>
        <w:t> </w:t>
      </w:r>
      <w:r w:rsidRPr="00147E8C">
        <w:rPr>
          <w:i/>
          <w:iCs/>
          <w:color w:val="000000" w:themeColor="text1"/>
        </w:rPr>
        <w:t>Pedagogy of the Oppressed</w:t>
      </w:r>
      <w:r w:rsidRPr="00147E8C">
        <w:rPr>
          <w:color w:val="000000" w:themeColor="text1"/>
        </w:rPr>
        <w:t>. New York, Continuum.</w:t>
      </w:r>
    </w:p>
    <w:p w14:paraId="24EAE683" w14:textId="77777777" w:rsidR="00A96CF7" w:rsidRPr="00147E8C" w:rsidRDefault="00A96CF7" w:rsidP="00A96CF7">
      <w:pPr>
        <w:spacing w:before="100" w:beforeAutospacing="1" w:after="24" w:line="276" w:lineRule="auto"/>
        <w:ind w:left="24"/>
        <w:rPr>
          <w:color w:val="000000" w:themeColor="text1"/>
        </w:rPr>
      </w:pPr>
      <w:r w:rsidRPr="00147E8C">
        <w:rPr>
          <w:color w:val="000000" w:themeColor="text1"/>
        </w:rPr>
        <w:t>Freire, P. (1973).</w:t>
      </w:r>
      <w:r w:rsidRPr="00147E8C">
        <w:rPr>
          <w:rStyle w:val="apple-converted-space"/>
          <w:rFonts w:eastAsiaTheme="majorEastAsia"/>
          <w:color w:val="000000" w:themeColor="text1"/>
        </w:rPr>
        <w:t> </w:t>
      </w:r>
      <w:r w:rsidRPr="00147E8C">
        <w:rPr>
          <w:i/>
          <w:iCs/>
          <w:color w:val="000000" w:themeColor="text1"/>
        </w:rPr>
        <w:t>Education for critical consciousness</w:t>
      </w:r>
      <w:r w:rsidRPr="00147E8C">
        <w:rPr>
          <w:color w:val="000000" w:themeColor="text1"/>
        </w:rPr>
        <w:t>. New York, Seabury Press.</w:t>
      </w:r>
    </w:p>
    <w:p w14:paraId="6299F5A5" w14:textId="77777777" w:rsidR="00A96CF7" w:rsidRDefault="00A96CF7" w:rsidP="00A96CF7">
      <w:pPr>
        <w:spacing w:before="100" w:beforeAutospacing="1" w:after="24"/>
        <w:ind w:left="24"/>
        <w:rPr>
          <w:color w:val="000000" w:themeColor="text1"/>
        </w:rPr>
      </w:pPr>
      <w:r w:rsidRPr="00147E8C">
        <w:rPr>
          <w:color w:val="000000" w:themeColor="text1"/>
        </w:rPr>
        <w:t>Freire, P. (1975).</w:t>
      </w:r>
      <w:r w:rsidRPr="00147E8C">
        <w:rPr>
          <w:rStyle w:val="apple-converted-space"/>
          <w:rFonts w:eastAsiaTheme="majorEastAsia"/>
          <w:color w:val="000000" w:themeColor="text1"/>
        </w:rPr>
        <w:t> </w:t>
      </w:r>
      <w:r w:rsidRPr="00147E8C">
        <w:rPr>
          <w:i/>
          <w:iCs/>
          <w:color w:val="000000" w:themeColor="text1"/>
        </w:rPr>
        <w:t>Conscientization</w:t>
      </w:r>
      <w:r w:rsidRPr="00147E8C">
        <w:rPr>
          <w:color w:val="000000" w:themeColor="text1"/>
        </w:rPr>
        <w:t>. Geneva, World Council of Churches</w:t>
      </w:r>
      <w:r>
        <w:rPr>
          <w:color w:val="000000" w:themeColor="text1"/>
        </w:rPr>
        <w:t>.</w:t>
      </w:r>
    </w:p>
    <w:p w14:paraId="4771B4C6" w14:textId="77777777" w:rsidR="00A96CF7" w:rsidRDefault="00A96CF7" w:rsidP="00A96CF7">
      <w:pPr>
        <w:spacing w:line="276" w:lineRule="auto"/>
        <w:rPr>
          <w:color w:val="000000" w:themeColor="text1"/>
        </w:rPr>
      </w:pPr>
    </w:p>
    <w:p w14:paraId="7030F71A" w14:textId="77777777" w:rsidR="00A96CF7" w:rsidRPr="00147E8C" w:rsidRDefault="00A96CF7" w:rsidP="00A96CF7">
      <w:pPr>
        <w:spacing w:line="276" w:lineRule="auto"/>
        <w:rPr>
          <w:color w:val="000000" w:themeColor="text1"/>
        </w:rPr>
      </w:pPr>
      <w:r w:rsidRPr="00147E8C">
        <w:rPr>
          <w:color w:val="000000" w:themeColor="text1"/>
        </w:rPr>
        <w:t>Freire, P. (2005) Pedagogy of the Oppressed (30</w:t>
      </w:r>
      <w:r w:rsidRPr="00147E8C">
        <w:rPr>
          <w:color w:val="000000" w:themeColor="text1"/>
          <w:vertAlign w:val="superscript"/>
        </w:rPr>
        <w:t>th</w:t>
      </w:r>
      <w:r w:rsidRPr="00147E8C">
        <w:rPr>
          <w:color w:val="000000" w:themeColor="text1"/>
        </w:rPr>
        <w:t xml:space="preserve"> ed.). Continuum, New York, London.</w:t>
      </w:r>
    </w:p>
    <w:p w14:paraId="2184A538" w14:textId="77777777" w:rsidR="00A96CF7" w:rsidRPr="00147E8C" w:rsidRDefault="00A96CF7" w:rsidP="00A96CF7">
      <w:pPr>
        <w:spacing w:line="276" w:lineRule="auto"/>
        <w:rPr>
          <w:color w:val="000000" w:themeColor="text1"/>
        </w:rPr>
      </w:pPr>
    </w:p>
    <w:p w14:paraId="78C32A16" w14:textId="77777777" w:rsidR="00A96CF7" w:rsidRPr="00147E8C" w:rsidRDefault="00A96CF7" w:rsidP="00A96CF7">
      <w:pPr>
        <w:spacing w:line="276" w:lineRule="auto"/>
        <w:rPr>
          <w:color w:val="000000" w:themeColor="text1"/>
          <w:lang w:val="es-NI"/>
        </w:rPr>
      </w:pPr>
      <w:r w:rsidRPr="00147E8C">
        <w:rPr>
          <w:color w:val="000000" w:themeColor="text1"/>
        </w:rPr>
        <w:t xml:space="preserve">Friedmann, J. (1992) </w:t>
      </w:r>
      <w:r w:rsidRPr="00147E8C">
        <w:rPr>
          <w:i/>
          <w:iCs/>
          <w:color w:val="000000" w:themeColor="text1"/>
        </w:rPr>
        <w:t>Empowerment: the plitics of alternative development.</w:t>
      </w:r>
      <w:r w:rsidRPr="00147E8C">
        <w:rPr>
          <w:color w:val="000000" w:themeColor="text1"/>
        </w:rPr>
        <w:t xml:space="preserve"> </w:t>
      </w:r>
      <w:r w:rsidRPr="00147E8C">
        <w:rPr>
          <w:color w:val="000000" w:themeColor="text1"/>
          <w:lang w:val="es-NI"/>
        </w:rPr>
        <w:t>Cambridge: Blackwell Publishers.</w:t>
      </w:r>
    </w:p>
    <w:p w14:paraId="7232788A" w14:textId="77777777" w:rsidR="00A96CF7" w:rsidRPr="00147E8C" w:rsidRDefault="00A96CF7" w:rsidP="00A96CF7">
      <w:pPr>
        <w:spacing w:line="276" w:lineRule="auto"/>
        <w:rPr>
          <w:color w:val="000000" w:themeColor="text1"/>
          <w:lang w:val="es-NI"/>
        </w:rPr>
      </w:pPr>
    </w:p>
    <w:p w14:paraId="15472B5D"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Fundación Internacional para el Desafío Económico Global, FIDEG (2015) </w:t>
      </w:r>
      <w:r w:rsidRPr="00147E8C">
        <w:rPr>
          <w:i/>
          <w:color w:val="000000" w:themeColor="text1"/>
          <w:lang w:val="es-NI"/>
        </w:rPr>
        <w:t>Encuesta de hogares para medir la pobreza en Nicaragua, informe de los resultados de 2015</w:t>
      </w:r>
      <w:r w:rsidRPr="00147E8C">
        <w:rPr>
          <w:color w:val="000000" w:themeColor="text1"/>
          <w:lang w:val="es-NI"/>
        </w:rPr>
        <w:t xml:space="preserve">. </w:t>
      </w:r>
      <w:r w:rsidRPr="00147E8C">
        <w:rPr>
          <w:color w:val="000000" w:themeColor="text1"/>
          <w:lang w:val="en-US"/>
        </w:rPr>
        <w:t>[Online] Managua: FIDEG. Available from:</w:t>
      </w:r>
    </w:p>
    <w:p w14:paraId="6657518B" w14:textId="77777777" w:rsidR="00A96CF7" w:rsidRPr="00147E8C" w:rsidRDefault="00A96CF7" w:rsidP="00A96CF7">
      <w:pPr>
        <w:spacing w:line="276" w:lineRule="auto"/>
        <w:rPr>
          <w:color w:val="000000" w:themeColor="text1"/>
          <w:lang w:val="en-US"/>
        </w:rPr>
      </w:pPr>
      <w:r w:rsidRPr="00874F54">
        <w:rPr>
          <w:color w:val="000000" w:themeColor="text1"/>
          <w:lang w:val="en-US"/>
        </w:rPr>
        <w:t xml:space="preserve"> </w:t>
      </w:r>
      <w:r w:rsidRPr="004E1C3A">
        <w:rPr>
          <w:rStyle w:val="Hyperlink"/>
          <w:rFonts w:eastAsiaTheme="majorEastAsia"/>
          <w:color w:val="000000" w:themeColor="text1"/>
          <w:u w:val="none"/>
        </w:rPr>
        <w:t>http://fideg.org/wp-content/uploads/2017/02/INFORME_DE_RESULTADOS_DE_LA_ENCUESTA_2015_-_Versin_WEB_270616.pdf</w:t>
      </w:r>
      <w:r w:rsidRPr="00147E8C">
        <w:rPr>
          <w:color w:val="000000" w:themeColor="text1"/>
          <w:lang w:val="en-US"/>
        </w:rPr>
        <w:t xml:space="preserve"> [Accessed 18th July 2017]. </w:t>
      </w:r>
    </w:p>
    <w:p w14:paraId="3EE03BA1" w14:textId="77777777" w:rsidR="00A96CF7" w:rsidRPr="00874F54" w:rsidRDefault="00A96CF7" w:rsidP="00A96CF7">
      <w:pPr>
        <w:spacing w:line="276" w:lineRule="auto"/>
        <w:rPr>
          <w:color w:val="000000" w:themeColor="text1"/>
          <w:lang w:val="en-US"/>
        </w:rPr>
      </w:pPr>
    </w:p>
    <w:p w14:paraId="3B5C6C2D" w14:textId="4623A1D0" w:rsidR="00A96CF7" w:rsidRPr="00874F54" w:rsidRDefault="00A96CF7" w:rsidP="00A96CF7">
      <w:pPr>
        <w:spacing w:line="276" w:lineRule="auto"/>
        <w:rPr>
          <w:color w:val="000000" w:themeColor="text1"/>
          <w:lang w:val="en-US"/>
        </w:rPr>
      </w:pPr>
      <w:r w:rsidRPr="00874F54">
        <w:rPr>
          <w:color w:val="000000" w:themeColor="text1"/>
          <w:lang w:val="en-US"/>
        </w:rPr>
        <w:t xml:space="preserve">FIDEG (1997), </w:t>
      </w:r>
      <w:r w:rsidRPr="00874F54">
        <w:rPr>
          <w:i/>
          <w:color w:val="000000" w:themeColor="text1"/>
          <w:lang w:val="es-ES"/>
        </w:rPr>
        <w:t>La esperanza tiene nombre de mujer, la economía Nicaragüense desde una perspectiva de genero</w:t>
      </w:r>
      <w:r w:rsidRPr="00874F54">
        <w:rPr>
          <w:i/>
          <w:color w:val="000000" w:themeColor="text1"/>
          <w:lang w:val="en-US"/>
        </w:rPr>
        <w:t>.</w:t>
      </w:r>
      <w:r w:rsidRPr="00874F54">
        <w:rPr>
          <w:color w:val="000000" w:themeColor="text1"/>
          <w:lang w:val="en-US"/>
        </w:rPr>
        <w:t xml:space="preserve">  Available from: </w:t>
      </w:r>
      <w:r w:rsidRPr="00402556">
        <w:rPr>
          <w:color w:val="000000" w:themeColor="text1"/>
          <w:lang w:val="en-US"/>
        </w:rPr>
        <w:t>http://fideg.org/wp-</w:t>
      </w:r>
      <w:r w:rsidR="00C40083">
        <w:rPr>
          <w:color w:val="000000" w:themeColor="text1"/>
          <w:lang w:val="en-US"/>
        </w:rPr>
        <w:t xml:space="preserve">content/uploads/2017/02/09.pdf </w:t>
      </w:r>
      <w:r w:rsidRPr="00874F54">
        <w:rPr>
          <w:color w:val="000000" w:themeColor="text1"/>
          <w:lang w:val="en-US"/>
        </w:rPr>
        <w:t>[Accessed 5</w:t>
      </w:r>
      <w:r w:rsidRPr="00874F54">
        <w:rPr>
          <w:color w:val="000000" w:themeColor="text1"/>
          <w:vertAlign w:val="superscript"/>
          <w:lang w:val="en-US"/>
        </w:rPr>
        <w:t>th</w:t>
      </w:r>
      <w:r w:rsidRPr="00874F54">
        <w:rPr>
          <w:color w:val="000000" w:themeColor="text1"/>
          <w:lang w:val="en-US"/>
        </w:rPr>
        <w:t xml:space="preserve"> May 2018].</w:t>
      </w:r>
    </w:p>
    <w:p w14:paraId="63AEC845" w14:textId="77777777" w:rsidR="00A96CF7" w:rsidRPr="00147E8C" w:rsidRDefault="00A96CF7" w:rsidP="00A96CF7">
      <w:pPr>
        <w:pStyle w:val="NormalWeb"/>
        <w:spacing w:line="276" w:lineRule="auto"/>
        <w:rPr>
          <w:i/>
          <w:color w:val="000000" w:themeColor="text1"/>
        </w:rPr>
      </w:pPr>
      <w:r w:rsidRPr="00874F54">
        <w:rPr>
          <w:color w:val="000000" w:themeColor="text1"/>
          <w:lang w:val="en-US"/>
        </w:rPr>
        <w:t xml:space="preserve">FIDEG (2003), </w:t>
      </w:r>
      <w:r w:rsidRPr="00874F54">
        <w:rPr>
          <w:rFonts w:eastAsia="Times New Roman"/>
          <w:i/>
          <w:color w:val="000000" w:themeColor="text1"/>
          <w:lang w:val="es-ES" w:eastAsia="en-US"/>
        </w:rPr>
        <w:t>Después de una década de investigaciones la esperanza tiene nombre de mujer</w:t>
      </w:r>
      <w:r w:rsidRPr="00874F54">
        <w:rPr>
          <w:rFonts w:eastAsia="Times New Roman"/>
          <w:i/>
          <w:color w:val="000000" w:themeColor="text1"/>
          <w:lang w:eastAsia="en-US"/>
        </w:rPr>
        <w:t xml:space="preserve">. </w:t>
      </w:r>
      <w:r w:rsidRPr="00874F54">
        <w:rPr>
          <w:rFonts w:eastAsia="Times New Roman"/>
          <w:color w:val="000000" w:themeColor="text1"/>
          <w:lang w:eastAsia="en-US"/>
        </w:rPr>
        <w:t>Available from</w:t>
      </w:r>
      <w:r w:rsidRPr="00874F54">
        <w:rPr>
          <w:rFonts w:eastAsia="Times New Roman"/>
          <w:i/>
          <w:color w:val="000000" w:themeColor="text1"/>
          <w:lang w:eastAsia="en-US"/>
        </w:rPr>
        <w:t xml:space="preserve">: </w:t>
      </w:r>
      <w:hyperlink r:id="rId43" w:history="1">
        <w:r w:rsidRPr="00874F54">
          <w:rPr>
            <w:rStyle w:val="Hyperlink"/>
            <w:color w:val="000000" w:themeColor="text1"/>
            <w:u w:val="none"/>
            <w:lang w:eastAsia="en-US"/>
          </w:rPr>
          <w:t>http://fideg.org/wp-content/uploads/2017/02/09.pdf</w:t>
        </w:r>
      </w:hyperlink>
      <w:r w:rsidRPr="00874F54">
        <w:rPr>
          <w:rFonts w:eastAsia="Times New Roman"/>
          <w:color w:val="000000" w:themeColor="text1"/>
          <w:lang w:eastAsia="en-US"/>
        </w:rPr>
        <w:t xml:space="preserve"> [</w:t>
      </w:r>
      <w:r w:rsidRPr="00147E8C">
        <w:rPr>
          <w:rFonts w:eastAsia="Times New Roman"/>
          <w:color w:val="000000" w:themeColor="text1"/>
          <w:lang w:eastAsia="en-US"/>
        </w:rPr>
        <w:t>Accessed 12th May</w:t>
      </w:r>
      <w:r>
        <w:rPr>
          <w:rFonts w:eastAsia="Times New Roman"/>
          <w:color w:val="000000" w:themeColor="text1"/>
          <w:lang w:eastAsia="en-US"/>
        </w:rPr>
        <w:t>].</w:t>
      </w:r>
    </w:p>
    <w:p w14:paraId="4345FBAC"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Gammage, S. (2010) ‘Time pressed and time poor: unpaid household work in Guatemala’, </w:t>
      </w:r>
      <w:r w:rsidRPr="00147E8C">
        <w:rPr>
          <w:i/>
          <w:iCs/>
          <w:color w:val="000000" w:themeColor="text1"/>
          <w:lang w:val="en-US"/>
        </w:rPr>
        <w:t xml:space="preserve">Feminist Economics, </w:t>
      </w:r>
      <w:r w:rsidRPr="00147E8C">
        <w:rPr>
          <w:color w:val="000000" w:themeColor="text1"/>
          <w:lang w:val="en-US"/>
        </w:rPr>
        <w:t>16 (3), pp. 79-112.</w:t>
      </w:r>
    </w:p>
    <w:p w14:paraId="6ED4D1F1" w14:textId="77777777" w:rsidR="00A96CF7" w:rsidRPr="00147E8C" w:rsidRDefault="00A96CF7" w:rsidP="00A96CF7">
      <w:pPr>
        <w:spacing w:line="276" w:lineRule="auto"/>
        <w:rPr>
          <w:color w:val="000000" w:themeColor="text1"/>
          <w:lang w:val="en-US"/>
        </w:rPr>
      </w:pPr>
    </w:p>
    <w:p w14:paraId="7587104B" w14:textId="77777777" w:rsidR="00A96CF7" w:rsidRPr="00147E8C" w:rsidRDefault="00A96CF7" w:rsidP="00A96CF7">
      <w:pPr>
        <w:spacing w:line="276" w:lineRule="auto"/>
        <w:rPr>
          <w:color w:val="000000" w:themeColor="text1"/>
        </w:rPr>
      </w:pPr>
      <w:r w:rsidRPr="00147E8C">
        <w:rPr>
          <w:color w:val="000000" w:themeColor="text1"/>
        </w:rPr>
        <w:t>Garcia, M.A., Godek, W., Twyman, J. 2017. ‘A Mixed-Methods Approach to Unpacking Joint Decisions about Agricultural Production in Nicaragua and Colombia’. International Center for Tropical Agriculture (CIAT). Cali. CO. 81 p.</w:t>
      </w:r>
    </w:p>
    <w:p w14:paraId="5989164A" w14:textId="77777777" w:rsidR="00A96CF7" w:rsidRPr="00147E8C" w:rsidRDefault="00A96CF7" w:rsidP="00A96CF7">
      <w:pPr>
        <w:spacing w:line="276" w:lineRule="auto"/>
        <w:rPr>
          <w:color w:val="000000" w:themeColor="text1"/>
        </w:rPr>
      </w:pPr>
    </w:p>
    <w:p w14:paraId="7B28F743"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Gardiner, J. (1997) </w:t>
      </w:r>
      <w:r w:rsidRPr="00147E8C">
        <w:rPr>
          <w:i/>
          <w:iCs/>
          <w:color w:val="000000" w:themeColor="text1"/>
        </w:rPr>
        <w:t>Gender, care and economics</w:t>
      </w:r>
      <w:r w:rsidRPr="00147E8C">
        <w:rPr>
          <w:color w:val="000000" w:themeColor="text1"/>
        </w:rPr>
        <w:t>. London: MacMillan Press Ltd.</w:t>
      </w:r>
    </w:p>
    <w:p w14:paraId="6DA2B222" w14:textId="77777777" w:rsidR="00A96CF7" w:rsidRPr="00147E8C" w:rsidRDefault="00A96CF7" w:rsidP="00A96CF7">
      <w:pPr>
        <w:spacing w:line="276" w:lineRule="auto"/>
        <w:rPr>
          <w:color w:val="000000" w:themeColor="text1"/>
        </w:rPr>
      </w:pPr>
    </w:p>
    <w:p w14:paraId="1598B8AB" w14:textId="77777777" w:rsidR="00A96CF7" w:rsidRPr="00147E8C" w:rsidRDefault="00A96CF7" w:rsidP="00A96CF7">
      <w:pPr>
        <w:spacing w:line="276" w:lineRule="auto"/>
        <w:rPr>
          <w:color w:val="000000" w:themeColor="text1"/>
        </w:rPr>
      </w:pPr>
      <w:r w:rsidRPr="00147E8C">
        <w:rPr>
          <w:color w:val="000000" w:themeColor="text1"/>
        </w:rPr>
        <w:t xml:space="preserve">Gates, L. (2002) ‘The strategic uses of gender in household negotiations: women workers on Mexico's northern border’, </w:t>
      </w:r>
      <w:r w:rsidRPr="00147E8C">
        <w:rPr>
          <w:i/>
          <w:iCs/>
          <w:color w:val="000000" w:themeColor="text1"/>
        </w:rPr>
        <w:t>Bulletin of Latin American Research</w:t>
      </w:r>
      <w:r w:rsidRPr="00147E8C">
        <w:rPr>
          <w:color w:val="000000" w:themeColor="text1"/>
        </w:rPr>
        <w:t>, 21(4), pp.507-526.</w:t>
      </w:r>
    </w:p>
    <w:p w14:paraId="1EF12468" w14:textId="77777777" w:rsidR="00A96CF7" w:rsidRPr="00147E8C" w:rsidRDefault="00A96CF7" w:rsidP="00A96CF7">
      <w:pPr>
        <w:spacing w:line="276" w:lineRule="auto"/>
        <w:rPr>
          <w:color w:val="000000" w:themeColor="text1"/>
        </w:rPr>
      </w:pPr>
    </w:p>
    <w:p w14:paraId="240E6AAC" w14:textId="77777777" w:rsidR="00A96CF7" w:rsidRPr="00147E8C" w:rsidRDefault="00A96CF7" w:rsidP="00A96CF7">
      <w:pPr>
        <w:spacing w:line="276" w:lineRule="auto"/>
        <w:rPr>
          <w:color w:val="000000" w:themeColor="text1"/>
        </w:rPr>
      </w:pPr>
      <w:r w:rsidRPr="00147E8C">
        <w:rPr>
          <w:color w:val="000000" w:themeColor="text1"/>
        </w:rPr>
        <w:t xml:space="preserve">Gaventa, J. (2002) </w:t>
      </w:r>
      <w:r w:rsidRPr="00147E8C">
        <w:rPr>
          <w:i/>
          <w:color w:val="000000" w:themeColor="text1"/>
        </w:rPr>
        <w:t>Empowerment: a briefing not</w:t>
      </w:r>
      <w:r w:rsidRPr="00147E8C">
        <w:rPr>
          <w:color w:val="000000" w:themeColor="text1"/>
        </w:rPr>
        <w:t>e. Unpublished monograph. Brighton: Institute of Development Studies.</w:t>
      </w:r>
    </w:p>
    <w:p w14:paraId="581F077F" w14:textId="77777777" w:rsidR="00A96CF7" w:rsidRPr="00147E8C" w:rsidRDefault="00A96CF7" w:rsidP="00A96CF7">
      <w:pPr>
        <w:shd w:val="clear" w:color="auto" w:fill="FFFFFF"/>
        <w:spacing w:line="276" w:lineRule="auto"/>
        <w:rPr>
          <w:color w:val="000000" w:themeColor="text1"/>
          <w:lang w:val="en-US" w:eastAsia="es-NI"/>
        </w:rPr>
      </w:pPr>
    </w:p>
    <w:p w14:paraId="396F8A20" w14:textId="77777777" w:rsidR="00A96CF7" w:rsidRPr="00147E8C" w:rsidRDefault="00A96CF7" w:rsidP="00A96CF7">
      <w:pPr>
        <w:shd w:val="clear" w:color="auto" w:fill="FFFFFF"/>
        <w:spacing w:line="276" w:lineRule="auto"/>
        <w:rPr>
          <w:color w:val="000000" w:themeColor="text1"/>
          <w:lang w:val="es-NI" w:eastAsia="es-NI"/>
        </w:rPr>
      </w:pPr>
      <w:r w:rsidRPr="00147E8C">
        <w:rPr>
          <w:color w:val="000000" w:themeColor="text1"/>
          <w:lang w:val="en-US" w:eastAsia="es-NI"/>
        </w:rPr>
        <w:t xml:space="preserve">Geertz, C. (1973) </w:t>
      </w:r>
      <w:r w:rsidRPr="00147E8C">
        <w:rPr>
          <w:i/>
          <w:iCs/>
          <w:color w:val="000000" w:themeColor="text1"/>
          <w:lang w:val="en-US" w:eastAsia="es-NI"/>
        </w:rPr>
        <w:t>The Interpretation of Cultures</w:t>
      </w:r>
      <w:r w:rsidRPr="00147E8C">
        <w:rPr>
          <w:color w:val="000000" w:themeColor="text1"/>
          <w:lang w:val="en-US" w:eastAsia="es-NI"/>
        </w:rPr>
        <w:t xml:space="preserve">. </w:t>
      </w:r>
      <w:r w:rsidRPr="00147E8C">
        <w:rPr>
          <w:color w:val="000000" w:themeColor="text1"/>
          <w:lang w:val="es-NI" w:eastAsia="es-NI"/>
        </w:rPr>
        <w:t>New York: Basic Books.</w:t>
      </w:r>
    </w:p>
    <w:p w14:paraId="0712B230" w14:textId="77777777" w:rsidR="00A96CF7" w:rsidRPr="00147E8C" w:rsidRDefault="00A96CF7" w:rsidP="00A96CF7">
      <w:pPr>
        <w:shd w:val="clear" w:color="auto" w:fill="FFFFFF"/>
        <w:spacing w:line="276" w:lineRule="auto"/>
        <w:rPr>
          <w:color w:val="000000" w:themeColor="text1"/>
          <w:lang w:val="es-NI"/>
        </w:rPr>
      </w:pPr>
    </w:p>
    <w:p w14:paraId="734A96A1" w14:textId="77777777" w:rsidR="00A96CF7" w:rsidRPr="00147E8C" w:rsidRDefault="00A96CF7" w:rsidP="00A96CF7">
      <w:pPr>
        <w:shd w:val="clear" w:color="auto" w:fill="FFFFFF"/>
        <w:spacing w:line="276" w:lineRule="auto"/>
        <w:rPr>
          <w:color w:val="000000" w:themeColor="text1"/>
          <w:lang w:val="en-US" w:eastAsia="es-NI"/>
        </w:rPr>
      </w:pPr>
      <w:r w:rsidRPr="00147E8C">
        <w:rPr>
          <w:color w:val="000000" w:themeColor="text1"/>
          <w:lang w:val="es-NI" w:eastAsia="es-NI"/>
        </w:rPr>
        <w:t>General Assembly (2011)</w:t>
      </w:r>
      <w:r w:rsidRPr="00147E8C">
        <w:rPr>
          <w:i/>
          <w:color w:val="000000" w:themeColor="text1"/>
          <w:lang w:val="es-NI" w:eastAsia="es-NI"/>
        </w:rPr>
        <w:t xml:space="preserve">. Ley que declara el 19 de febrero de cada año, como “Día </w:t>
      </w:r>
      <w:r w:rsidRPr="00874F54">
        <w:rPr>
          <w:i/>
          <w:color w:val="000000" w:themeColor="text1"/>
          <w:lang w:val="es-NI" w:eastAsia="es-NI"/>
        </w:rPr>
        <w:t>nacional del cooperativismo en Nicaragua”.</w:t>
      </w:r>
      <w:r w:rsidRPr="00874F54">
        <w:rPr>
          <w:color w:val="000000" w:themeColor="text1"/>
          <w:lang w:val="es-NI" w:eastAsia="es-NI"/>
        </w:rPr>
        <w:t xml:space="preserve"> </w:t>
      </w:r>
      <w:r w:rsidRPr="00402556">
        <w:rPr>
          <w:rStyle w:val="Hyperlink"/>
          <w:rFonts w:eastAsiaTheme="majorEastAsia"/>
          <w:color w:val="000000" w:themeColor="text1"/>
          <w:u w:val="none"/>
          <w:lang w:eastAsia="es-NI"/>
        </w:rPr>
        <w:t>http://legislacion.asamblea.gob.ni/Diariodebate.nsf/1e91f0054ac77a85062572e50067fde4/c8ee7befbc5ed29a0625796400564a7c</w:t>
      </w:r>
      <w:r w:rsidRPr="00147E8C">
        <w:rPr>
          <w:color w:val="000000" w:themeColor="text1"/>
          <w:lang w:val="en-US" w:eastAsia="es-NI"/>
        </w:rPr>
        <w:t xml:space="preserve"> [Accessed 3rd April 2017].</w:t>
      </w:r>
    </w:p>
    <w:p w14:paraId="0F818B5D" w14:textId="77777777" w:rsidR="00A96CF7" w:rsidRPr="00147E8C" w:rsidRDefault="00A96CF7" w:rsidP="00A96CF7">
      <w:pPr>
        <w:spacing w:line="276" w:lineRule="auto"/>
        <w:rPr>
          <w:color w:val="000000" w:themeColor="text1"/>
        </w:rPr>
      </w:pPr>
    </w:p>
    <w:p w14:paraId="77CC1F69" w14:textId="77777777" w:rsidR="00A96CF7" w:rsidRPr="00147E8C" w:rsidRDefault="00A96CF7" w:rsidP="00A96CF7">
      <w:pPr>
        <w:spacing w:line="276" w:lineRule="auto"/>
        <w:rPr>
          <w:color w:val="000000" w:themeColor="text1"/>
        </w:rPr>
      </w:pPr>
      <w:r w:rsidRPr="00147E8C">
        <w:rPr>
          <w:color w:val="000000" w:themeColor="text1"/>
        </w:rPr>
        <w:t xml:space="preserve">GAD; </w:t>
      </w:r>
      <w:hyperlink r:id="rId44" w:tgtFrame="_blank" w:history="1">
        <w:r w:rsidRPr="00147E8C">
          <w:rPr>
            <w:rStyle w:val="Hyperlink"/>
            <w:rFonts w:eastAsiaTheme="majorEastAsia"/>
            <w:color w:val="000000" w:themeColor="text1"/>
            <w:shd w:val="clear" w:color="auto" w:fill="FFFFFF"/>
          </w:rPr>
          <w:t>GAPS UK</w:t>
        </w:r>
      </w:hyperlink>
      <w:r w:rsidRPr="00147E8C">
        <w:rPr>
          <w:color w:val="000000" w:themeColor="text1"/>
          <w:shd w:val="clear" w:color="auto" w:fill="FFFFFF"/>
        </w:rPr>
        <w:t> and the </w:t>
      </w:r>
      <w:hyperlink r:id="rId45" w:tgtFrame="_blank" w:history="1">
        <w:r w:rsidRPr="00147E8C">
          <w:rPr>
            <w:rStyle w:val="Hyperlink"/>
            <w:rFonts w:eastAsiaTheme="majorEastAsia"/>
            <w:color w:val="000000" w:themeColor="text1"/>
            <w:shd w:val="clear" w:color="auto" w:fill="FFFFFF"/>
          </w:rPr>
          <w:t>UK</w:t>
        </w:r>
      </w:hyperlink>
      <w:r w:rsidRPr="00147E8C">
        <w:rPr>
          <w:color w:val="000000" w:themeColor="text1"/>
        </w:rPr>
        <w:t>SRHR (2015)</w:t>
      </w:r>
      <w:r w:rsidRPr="00147E8C">
        <w:rPr>
          <w:color w:val="000000" w:themeColor="text1"/>
          <w:shd w:val="clear" w:color="auto" w:fill="FFFFFF"/>
        </w:rPr>
        <w:t>.</w:t>
      </w:r>
      <w:r w:rsidRPr="00147E8C">
        <w:rPr>
          <w:color w:val="000000" w:themeColor="text1"/>
        </w:rPr>
        <w:t xml:space="preserve"> </w:t>
      </w:r>
      <w:r w:rsidRPr="00147E8C">
        <w:rPr>
          <w:i/>
          <w:color w:val="000000" w:themeColor="text1"/>
        </w:rPr>
        <w:t>Turning promises into progress: gender equality and rights for women and girls- lessons learnt and actions needed</w:t>
      </w:r>
      <w:r w:rsidRPr="00147E8C">
        <w:rPr>
          <w:color w:val="000000" w:themeColor="text1"/>
        </w:rPr>
        <w:t xml:space="preserve">. [Online]. London:  GAD, GAPS, UKSRHR. Available from: </w:t>
      </w:r>
      <w:r w:rsidRPr="00402556">
        <w:rPr>
          <w:rStyle w:val="Hyperlink"/>
          <w:rFonts w:eastAsiaTheme="majorEastAsia"/>
          <w:color w:val="000000" w:themeColor="text1"/>
          <w:u w:val="none"/>
        </w:rPr>
        <w:t>https://static1.squarespace.com/static/536c4ee8e4b0b60bc6ca7c74/t/550ab0f6e4b048091fe0b18d/1426764022144/Turning+Promises+into+Pregrees+FINAL.pdf</w:t>
      </w:r>
      <w:r w:rsidRPr="00147E8C">
        <w:rPr>
          <w:color w:val="000000" w:themeColor="text1"/>
        </w:rPr>
        <w:t xml:space="preserve"> [Accessed 7</w:t>
      </w:r>
      <w:r>
        <w:rPr>
          <w:color w:val="000000" w:themeColor="text1"/>
        </w:rPr>
        <w:t>th</w:t>
      </w:r>
      <w:r w:rsidRPr="00147E8C">
        <w:rPr>
          <w:color w:val="000000" w:themeColor="text1"/>
        </w:rPr>
        <w:t xml:space="preserve"> March 2017]. </w:t>
      </w:r>
    </w:p>
    <w:p w14:paraId="6CDDFAEC"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Gibson-Graham, J.K (1996) </w:t>
      </w:r>
      <w:r w:rsidRPr="00147E8C">
        <w:rPr>
          <w:i/>
          <w:iCs/>
          <w:color w:val="000000" w:themeColor="text1"/>
        </w:rPr>
        <w:t>The end of capitalism (as we knew it): a feminist critique of political economy</w:t>
      </w:r>
      <w:r w:rsidRPr="00147E8C">
        <w:rPr>
          <w:color w:val="000000" w:themeColor="text1"/>
        </w:rPr>
        <w:t>. Minneapolis: University of Minnesota Press.</w:t>
      </w:r>
    </w:p>
    <w:p w14:paraId="1AF032A3"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Gibson-Graham, J.K. (2006) ‘Imagining and enacting a post capitalist feminist economic politics’, </w:t>
      </w:r>
      <w:r w:rsidRPr="00147E8C">
        <w:rPr>
          <w:i/>
          <w:color w:val="000000" w:themeColor="text1"/>
        </w:rPr>
        <w:t>Women’s Studies Quarterly</w:t>
      </w:r>
      <w:r w:rsidRPr="00147E8C">
        <w:rPr>
          <w:color w:val="000000" w:themeColor="text1"/>
        </w:rPr>
        <w:t xml:space="preserve"> 34 (1-2), pp.72-78. </w:t>
      </w:r>
    </w:p>
    <w:p w14:paraId="0BD35748" w14:textId="77777777" w:rsidR="00A96CF7" w:rsidRPr="00147E8C" w:rsidRDefault="00A96CF7" w:rsidP="00A96CF7">
      <w:pPr>
        <w:spacing w:line="276" w:lineRule="auto"/>
        <w:rPr>
          <w:color w:val="000000" w:themeColor="text1"/>
        </w:rPr>
      </w:pPr>
      <w:r w:rsidRPr="00147E8C">
        <w:rPr>
          <w:color w:val="000000" w:themeColor="text1"/>
        </w:rPr>
        <w:t xml:space="preserve">Gilbert D. and Block, D. (1990) </w:t>
      </w:r>
      <w:r w:rsidRPr="00147E8C">
        <w:rPr>
          <w:i/>
          <w:color w:val="000000" w:themeColor="text1"/>
        </w:rPr>
        <w:t xml:space="preserve">Sandinistas: key documents/documentos clave. </w:t>
      </w:r>
      <w:r w:rsidRPr="00147E8C">
        <w:rPr>
          <w:color w:val="000000" w:themeColor="text1"/>
        </w:rPr>
        <w:t>Ithaca:</w:t>
      </w:r>
      <w:r w:rsidRPr="00147E8C">
        <w:rPr>
          <w:i/>
          <w:color w:val="000000" w:themeColor="text1"/>
        </w:rPr>
        <w:t xml:space="preserve"> </w:t>
      </w:r>
      <w:r w:rsidRPr="00147E8C">
        <w:rPr>
          <w:color w:val="000000" w:themeColor="text1"/>
        </w:rPr>
        <w:t xml:space="preserve"> Latin American Studies Program, Cornell University.</w:t>
      </w:r>
    </w:p>
    <w:p w14:paraId="45C8243F" w14:textId="77777777" w:rsidR="00A96CF7" w:rsidRPr="00147E8C" w:rsidRDefault="00A96CF7" w:rsidP="00A96CF7">
      <w:pPr>
        <w:spacing w:line="276" w:lineRule="auto"/>
        <w:rPr>
          <w:color w:val="000000" w:themeColor="text1"/>
        </w:rPr>
      </w:pPr>
    </w:p>
    <w:p w14:paraId="2A235C7B" w14:textId="77777777" w:rsidR="00A96CF7" w:rsidRPr="00147E8C" w:rsidRDefault="00A96CF7" w:rsidP="00A96CF7">
      <w:pPr>
        <w:spacing w:line="276" w:lineRule="auto"/>
        <w:rPr>
          <w:color w:val="000000" w:themeColor="text1"/>
        </w:rPr>
      </w:pPr>
      <w:r w:rsidRPr="00147E8C">
        <w:rPr>
          <w:color w:val="000000" w:themeColor="text1"/>
        </w:rPr>
        <w:t xml:space="preserve">Glucksmann, M. (1994) ‘The work of knowledge and the knowledge of women’s work’ in Maynard, M. and Purvis, J. (eds) </w:t>
      </w:r>
      <w:r w:rsidRPr="00147E8C">
        <w:rPr>
          <w:i/>
          <w:color w:val="000000" w:themeColor="text1"/>
        </w:rPr>
        <w:t>Researching women’s lives from a feminist perspective</w:t>
      </w:r>
      <w:r w:rsidRPr="00147E8C">
        <w:rPr>
          <w:color w:val="000000" w:themeColor="text1"/>
        </w:rPr>
        <w:t xml:space="preserve">. London: Taylor &amp; Francis. pp. 149–65. </w:t>
      </w:r>
    </w:p>
    <w:p w14:paraId="299F9B20" w14:textId="77777777" w:rsidR="00A96CF7" w:rsidRPr="00147E8C" w:rsidRDefault="00A96CF7" w:rsidP="00A96CF7">
      <w:pPr>
        <w:spacing w:line="276" w:lineRule="auto"/>
        <w:rPr>
          <w:color w:val="000000" w:themeColor="text1"/>
        </w:rPr>
      </w:pPr>
    </w:p>
    <w:p w14:paraId="6B0ED631" w14:textId="77777777" w:rsidR="00A96CF7" w:rsidRPr="00147E8C" w:rsidRDefault="00A96CF7" w:rsidP="00A96CF7">
      <w:pPr>
        <w:spacing w:line="276" w:lineRule="auto"/>
        <w:rPr>
          <w:color w:val="000000" w:themeColor="text1"/>
          <w:lang w:val="en-US"/>
        </w:rPr>
      </w:pPr>
      <w:r w:rsidRPr="00147E8C">
        <w:rPr>
          <w:color w:val="000000" w:themeColor="text1"/>
          <w:lang w:val="en-US"/>
        </w:rPr>
        <w:t>Godek, W., and Garcia, M.A. (2018). Unpacking Intra-Household Decision-Making on Smallholder Farms in Colombia and Nicaragua to Foster Climate Change Adaptation.  Congress of the Latin American Studies Association, Barcelona, Spain. Lasa paper</w:t>
      </w:r>
    </w:p>
    <w:p w14:paraId="333BFF27" w14:textId="77777777" w:rsidR="00A96CF7" w:rsidRPr="00147E8C" w:rsidRDefault="00A96CF7" w:rsidP="00A96CF7">
      <w:pPr>
        <w:spacing w:line="276" w:lineRule="auto"/>
        <w:rPr>
          <w:color w:val="000000" w:themeColor="text1"/>
        </w:rPr>
      </w:pPr>
    </w:p>
    <w:p w14:paraId="1FB83DA2" w14:textId="77777777" w:rsidR="00A96CF7" w:rsidRPr="00147E8C" w:rsidRDefault="00A96CF7" w:rsidP="00A96CF7">
      <w:pPr>
        <w:spacing w:line="276" w:lineRule="auto"/>
        <w:rPr>
          <w:color w:val="000000" w:themeColor="text1"/>
          <w:lang w:val="en-US"/>
        </w:rPr>
      </w:pPr>
      <w:r w:rsidRPr="00147E8C">
        <w:rPr>
          <w:color w:val="000000" w:themeColor="text1"/>
          <w:lang w:val="en-US"/>
        </w:rPr>
        <w:t>Goetz, A. M., and Gupta, R. S. (1996) ‘</w:t>
      </w:r>
      <w:r w:rsidRPr="00147E8C">
        <w:rPr>
          <w:color w:val="000000" w:themeColor="text1"/>
        </w:rPr>
        <w:t xml:space="preserve">Who takes the credit? Gender, power, and control over loan use in rural credit programs in Bangladesh’, </w:t>
      </w:r>
      <w:r w:rsidRPr="00147E8C">
        <w:rPr>
          <w:i/>
          <w:color w:val="000000" w:themeColor="text1"/>
          <w:lang w:val="en-US"/>
        </w:rPr>
        <w:t>World Development</w:t>
      </w:r>
      <w:r w:rsidRPr="00147E8C">
        <w:rPr>
          <w:color w:val="000000" w:themeColor="text1"/>
          <w:lang w:val="en-US"/>
        </w:rPr>
        <w:t xml:space="preserve">, 24 (1), pp. 45–63. </w:t>
      </w:r>
    </w:p>
    <w:p w14:paraId="7A2127BF" w14:textId="77777777" w:rsidR="00A96CF7" w:rsidRPr="00147E8C" w:rsidRDefault="00A96CF7" w:rsidP="00A96CF7">
      <w:pPr>
        <w:spacing w:line="276" w:lineRule="auto"/>
        <w:rPr>
          <w:color w:val="000000" w:themeColor="text1"/>
        </w:rPr>
      </w:pPr>
    </w:p>
    <w:p w14:paraId="64FEB78E" w14:textId="77777777" w:rsidR="00A96CF7" w:rsidRPr="00147E8C" w:rsidRDefault="00A96CF7" w:rsidP="00A96CF7">
      <w:pPr>
        <w:spacing w:line="276" w:lineRule="auto"/>
        <w:rPr>
          <w:color w:val="000000" w:themeColor="text1"/>
        </w:rPr>
      </w:pPr>
      <w:r w:rsidRPr="00147E8C">
        <w:rPr>
          <w:color w:val="000000" w:themeColor="text1"/>
        </w:rPr>
        <w:t xml:space="preserve">Goldschmidt-Clermont, L. (1987) </w:t>
      </w:r>
      <w:r w:rsidRPr="00147E8C">
        <w:rPr>
          <w:i/>
          <w:iCs/>
          <w:color w:val="000000" w:themeColor="text1"/>
        </w:rPr>
        <w:t>Economic evaluations of unpaid household work: Africa, Asia, Latin America and Oceania</w:t>
      </w:r>
      <w:r w:rsidRPr="00147E8C">
        <w:rPr>
          <w:color w:val="000000" w:themeColor="text1"/>
        </w:rPr>
        <w:t>. Women, Work and Development Series no. 14. Geneva: ILO.</w:t>
      </w:r>
    </w:p>
    <w:p w14:paraId="1AD4B574" w14:textId="77777777" w:rsidR="00A96CF7" w:rsidRPr="00147E8C" w:rsidRDefault="00A96CF7" w:rsidP="00A96CF7">
      <w:pPr>
        <w:spacing w:line="276" w:lineRule="auto"/>
        <w:rPr>
          <w:color w:val="000000" w:themeColor="text1"/>
        </w:rPr>
      </w:pPr>
    </w:p>
    <w:p w14:paraId="6D41E812" w14:textId="77777777" w:rsidR="00A96CF7" w:rsidRPr="00147E8C" w:rsidRDefault="00A96CF7" w:rsidP="00A96CF7">
      <w:pPr>
        <w:spacing w:line="276" w:lineRule="auto"/>
        <w:rPr>
          <w:color w:val="000000" w:themeColor="text1"/>
          <w:lang w:val="en-US"/>
        </w:rPr>
      </w:pPr>
      <w:r w:rsidRPr="00147E8C">
        <w:rPr>
          <w:color w:val="000000" w:themeColor="text1"/>
        </w:rPr>
        <w:t xml:space="preserve">Goldschmidt-Clermont, L. (1989) </w:t>
      </w:r>
      <w:r w:rsidRPr="00147E8C">
        <w:rPr>
          <w:i/>
          <w:iCs/>
          <w:color w:val="000000" w:themeColor="text1"/>
        </w:rPr>
        <w:t xml:space="preserve">Unpaid work in the household: a review of economic evaluation methods. </w:t>
      </w:r>
      <w:r w:rsidRPr="00147E8C">
        <w:rPr>
          <w:color w:val="000000" w:themeColor="text1"/>
          <w:lang w:val="en-US"/>
        </w:rPr>
        <w:t>Women, Work and Development Series no. 1. Geneva: ILO.</w:t>
      </w:r>
    </w:p>
    <w:p w14:paraId="1470FEF1"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Goldschmidt-Clermont, L. (1990) ‘Economic measurement of non-market activities: is it useful and feasible?’, </w:t>
      </w:r>
      <w:r w:rsidRPr="00147E8C">
        <w:rPr>
          <w:i/>
          <w:color w:val="000000" w:themeColor="text1"/>
        </w:rPr>
        <w:t>International Labour Review 1</w:t>
      </w:r>
      <w:r w:rsidRPr="00147E8C">
        <w:rPr>
          <w:color w:val="000000" w:themeColor="text1"/>
        </w:rPr>
        <w:t>29 (3), pp 279-299.</w:t>
      </w:r>
    </w:p>
    <w:p w14:paraId="4DF11587"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Golla, A. M., Malhotra, A., Nanda, P. and Mehra, R. (2011) </w:t>
      </w:r>
      <w:r w:rsidRPr="00147E8C">
        <w:rPr>
          <w:i/>
          <w:iCs/>
          <w:color w:val="000000" w:themeColor="text1"/>
        </w:rPr>
        <w:t>Understanding and Measuring Women’s Economic Empowerment: Definitions, Frameworks and Indicators</w:t>
      </w:r>
      <w:r w:rsidRPr="00147E8C">
        <w:rPr>
          <w:color w:val="000000" w:themeColor="text1"/>
        </w:rPr>
        <w:t>, Washington, DC: International Center for Research on Women</w:t>
      </w:r>
    </w:p>
    <w:p w14:paraId="34D3BBCD"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Gomez, M. E. (2016a). </w:t>
      </w:r>
      <w:r w:rsidRPr="00147E8C">
        <w:rPr>
          <w:i/>
          <w:iCs/>
          <w:color w:val="000000" w:themeColor="text1"/>
          <w:lang w:val="es-NI"/>
        </w:rPr>
        <w:t>Mujeres que sostienen la vida: retos para los feminismos desde la realidad nicaragüense</w:t>
      </w:r>
      <w:r w:rsidRPr="00147E8C">
        <w:rPr>
          <w:bCs/>
          <w:i/>
          <w:iCs/>
          <w:color w:val="000000" w:themeColor="text1"/>
          <w:lang w:val="es-NI"/>
        </w:rPr>
        <w:t xml:space="preserve">. </w:t>
      </w:r>
      <w:r w:rsidRPr="00147E8C">
        <w:rPr>
          <w:bCs/>
          <w:color w:val="000000" w:themeColor="text1"/>
          <w:lang w:val="es-NI"/>
        </w:rPr>
        <w:t>Matagalpa: Grupo Venancia.</w:t>
      </w:r>
    </w:p>
    <w:p w14:paraId="39D8868F" w14:textId="77777777" w:rsidR="00A96CF7" w:rsidRPr="00147E8C" w:rsidRDefault="00A96CF7" w:rsidP="00A96CF7">
      <w:pPr>
        <w:spacing w:line="276" w:lineRule="auto"/>
        <w:rPr>
          <w:color w:val="000000" w:themeColor="text1"/>
          <w:lang w:val="es-NI"/>
        </w:rPr>
      </w:pPr>
    </w:p>
    <w:p w14:paraId="42AEE2AF" w14:textId="77777777" w:rsidR="00A96CF7" w:rsidRPr="00147E8C" w:rsidRDefault="00A96CF7" w:rsidP="00A96CF7">
      <w:pPr>
        <w:spacing w:line="276" w:lineRule="auto"/>
        <w:rPr>
          <w:color w:val="000000" w:themeColor="text1"/>
          <w:lang w:val="es-ES"/>
        </w:rPr>
      </w:pPr>
      <w:r w:rsidRPr="00147E8C">
        <w:rPr>
          <w:color w:val="000000" w:themeColor="text1"/>
          <w:lang w:val="es-ES"/>
        </w:rPr>
        <w:t xml:space="preserve">Gomez, M.E. (2016b) ‘El trabajo invisible que sostiene la vida: Como han sido abordados los cuidados por las feministas en Nicaragua’, in Pérez Orozco, A. and Grupo Venancia (eds.) </w:t>
      </w:r>
      <w:r w:rsidRPr="00147E8C">
        <w:rPr>
          <w:i/>
          <w:color w:val="000000" w:themeColor="text1"/>
          <w:lang w:val="es-ES"/>
        </w:rPr>
        <w:t xml:space="preserve">Mujeres que sostiene la vida: retos para los feminismos desde la realidad nicaragüense. </w:t>
      </w:r>
      <w:r w:rsidRPr="00147E8C">
        <w:rPr>
          <w:color w:val="000000" w:themeColor="text1"/>
          <w:lang w:val="es-ES"/>
        </w:rPr>
        <w:t>Matagalpa: Grupo Venancia</w:t>
      </w:r>
      <w:r w:rsidRPr="00147E8C">
        <w:rPr>
          <w:i/>
          <w:color w:val="000000" w:themeColor="text1"/>
          <w:lang w:val="es-ES"/>
        </w:rPr>
        <w:t>.</w:t>
      </w:r>
    </w:p>
    <w:p w14:paraId="4A3B1908" w14:textId="77777777" w:rsidR="00A96CF7" w:rsidRPr="00147E8C" w:rsidRDefault="00A96CF7" w:rsidP="00A96CF7">
      <w:pPr>
        <w:spacing w:line="276" w:lineRule="auto"/>
        <w:rPr>
          <w:color w:val="000000" w:themeColor="text1"/>
          <w:lang w:val="es-NI"/>
        </w:rPr>
      </w:pPr>
    </w:p>
    <w:p w14:paraId="583C305B"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Gomez, M.E. and Orozco, A. (2016) ‘Resolviendo la vida, renegociando los cuidados: una lectura feminista de las prácticas de cuidados en Matagalpa’ in Portocarrero, A. and Larracoechea, E (eds) </w:t>
      </w:r>
      <w:r w:rsidRPr="00147E8C">
        <w:rPr>
          <w:i/>
          <w:iCs/>
          <w:color w:val="000000" w:themeColor="text1"/>
          <w:lang w:val="es-NI"/>
        </w:rPr>
        <w:t xml:space="preserve">Las resistencias nuestras de cada día: subversiones cotidianas a las violencias simbólicas y materiales. </w:t>
      </w:r>
      <w:r w:rsidRPr="00147E8C">
        <w:rPr>
          <w:color w:val="000000" w:themeColor="text1"/>
          <w:lang w:val="es-NI"/>
        </w:rPr>
        <w:t xml:space="preserve">Managua: Programa Interdisciplinario de Estudios de Género / Fondo de Población de las Naciones Unidas Nicaragua (UNFPA). </w:t>
      </w:r>
    </w:p>
    <w:p w14:paraId="1817F4D8" w14:textId="77777777" w:rsidR="00A96CF7" w:rsidRPr="00147E8C" w:rsidRDefault="00A96CF7" w:rsidP="00A96CF7">
      <w:pPr>
        <w:spacing w:line="276" w:lineRule="auto"/>
        <w:rPr>
          <w:color w:val="000000" w:themeColor="text1"/>
          <w:lang w:val="es-NI"/>
        </w:rPr>
      </w:pPr>
    </w:p>
    <w:p w14:paraId="6A18B784"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Gonda, N. (2014) </w:t>
      </w:r>
      <w:r w:rsidRPr="00147E8C">
        <w:rPr>
          <w:i/>
          <w:iCs/>
          <w:color w:val="000000" w:themeColor="text1"/>
          <w:lang w:val="es-NI"/>
        </w:rPr>
        <w:t>Puesta en común y sistematización de experiencias sobre la integración de la perspectiva de género en la adaptación al cambio climático en el ámbito rural en Nicaragua. </w:t>
      </w:r>
      <w:r w:rsidRPr="00147E8C">
        <w:rPr>
          <w:color w:val="000000" w:themeColor="text1"/>
          <w:lang w:val="es-NI"/>
        </w:rPr>
        <w:t>Managua: Agrónomos y Veterinarios Sin Fronteras/ Programa de las Naciones Unidas para el Desarrollo (PNUD).  </w:t>
      </w:r>
    </w:p>
    <w:p w14:paraId="514533DF" w14:textId="77777777" w:rsidR="00A96CF7" w:rsidRPr="00147E8C" w:rsidRDefault="00A96CF7" w:rsidP="00A96CF7">
      <w:pPr>
        <w:spacing w:line="276" w:lineRule="auto"/>
        <w:rPr>
          <w:color w:val="000000" w:themeColor="text1"/>
          <w:lang w:val="es-NI"/>
        </w:rPr>
      </w:pPr>
    </w:p>
    <w:p w14:paraId="66E3C195" w14:textId="77777777" w:rsidR="00A96CF7" w:rsidRPr="00147E8C" w:rsidRDefault="00A96CF7" w:rsidP="00A96CF7">
      <w:pPr>
        <w:spacing w:line="276" w:lineRule="auto"/>
        <w:rPr>
          <w:color w:val="000000" w:themeColor="text1"/>
        </w:rPr>
      </w:pPr>
      <w:r w:rsidRPr="00147E8C">
        <w:rPr>
          <w:color w:val="000000" w:themeColor="text1"/>
        </w:rPr>
        <w:t xml:space="preserve">Gonda, N. (2017) ‘Rural masculinities in tension: barriers to climate change adaptation in Nicaragua.’, in: MacGregor, S and Seymour, N. (eds.) </w:t>
      </w:r>
      <w:r w:rsidRPr="00147E8C">
        <w:rPr>
          <w:i/>
          <w:color w:val="000000" w:themeColor="text1"/>
        </w:rPr>
        <w:t>Men and nature: hegemonic masculinities and environmental change,</w:t>
      </w:r>
      <w:r w:rsidRPr="00147E8C">
        <w:rPr>
          <w:color w:val="000000" w:themeColor="text1"/>
        </w:rPr>
        <w:t xml:space="preserve"> </w:t>
      </w:r>
      <w:r w:rsidRPr="00147E8C">
        <w:rPr>
          <w:i/>
          <w:color w:val="000000" w:themeColor="text1"/>
        </w:rPr>
        <w:t>RCC Perspectives: Transformations in Environment and Society 2017</w:t>
      </w:r>
      <w:r w:rsidRPr="00147E8C">
        <w:rPr>
          <w:color w:val="000000" w:themeColor="text1"/>
        </w:rPr>
        <w:t>, No. 4, pp. 69–76. doi.org/10.5282/rcc/7985.</w:t>
      </w:r>
    </w:p>
    <w:p w14:paraId="4A866D96" w14:textId="77777777" w:rsidR="00A96CF7" w:rsidRPr="00147E8C" w:rsidRDefault="00A96CF7" w:rsidP="00A96CF7">
      <w:pPr>
        <w:spacing w:line="276" w:lineRule="auto"/>
        <w:rPr>
          <w:color w:val="000000" w:themeColor="text1"/>
        </w:rPr>
      </w:pPr>
    </w:p>
    <w:p w14:paraId="2226E205" w14:textId="77777777" w:rsidR="00A96CF7" w:rsidRPr="00147E8C" w:rsidRDefault="00A96CF7" w:rsidP="00A96CF7">
      <w:pPr>
        <w:spacing w:line="276" w:lineRule="auto"/>
        <w:rPr>
          <w:color w:val="000000" w:themeColor="text1"/>
        </w:rPr>
      </w:pPr>
      <w:r w:rsidRPr="00147E8C">
        <w:rPr>
          <w:color w:val="000000" w:themeColor="text1"/>
        </w:rPr>
        <w:t xml:space="preserve">González Manchón, B., and Macleod, M. (2010) ‘Challenging gender inequality in farmers organisations in Nicaragua’, </w:t>
      </w:r>
      <w:r w:rsidRPr="00147E8C">
        <w:rPr>
          <w:i/>
          <w:color w:val="000000" w:themeColor="text1"/>
        </w:rPr>
        <w:t>Gender and Development</w:t>
      </w:r>
      <w:r w:rsidRPr="00147E8C">
        <w:rPr>
          <w:color w:val="000000" w:themeColor="text1"/>
        </w:rPr>
        <w:t>, 18(3). pp. 373-86.</w:t>
      </w:r>
    </w:p>
    <w:p w14:paraId="48B99B14" w14:textId="77777777" w:rsidR="00A96CF7" w:rsidRPr="00147E8C" w:rsidRDefault="00A96CF7" w:rsidP="00A96CF7">
      <w:pPr>
        <w:pStyle w:val="NormalWeb"/>
        <w:spacing w:line="276" w:lineRule="auto"/>
        <w:rPr>
          <w:color w:val="000000" w:themeColor="text1"/>
        </w:rPr>
      </w:pPr>
      <w:r w:rsidRPr="00147E8C">
        <w:rPr>
          <w:color w:val="000000" w:themeColor="text1"/>
        </w:rPr>
        <w:lastRenderedPageBreak/>
        <w:t xml:space="preserve">Gordon, L. (1990) </w:t>
      </w:r>
      <w:r w:rsidRPr="00147E8C">
        <w:rPr>
          <w:i/>
          <w:color w:val="000000" w:themeColor="text1"/>
        </w:rPr>
        <w:t>Women: the state and welfare</w:t>
      </w:r>
      <w:r w:rsidRPr="00147E8C">
        <w:rPr>
          <w:color w:val="000000" w:themeColor="text1"/>
        </w:rPr>
        <w:t xml:space="preserve">. University of Wisconsin, Madison. </w:t>
      </w:r>
    </w:p>
    <w:p w14:paraId="137F3020"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Grosser, K., and Moon, J. (2005) ‘Gender mainstreaming and corporate social responsibility: reporting workplace issues’, </w:t>
      </w:r>
      <w:r w:rsidRPr="00147E8C">
        <w:rPr>
          <w:bCs/>
          <w:i/>
          <w:iCs/>
          <w:color w:val="000000" w:themeColor="text1"/>
        </w:rPr>
        <w:t>Journal of Business Ethics</w:t>
      </w:r>
      <w:r w:rsidRPr="00147E8C">
        <w:rPr>
          <w:color w:val="000000" w:themeColor="text1"/>
        </w:rPr>
        <w:t>, 62(4), pp.327–340.  </w:t>
      </w:r>
    </w:p>
    <w:p w14:paraId="1165F7A5" w14:textId="77777777" w:rsidR="00A96CF7" w:rsidRPr="00147E8C" w:rsidRDefault="00A96CF7" w:rsidP="00A96CF7">
      <w:pPr>
        <w:spacing w:line="276" w:lineRule="auto"/>
        <w:rPr>
          <w:color w:val="000000" w:themeColor="text1"/>
        </w:rPr>
      </w:pPr>
      <w:r w:rsidRPr="00147E8C">
        <w:rPr>
          <w:color w:val="000000" w:themeColor="text1"/>
          <w:lang w:val="en-US"/>
        </w:rPr>
        <w:t xml:space="preserve">Guijt, I., and Shah, K. (1999) </w:t>
      </w:r>
      <w:r w:rsidRPr="00147E8C">
        <w:rPr>
          <w:i/>
          <w:iCs/>
          <w:color w:val="000000" w:themeColor="text1"/>
          <w:lang w:val="en-US"/>
        </w:rPr>
        <w:t>The Myth of the community</w:t>
      </w:r>
      <w:r w:rsidRPr="00147E8C">
        <w:rPr>
          <w:color w:val="000000" w:themeColor="text1"/>
          <w:lang w:val="en-US"/>
        </w:rPr>
        <w:t>. London: Int</w:t>
      </w:r>
      <w:r w:rsidRPr="00147E8C">
        <w:rPr>
          <w:color w:val="000000" w:themeColor="text1"/>
        </w:rPr>
        <w:t>ermediate Technology Publications.</w:t>
      </w:r>
    </w:p>
    <w:p w14:paraId="0FDA3B61" w14:textId="77777777" w:rsidR="00A96CF7" w:rsidRPr="00147E8C" w:rsidRDefault="00A96CF7" w:rsidP="00A96CF7">
      <w:pPr>
        <w:spacing w:line="276" w:lineRule="auto"/>
        <w:rPr>
          <w:color w:val="000000" w:themeColor="text1"/>
        </w:rPr>
      </w:pPr>
    </w:p>
    <w:p w14:paraId="4224A1D3" w14:textId="77777777" w:rsidR="00A96CF7" w:rsidRPr="00147E8C" w:rsidRDefault="00A96CF7" w:rsidP="00A96CF7">
      <w:pPr>
        <w:spacing w:line="276" w:lineRule="auto"/>
        <w:rPr>
          <w:color w:val="000000" w:themeColor="text1"/>
        </w:rPr>
      </w:pPr>
      <w:r w:rsidRPr="00147E8C">
        <w:rPr>
          <w:color w:val="000000" w:themeColor="text1"/>
        </w:rPr>
        <w:t xml:space="preserve">Guimaraes, E. (2007) ‘Feminist research practice: using conversation analysis to explore the researcher's interaction with participants’, </w:t>
      </w:r>
      <w:r w:rsidRPr="00147E8C">
        <w:rPr>
          <w:i/>
          <w:iCs/>
          <w:color w:val="000000" w:themeColor="text1"/>
        </w:rPr>
        <w:t>Feminism &amp; Psychology</w:t>
      </w:r>
      <w:r w:rsidRPr="00147E8C">
        <w:rPr>
          <w:color w:val="000000" w:themeColor="text1"/>
        </w:rPr>
        <w:t xml:space="preserve">, 17 (2), pp.149–161. </w:t>
      </w:r>
    </w:p>
    <w:p w14:paraId="1260EE3A" w14:textId="77777777" w:rsidR="00A96CF7" w:rsidRPr="00147E8C" w:rsidRDefault="00A96CF7" w:rsidP="00A96CF7">
      <w:pPr>
        <w:spacing w:line="276" w:lineRule="auto"/>
        <w:rPr>
          <w:color w:val="000000" w:themeColor="text1"/>
          <w:lang w:val="en-US"/>
        </w:rPr>
      </w:pPr>
    </w:p>
    <w:p w14:paraId="2B9FE0FE" w14:textId="77777777" w:rsidR="00A96CF7" w:rsidRPr="00147E8C" w:rsidRDefault="00A96CF7" w:rsidP="00A96CF7">
      <w:pPr>
        <w:spacing w:line="276" w:lineRule="auto"/>
        <w:rPr>
          <w:i/>
          <w:color w:val="000000" w:themeColor="text1"/>
          <w:lang w:val="es-NI"/>
        </w:rPr>
      </w:pPr>
      <w:r w:rsidRPr="00147E8C">
        <w:rPr>
          <w:color w:val="000000" w:themeColor="text1"/>
          <w:lang w:val="es-NI"/>
        </w:rPr>
        <w:t xml:space="preserve">Hagene, T. (2008) </w:t>
      </w:r>
      <w:r w:rsidRPr="00147E8C">
        <w:rPr>
          <w:i/>
          <w:color w:val="000000" w:themeColor="text1"/>
          <w:lang w:val="es-NI"/>
        </w:rPr>
        <w:t>Amor y Trabajo, historias y memorias de una cooperativa y sus mujeres.</w:t>
      </w:r>
    </w:p>
    <w:p w14:paraId="2F873369" w14:textId="77777777" w:rsidR="00A96CF7" w:rsidRPr="00147E8C" w:rsidRDefault="00A96CF7" w:rsidP="00A96CF7">
      <w:pPr>
        <w:spacing w:line="276" w:lineRule="auto"/>
        <w:rPr>
          <w:color w:val="000000" w:themeColor="text1"/>
          <w:lang w:val="es-NI"/>
        </w:rPr>
      </w:pPr>
      <w:r w:rsidRPr="00147E8C">
        <w:rPr>
          <w:i/>
          <w:color w:val="000000" w:themeColor="text1"/>
          <w:lang w:val="es-NI"/>
        </w:rPr>
        <w:t>Nicaragua 1983-2000.</w:t>
      </w:r>
      <w:r w:rsidRPr="00147E8C">
        <w:rPr>
          <w:color w:val="000000" w:themeColor="text1"/>
          <w:lang w:val="es-NI"/>
        </w:rPr>
        <w:t xml:space="preserve"> México: Plaza y Valdés Editores.</w:t>
      </w:r>
    </w:p>
    <w:p w14:paraId="70CC1364" w14:textId="77777777" w:rsidR="00A96CF7" w:rsidRPr="00147E8C" w:rsidRDefault="00A96CF7" w:rsidP="00A96CF7">
      <w:pPr>
        <w:spacing w:line="276" w:lineRule="auto"/>
        <w:rPr>
          <w:color w:val="000000" w:themeColor="text1"/>
          <w:lang w:val="es-NI"/>
        </w:rPr>
      </w:pPr>
    </w:p>
    <w:p w14:paraId="6010D1C5" w14:textId="77777777" w:rsidR="00A96CF7" w:rsidRPr="00147E8C" w:rsidRDefault="00A96CF7" w:rsidP="00A96CF7">
      <w:pPr>
        <w:spacing w:line="276" w:lineRule="auto"/>
        <w:rPr>
          <w:color w:val="000000" w:themeColor="text1"/>
        </w:rPr>
      </w:pPr>
      <w:r w:rsidRPr="00147E8C">
        <w:rPr>
          <w:color w:val="000000" w:themeColor="text1"/>
        </w:rPr>
        <w:t xml:space="preserve">Hahn Tapper, A. (2013) ‘A pedagogy of social justice education: social identity theory, intersectionality, and empowerment’, </w:t>
      </w:r>
      <w:r w:rsidRPr="00147E8C">
        <w:rPr>
          <w:i/>
          <w:iCs/>
          <w:color w:val="000000" w:themeColor="text1"/>
        </w:rPr>
        <w:t>Conflict Resolution Quarterly</w:t>
      </w:r>
      <w:r w:rsidRPr="00147E8C">
        <w:rPr>
          <w:color w:val="000000" w:themeColor="text1"/>
        </w:rPr>
        <w:t>, 30(4), pp.411-445.</w:t>
      </w:r>
    </w:p>
    <w:p w14:paraId="004C68E2" w14:textId="77777777" w:rsidR="00A96CF7" w:rsidRPr="00147E8C" w:rsidRDefault="00A96CF7" w:rsidP="00A96CF7">
      <w:pPr>
        <w:spacing w:line="276" w:lineRule="auto"/>
        <w:rPr>
          <w:color w:val="000000" w:themeColor="text1"/>
        </w:rPr>
      </w:pPr>
    </w:p>
    <w:p w14:paraId="0E605250" w14:textId="77777777" w:rsidR="00A96CF7" w:rsidRPr="00147E8C" w:rsidRDefault="00A96CF7" w:rsidP="00A96CF7">
      <w:pPr>
        <w:spacing w:line="276" w:lineRule="auto"/>
        <w:rPr>
          <w:color w:val="000000" w:themeColor="text1"/>
        </w:rPr>
      </w:pPr>
      <w:r w:rsidRPr="00147E8C">
        <w:rPr>
          <w:color w:val="000000" w:themeColor="text1"/>
        </w:rPr>
        <w:t>Hanmer, L., and J. Klugman. 2016. “Exploring Women’s Agency and Empowerment in Developing Countries: Where do we Stand?” Feminist Economics 22(1): 237–63.</w:t>
      </w:r>
    </w:p>
    <w:p w14:paraId="204280FC" w14:textId="77777777" w:rsidR="00A96CF7" w:rsidRPr="00147E8C" w:rsidRDefault="00A96CF7" w:rsidP="00A96CF7">
      <w:pPr>
        <w:spacing w:line="276" w:lineRule="auto"/>
        <w:rPr>
          <w:color w:val="000000" w:themeColor="text1"/>
        </w:rPr>
      </w:pPr>
    </w:p>
    <w:p w14:paraId="325B150D"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Hanson, L. and Terstappen, V. (2009) ‘Collaboration on contentious issues: research partnerships for gender equity in Nicaragua’s Fair Trade coffee cooperatives’, </w:t>
      </w:r>
      <w:r w:rsidRPr="00147E8C">
        <w:rPr>
          <w:i/>
          <w:iCs/>
          <w:color w:val="000000" w:themeColor="text1"/>
          <w:lang w:val="en-US"/>
        </w:rPr>
        <w:t xml:space="preserve">Journal of Agromedicine, </w:t>
      </w:r>
      <w:r w:rsidRPr="00147E8C">
        <w:rPr>
          <w:color w:val="000000" w:themeColor="text1"/>
          <w:lang w:val="en-US"/>
        </w:rPr>
        <w:t>14 (2), pp.105–111.</w:t>
      </w:r>
    </w:p>
    <w:p w14:paraId="6B43670A" w14:textId="77777777" w:rsidR="00A96CF7" w:rsidRPr="00147E8C" w:rsidRDefault="00A96CF7" w:rsidP="00A96CF7">
      <w:pPr>
        <w:spacing w:line="276" w:lineRule="auto"/>
        <w:rPr>
          <w:color w:val="000000" w:themeColor="text1"/>
          <w:lang w:val="en-US"/>
        </w:rPr>
      </w:pPr>
    </w:p>
    <w:p w14:paraId="13D4EA3D" w14:textId="56F1FF52" w:rsidR="00A96CF7" w:rsidRPr="00147E8C" w:rsidRDefault="00A96CF7" w:rsidP="00A96CF7">
      <w:pPr>
        <w:spacing w:line="276" w:lineRule="auto"/>
        <w:rPr>
          <w:color w:val="000000" w:themeColor="text1"/>
        </w:rPr>
      </w:pPr>
      <w:r w:rsidRPr="00147E8C">
        <w:rPr>
          <w:color w:val="000000" w:themeColor="text1"/>
        </w:rPr>
        <w:t xml:space="preserve">Hanson, L., Terstappen, V., Bacon, C.M., Leung, J., Ganem-Cuenca, A., Díaz Flores, S. and Meza, </w:t>
      </w:r>
      <w:r w:rsidR="00C40083" w:rsidRPr="00147E8C">
        <w:rPr>
          <w:color w:val="000000" w:themeColor="text1"/>
        </w:rPr>
        <w:t>M.A. (</w:t>
      </w:r>
      <w:r w:rsidRPr="00147E8C">
        <w:rPr>
          <w:color w:val="000000" w:themeColor="text1"/>
        </w:rPr>
        <w:t xml:space="preserve">2012) ‘Gender, health, and Fairtrade: insights from a research-action programme in Nicaragua’, </w:t>
      </w:r>
      <w:r w:rsidRPr="00147E8C">
        <w:rPr>
          <w:i/>
          <w:color w:val="000000" w:themeColor="text1"/>
        </w:rPr>
        <w:t>Development in Practice</w:t>
      </w:r>
      <w:r w:rsidRPr="00147E8C">
        <w:rPr>
          <w:color w:val="000000" w:themeColor="text1"/>
        </w:rPr>
        <w:t xml:space="preserve">, 22 (2), pp.164-179.  </w:t>
      </w:r>
    </w:p>
    <w:p w14:paraId="6A2AE685" w14:textId="77777777" w:rsidR="00A96CF7" w:rsidRPr="00147E8C" w:rsidRDefault="00A96CF7" w:rsidP="00A96CF7">
      <w:pPr>
        <w:spacing w:line="276" w:lineRule="auto"/>
        <w:rPr>
          <w:color w:val="000000" w:themeColor="text1"/>
          <w:lang w:val="en-US"/>
        </w:rPr>
      </w:pPr>
    </w:p>
    <w:p w14:paraId="0ADA7DA5" w14:textId="77777777" w:rsidR="00A96CF7" w:rsidRPr="00147E8C" w:rsidRDefault="00A96CF7" w:rsidP="00A96CF7">
      <w:pPr>
        <w:spacing w:line="276" w:lineRule="auto"/>
        <w:rPr>
          <w:color w:val="000000" w:themeColor="text1"/>
        </w:rPr>
      </w:pPr>
      <w:r w:rsidRPr="00147E8C">
        <w:rPr>
          <w:color w:val="000000" w:themeColor="text1"/>
        </w:rPr>
        <w:t xml:space="preserve">Harding, S. (1995) ‘Can feminist thought make economics more objective?’, </w:t>
      </w:r>
      <w:r w:rsidRPr="00147E8C">
        <w:rPr>
          <w:i/>
          <w:iCs/>
          <w:color w:val="000000" w:themeColor="text1"/>
        </w:rPr>
        <w:t xml:space="preserve">Feminist Economics, </w:t>
      </w:r>
      <w:r w:rsidRPr="00147E8C">
        <w:rPr>
          <w:color w:val="000000" w:themeColor="text1"/>
        </w:rPr>
        <w:t>1 (1), pp. 7-32.  </w:t>
      </w:r>
    </w:p>
    <w:p w14:paraId="7B12EA0C" w14:textId="7F7554B1" w:rsidR="00A96CF7" w:rsidRPr="00147E8C" w:rsidRDefault="00A96CF7" w:rsidP="00A96CF7">
      <w:pPr>
        <w:pStyle w:val="NormalWeb"/>
        <w:spacing w:line="276" w:lineRule="auto"/>
        <w:rPr>
          <w:color w:val="000000" w:themeColor="text1"/>
        </w:rPr>
      </w:pPr>
      <w:r w:rsidRPr="00147E8C">
        <w:rPr>
          <w:color w:val="000000" w:themeColor="text1"/>
        </w:rPr>
        <w:t xml:space="preserve">Harper, C. [no date] </w:t>
      </w:r>
      <w:r w:rsidRPr="00147E8C">
        <w:rPr>
          <w:i/>
          <w:color w:val="000000" w:themeColor="text1"/>
        </w:rPr>
        <w:t>Social norms, adolescent and gender justice: understanding pathways to change</w:t>
      </w:r>
      <w:r w:rsidRPr="00147E8C">
        <w:rPr>
          <w:color w:val="000000" w:themeColor="text1"/>
        </w:rPr>
        <w:t xml:space="preserve">. [Online] Available </w:t>
      </w:r>
      <w:r w:rsidRPr="00402556">
        <w:rPr>
          <w:color w:val="000000" w:themeColor="text1"/>
        </w:rPr>
        <w:t xml:space="preserve">from: </w:t>
      </w:r>
      <w:r w:rsidRPr="00402556">
        <w:rPr>
          <w:rStyle w:val="Hyperlink"/>
          <w:color w:val="000000" w:themeColor="text1"/>
          <w:u w:val="none"/>
        </w:rPr>
        <w:t>https://blogs.lshtm.ac.uk/samegroup/files/2015/05/2.-Caroline-Harper-Discriminatory-Social-Norms-and-Institutions.pdf</w:t>
      </w:r>
      <w:r w:rsidRPr="00402556">
        <w:rPr>
          <w:color w:val="000000" w:themeColor="text1"/>
        </w:rPr>
        <w:t xml:space="preserve"> [</w:t>
      </w:r>
      <w:r w:rsidR="0075410C">
        <w:rPr>
          <w:color w:val="000000" w:themeColor="text1"/>
        </w:rPr>
        <w:t>Accessed</w:t>
      </w:r>
      <w:r w:rsidRPr="00147E8C">
        <w:rPr>
          <w:color w:val="000000" w:themeColor="text1"/>
        </w:rPr>
        <w:t xml:space="preserve"> 15th May 2017]. </w:t>
      </w:r>
    </w:p>
    <w:p w14:paraId="1FA9B6A9" w14:textId="77777777" w:rsidR="00A96CF7" w:rsidRPr="00147E8C" w:rsidRDefault="00A96CF7" w:rsidP="00A96CF7">
      <w:pPr>
        <w:spacing w:line="276" w:lineRule="auto"/>
        <w:rPr>
          <w:color w:val="000000" w:themeColor="text1"/>
        </w:rPr>
      </w:pPr>
      <w:r w:rsidRPr="00147E8C">
        <w:rPr>
          <w:color w:val="000000" w:themeColor="text1"/>
        </w:rPr>
        <w:t xml:space="preserve">Hasse, D (2011). Revolution, Interrupted: Gender and Microfinance in Nicaragua. </w:t>
      </w:r>
      <w:r w:rsidRPr="00147E8C">
        <w:rPr>
          <w:i/>
          <w:color w:val="000000" w:themeColor="text1"/>
        </w:rPr>
        <w:t>Critical Sociology.</w:t>
      </w:r>
      <w:r w:rsidRPr="00147E8C">
        <w:rPr>
          <w:color w:val="000000" w:themeColor="text1"/>
        </w:rPr>
        <w:t xml:space="preserve"> 38 (2). pp.221-240.</w:t>
      </w:r>
    </w:p>
    <w:p w14:paraId="4CD1453D" w14:textId="77777777" w:rsidR="00A96CF7" w:rsidRPr="00147E8C" w:rsidRDefault="00A96CF7" w:rsidP="00A96CF7">
      <w:pPr>
        <w:spacing w:line="276" w:lineRule="auto"/>
        <w:rPr>
          <w:color w:val="000000" w:themeColor="text1"/>
        </w:rPr>
      </w:pPr>
    </w:p>
    <w:p w14:paraId="135A18D1" w14:textId="77777777" w:rsidR="00A96CF7" w:rsidRPr="00147E8C" w:rsidRDefault="00A96CF7" w:rsidP="00A96CF7">
      <w:pPr>
        <w:spacing w:line="276" w:lineRule="auto"/>
        <w:rPr>
          <w:color w:val="000000" w:themeColor="text1"/>
        </w:rPr>
      </w:pPr>
      <w:r w:rsidRPr="00147E8C">
        <w:rPr>
          <w:color w:val="000000" w:themeColor="text1"/>
        </w:rPr>
        <w:t xml:space="preserve">Hayward, C. R. (1998) ‘De-facing power’, </w:t>
      </w:r>
      <w:r w:rsidRPr="00147E8C">
        <w:rPr>
          <w:i/>
          <w:iCs/>
          <w:color w:val="000000" w:themeColor="text1"/>
        </w:rPr>
        <w:t>Polity</w:t>
      </w:r>
      <w:r w:rsidRPr="00147E8C">
        <w:rPr>
          <w:color w:val="000000" w:themeColor="text1"/>
        </w:rPr>
        <w:t xml:space="preserve">, 1 (31), pp. 22-34. </w:t>
      </w:r>
    </w:p>
    <w:p w14:paraId="0276D3BC" w14:textId="77777777" w:rsidR="00A96CF7" w:rsidRPr="00147E8C" w:rsidRDefault="00A96CF7" w:rsidP="00A96CF7">
      <w:pPr>
        <w:spacing w:line="276" w:lineRule="auto"/>
        <w:rPr>
          <w:color w:val="000000" w:themeColor="text1"/>
        </w:rPr>
      </w:pPr>
    </w:p>
    <w:p w14:paraId="23A5838E" w14:textId="77777777" w:rsidR="00A96CF7" w:rsidRPr="00147E8C" w:rsidRDefault="00A96CF7" w:rsidP="00A96CF7">
      <w:pPr>
        <w:spacing w:line="276" w:lineRule="auto"/>
        <w:rPr>
          <w:color w:val="000000" w:themeColor="text1"/>
        </w:rPr>
      </w:pPr>
      <w:r w:rsidRPr="00147E8C">
        <w:rPr>
          <w:color w:val="000000" w:themeColor="text1"/>
        </w:rPr>
        <w:t xml:space="preserve">Heise, L. (1998). </w:t>
      </w:r>
      <w:r w:rsidRPr="00147E8C">
        <w:rPr>
          <w:i/>
          <w:color w:val="000000" w:themeColor="text1"/>
        </w:rPr>
        <w:t>Violence against women: An integrated, ecological framework.</w:t>
      </w:r>
      <w:r w:rsidRPr="00147E8C">
        <w:rPr>
          <w:color w:val="000000" w:themeColor="text1"/>
        </w:rPr>
        <w:t xml:space="preserve"> Violence Against Women, 4(3), 262-290.</w:t>
      </w:r>
    </w:p>
    <w:p w14:paraId="1FB4912B" w14:textId="77777777" w:rsidR="00A96CF7" w:rsidRPr="00147E8C" w:rsidRDefault="00A96CF7" w:rsidP="00A96CF7">
      <w:pPr>
        <w:spacing w:line="276" w:lineRule="auto"/>
        <w:rPr>
          <w:color w:val="000000" w:themeColor="text1"/>
        </w:rPr>
      </w:pPr>
    </w:p>
    <w:p w14:paraId="6D31DA09" w14:textId="77777777" w:rsidR="00A96CF7" w:rsidRPr="00C40083" w:rsidRDefault="00A96CF7" w:rsidP="00A96CF7">
      <w:pPr>
        <w:spacing w:line="276" w:lineRule="auto"/>
        <w:rPr>
          <w:color w:val="000000" w:themeColor="text1"/>
        </w:rPr>
      </w:pPr>
      <w:r w:rsidRPr="00147E8C">
        <w:rPr>
          <w:color w:val="000000" w:themeColor="text1"/>
        </w:rPr>
        <w:t xml:space="preserve">Henderson, A., Harmon, S. and Houser, J. (2010) ‘A new state of surveillance? an application of Michel Foucault to modern motherhood’, </w:t>
      </w:r>
      <w:r w:rsidRPr="00147E8C">
        <w:rPr>
          <w:i/>
          <w:iCs/>
          <w:color w:val="000000" w:themeColor="text1"/>
        </w:rPr>
        <w:t xml:space="preserve">Surveillance &amp; Society </w:t>
      </w:r>
      <w:r w:rsidRPr="00C40083">
        <w:rPr>
          <w:iCs/>
          <w:color w:val="000000" w:themeColor="text1"/>
        </w:rPr>
        <w:t>[Online]</w:t>
      </w:r>
      <w:r w:rsidRPr="00C40083">
        <w:rPr>
          <w:color w:val="000000" w:themeColor="text1"/>
        </w:rPr>
        <w:t xml:space="preserve">, 7 (3/4), pp. 231-247. Available from: </w:t>
      </w:r>
      <w:hyperlink r:id="rId46" w:history="1">
        <w:r w:rsidRPr="00C40083">
          <w:rPr>
            <w:rStyle w:val="Hyperlink"/>
            <w:rFonts w:eastAsiaTheme="majorEastAsia"/>
            <w:color w:val="000000" w:themeColor="text1"/>
            <w:u w:val="none"/>
          </w:rPr>
          <w:t>https://ojs.library.queensu.ca/index.php/surveillance-and-society/article/view/4153</w:t>
        </w:r>
      </w:hyperlink>
      <w:r w:rsidRPr="00C40083">
        <w:rPr>
          <w:color w:val="000000" w:themeColor="text1"/>
        </w:rPr>
        <w:t xml:space="preserve"> [Accessed 14th July 2017]. </w:t>
      </w:r>
    </w:p>
    <w:p w14:paraId="2C868D0C" w14:textId="77777777" w:rsidR="00A96CF7" w:rsidRPr="00C40083" w:rsidRDefault="00A96CF7" w:rsidP="00A96CF7">
      <w:pPr>
        <w:spacing w:line="276" w:lineRule="auto"/>
        <w:rPr>
          <w:color w:val="000000" w:themeColor="text1"/>
        </w:rPr>
      </w:pPr>
    </w:p>
    <w:p w14:paraId="40DDCFEA" w14:textId="77777777" w:rsidR="00A96CF7" w:rsidRPr="00C40083" w:rsidRDefault="00A96CF7" w:rsidP="00A96CF7">
      <w:pPr>
        <w:spacing w:line="276" w:lineRule="auto"/>
        <w:rPr>
          <w:color w:val="000000" w:themeColor="text1"/>
        </w:rPr>
      </w:pPr>
      <w:r w:rsidRPr="00C40083">
        <w:rPr>
          <w:color w:val="000000" w:themeColor="text1"/>
        </w:rPr>
        <w:t>Hennink, M.  Ndunge, K, Pillinger, M., and Jayakaran, R. (2012) ‘</w:t>
      </w:r>
      <w:r w:rsidRPr="00C40083">
        <w:rPr>
          <w:iCs/>
          <w:color w:val="000000" w:themeColor="text1"/>
        </w:rPr>
        <w:t>Defining empowerment: perspectives from international development organisations</w:t>
      </w:r>
      <w:r w:rsidRPr="00C40083">
        <w:rPr>
          <w:i/>
          <w:iCs/>
          <w:color w:val="000000" w:themeColor="text1"/>
        </w:rPr>
        <w:t>’,</w:t>
      </w:r>
      <w:r w:rsidRPr="00C40083">
        <w:rPr>
          <w:color w:val="000000" w:themeColor="text1"/>
        </w:rPr>
        <w:t xml:space="preserve"> </w:t>
      </w:r>
      <w:r w:rsidRPr="00C40083">
        <w:rPr>
          <w:i/>
          <w:color w:val="000000" w:themeColor="text1"/>
        </w:rPr>
        <w:t>Development in Practice</w:t>
      </w:r>
      <w:r w:rsidRPr="00C40083">
        <w:rPr>
          <w:color w:val="000000" w:themeColor="text1"/>
        </w:rPr>
        <w:t xml:space="preserve">, 22 (2), pp. 202-215. </w:t>
      </w:r>
    </w:p>
    <w:p w14:paraId="187E1396" w14:textId="77777777" w:rsidR="00A96CF7" w:rsidRPr="00C40083" w:rsidRDefault="00A96CF7" w:rsidP="00A96CF7">
      <w:pPr>
        <w:spacing w:line="276" w:lineRule="auto"/>
        <w:rPr>
          <w:color w:val="000000" w:themeColor="text1"/>
        </w:rPr>
      </w:pPr>
    </w:p>
    <w:p w14:paraId="37C21139" w14:textId="77777777" w:rsidR="00A96CF7" w:rsidRPr="00C40083" w:rsidRDefault="00A96CF7" w:rsidP="00A96CF7">
      <w:pPr>
        <w:spacing w:line="276" w:lineRule="auto"/>
        <w:rPr>
          <w:color w:val="000000" w:themeColor="text1"/>
        </w:rPr>
      </w:pPr>
      <w:r w:rsidRPr="00C40083">
        <w:rPr>
          <w:color w:val="000000" w:themeColor="text1"/>
        </w:rPr>
        <w:t xml:space="preserve">Herrera, M. (2001) ‘Case Study: Women’s Network Against Violence, Nicaragua’, </w:t>
      </w:r>
    </w:p>
    <w:p w14:paraId="2B1B863C" w14:textId="77777777" w:rsidR="00A96CF7" w:rsidRPr="00C40083" w:rsidRDefault="00A96CF7" w:rsidP="00A96CF7">
      <w:pPr>
        <w:spacing w:line="276" w:lineRule="auto"/>
        <w:rPr>
          <w:b/>
          <w:color w:val="000000" w:themeColor="text1"/>
        </w:rPr>
      </w:pPr>
      <w:r w:rsidRPr="00C40083">
        <w:rPr>
          <w:i/>
          <w:color w:val="000000" w:themeColor="text1"/>
        </w:rPr>
        <w:t>Gender Violence, Health and Rights in the Americas Symposium [Online]</w:t>
      </w:r>
      <w:r w:rsidRPr="00C40083">
        <w:rPr>
          <w:color w:val="000000" w:themeColor="text1"/>
        </w:rPr>
        <w:t xml:space="preserve">. Cancun, June 4–7. Available from: </w:t>
      </w:r>
      <w:hyperlink r:id="rId47" w:history="1">
        <w:r w:rsidRPr="00C40083">
          <w:rPr>
            <w:rStyle w:val="Hyperlink"/>
            <w:rFonts w:eastAsiaTheme="majorEastAsia"/>
            <w:color w:val="000000" w:themeColor="text1"/>
            <w:u w:val="none"/>
          </w:rPr>
          <w:t>http://www1.paho.org/english/hdp/hdw/nicaragua.pdf</w:t>
        </w:r>
      </w:hyperlink>
      <w:r w:rsidRPr="00C40083">
        <w:rPr>
          <w:color w:val="000000" w:themeColor="text1"/>
        </w:rPr>
        <w:t xml:space="preserve"> [Accessed 14th May 2017]. </w:t>
      </w:r>
    </w:p>
    <w:p w14:paraId="59F96D0F" w14:textId="77777777" w:rsidR="00A96CF7" w:rsidRPr="00147E8C" w:rsidRDefault="00A96CF7" w:rsidP="00A96CF7">
      <w:pPr>
        <w:spacing w:line="276" w:lineRule="auto"/>
        <w:rPr>
          <w:color w:val="000000" w:themeColor="text1"/>
        </w:rPr>
      </w:pPr>
    </w:p>
    <w:p w14:paraId="50D9BA4E" w14:textId="77777777" w:rsidR="00A96CF7" w:rsidRPr="00147E8C" w:rsidRDefault="00A96CF7" w:rsidP="00A96CF7">
      <w:pPr>
        <w:spacing w:line="276" w:lineRule="auto"/>
        <w:rPr>
          <w:color w:val="000000" w:themeColor="text1"/>
        </w:rPr>
      </w:pPr>
      <w:r w:rsidRPr="00147E8C">
        <w:rPr>
          <w:color w:val="000000" w:themeColor="text1"/>
        </w:rPr>
        <w:t xml:space="preserve">Himmelweit, S. (1995) ‘The discovery of “unpaid work: the social consequences of the expansion of “work’, </w:t>
      </w:r>
      <w:r w:rsidRPr="00147E8C">
        <w:rPr>
          <w:i/>
          <w:iCs/>
          <w:color w:val="000000" w:themeColor="text1"/>
        </w:rPr>
        <w:t xml:space="preserve">Feminist Economics, </w:t>
      </w:r>
      <w:r w:rsidRPr="00147E8C">
        <w:rPr>
          <w:iCs/>
          <w:color w:val="000000" w:themeColor="text1"/>
        </w:rPr>
        <w:t>1</w:t>
      </w:r>
      <w:r w:rsidRPr="00147E8C">
        <w:rPr>
          <w:color w:val="000000" w:themeColor="text1"/>
        </w:rPr>
        <w:t xml:space="preserve"> (2), pp. 1–19.  </w:t>
      </w:r>
    </w:p>
    <w:p w14:paraId="4BCD24B7" w14:textId="77777777" w:rsidR="00A96CF7" w:rsidRPr="00147E8C" w:rsidRDefault="00A96CF7" w:rsidP="00A96CF7">
      <w:pPr>
        <w:spacing w:line="276" w:lineRule="auto"/>
        <w:rPr>
          <w:color w:val="000000" w:themeColor="text1"/>
        </w:rPr>
      </w:pPr>
    </w:p>
    <w:p w14:paraId="18066D47" w14:textId="77777777" w:rsidR="00A96CF7" w:rsidRPr="00147E8C" w:rsidRDefault="00A96CF7" w:rsidP="00A96CF7">
      <w:pPr>
        <w:spacing w:line="276" w:lineRule="auto"/>
        <w:rPr>
          <w:color w:val="000000" w:themeColor="text1"/>
        </w:rPr>
      </w:pPr>
      <w:r w:rsidRPr="00147E8C">
        <w:rPr>
          <w:color w:val="000000" w:themeColor="text1"/>
        </w:rPr>
        <w:t>Hirway, I. (2015) ‘Unpaid work and the economy: linkages and their implications’, Indian</w:t>
      </w:r>
      <w:r w:rsidRPr="00147E8C">
        <w:rPr>
          <w:i/>
          <w:iCs/>
          <w:color w:val="000000" w:themeColor="text1"/>
        </w:rPr>
        <w:t xml:space="preserve"> Journal of Labour Economics</w:t>
      </w:r>
      <w:r w:rsidRPr="00147E8C">
        <w:rPr>
          <w:color w:val="000000" w:themeColor="text1"/>
        </w:rPr>
        <w:t>, 58 (1), pp.1-21.</w:t>
      </w:r>
    </w:p>
    <w:p w14:paraId="499B0CBE" w14:textId="77777777" w:rsidR="00A96CF7" w:rsidRPr="00147E8C" w:rsidRDefault="00A96CF7" w:rsidP="00A96CF7">
      <w:pPr>
        <w:spacing w:line="276" w:lineRule="auto"/>
        <w:rPr>
          <w:color w:val="000000" w:themeColor="text1"/>
        </w:rPr>
      </w:pPr>
    </w:p>
    <w:p w14:paraId="5C44A798" w14:textId="77777777" w:rsidR="00A96CF7" w:rsidRPr="00147E8C" w:rsidRDefault="00A96CF7" w:rsidP="00A96CF7">
      <w:pPr>
        <w:spacing w:line="276" w:lineRule="auto"/>
        <w:rPr>
          <w:color w:val="000000" w:themeColor="text1"/>
        </w:rPr>
      </w:pPr>
      <w:r w:rsidRPr="00147E8C">
        <w:rPr>
          <w:color w:val="000000" w:themeColor="text1"/>
        </w:rPr>
        <w:t>Hochschild, A. R. (1979) ‘Emotion work, feeling rules, and social-structure’, American</w:t>
      </w:r>
      <w:r w:rsidRPr="00147E8C">
        <w:rPr>
          <w:i/>
          <w:color w:val="000000" w:themeColor="text1"/>
        </w:rPr>
        <w:t xml:space="preserve"> Journal of Sociology</w:t>
      </w:r>
      <w:r w:rsidRPr="00147E8C">
        <w:rPr>
          <w:color w:val="000000" w:themeColor="text1"/>
        </w:rPr>
        <w:t xml:space="preserve">, 85 (3), pp. 551-575.  </w:t>
      </w:r>
    </w:p>
    <w:p w14:paraId="50DE5280" w14:textId="77777777" w:rsidR="00A96CF7" w:rsidRPr="00147E8C" w:rsidRDefault="00A96CF7" w:rsidP="00A96CF7">
      <w:pPr>
        <w:spacing w:line="276" w:lineRule="auto"/>
        <w:rPr>
          <w:color w:val="000000" w:themeColor="text1"/>
        </w:rPr>
      </w:pPr>
    </w:p>
    <w:p w14:paraId="7C0FE1FF" w14:textId="77777777" w:rsidR="00A96CF7" w:rsidRPr="00147E8C" w:rsidRDefault="00A96CF7" w:rsidP="00A96CF7">
      <w:pPr>
        <w:spacing w:line="276" w:lineRule="auto"/>
        <w:rPr>
          <w:color w:val="000000" w:themeColor="text1"/>
        </w:rPr>
      </w:pPr>
      <w:r w:rsidRPr="00147E8C">
        <w:rPr>
          <w:color w:val="000000" w:themeColor="text1"/>
        </w:rPr>
        <w:t xml:space="preserve">Hochschild, A. R. (1983) </w:t>
      </w:r>
      <w:r w:rsidRPr="00147E8C">
        <w:rPr>
          <w:i/>
          <w:color w:val="000000" w:themeColor="text1"/>
        </w:rPr>
        <w:t>The managed heart: commercialization of human feeling</w:t>
      </w:r>
      <w:r w:rsidRPr="00147E8C">
        <w:rPr>
          <w:color w:val="000000" w:themeColor="text1"/>
        </w:rPr>
        <w:t xml:space="preserve">. London: University of California Press. </w:t>
      </w:r>
    </w:p>
    <w:p w14:paraId="085DEA40" w14:textId="77777777" w:rsidR="00A96CF7" w:rsidRPr="00147E8C" w:rsidRDefault="00A96CF7" w:rsidP="00A96CF7">
      <w:pPr>
        <w:spacing w:line="276" w:lineRule="auto"/>
        <w:rPr>
          <w:color w:val="000000" w:themeColor="text1"/>
        </w:rPr>
      </w:pPr>
    </w:p>
    <w:p w14:paraId="15F06169" w14:textId="77777777" w:rsidR="00A96CF7" w:rsidRPr="00147E8C" w:rsidRDefault="00A96CF7" w:rsidP="00A96CF7">
      <w:pPr>
        <w:spacing w:line="276" w:lineRule="auto"/>
        <w:rPr>
          <w:color w:val="000000" w:themeColor="text1"/>
        </w:rPr>
      </w:pPr>
      <w:r w:rsidRPr="00147E8C">
        <w:rPr>
          <w:color w:val="000000" w:themeColor="text1"/>
        </w:rPr>
        <w:t>Hoskyns, C. (2007)</w:t>
      </w:r>
      <w:r w:rsidRPr="00147E8C">
        <w:rPr>
          <w:i/>
          <w:color w:val="000000" w:themeColor="text1"/>
        </w:rPr>
        <w:t xml:space="preserve"> ‘</w:t>
      </w:r>
      <w:r w:rsidRPr="00147E8C">
        <w:rPr>
          <w:color w:val="000000" w:themeColor="text1"/>
        </w:rPr>
        <w:t xml:space="preserve">Counting unpaid work in production costs, the example of Nicaraguan Fair Trade contracts’, </w:t>
      </w:r>
      <w:r w:rsidRPr="00147E8C">
        <w:rPr>
          <w:i/>
          <w:color w:val="000000" w:themeColor="text1"/>
        </w:rPr>
        <w:t>British International Studies Association Conference, Panel 5.6 Gender and Governance</w:t>
      </w:r>
      <w:r w:rsidRPr="00147E8C">
        <w:rPr>
          <w:color w:val="000000" w:themeColor="text1"/>
        </w:rPr>
        <w:t xml:space="preserve">. Cambridge. 17-19 December. </w:t>
      </w:r>
    </w:p>
    <w:p w14:paraId="41D5A98C" w14:textId="77777777" w:rsidR="00A96CF7" w:rsidRPr="00147E8C" w:rsidRDefault="00A96CF7" w:rsidP="00A96CF7">
      <w:pPr>
        <w:spacing w:line="276" w:lineRule="auto"/>
        <w:rPr>
          <w:color w:val="000000" w:themeColor="text1"/>
        </w:rPr>
      </w:pPr>
    </w:p>
    <w:p w14:paraId="3CD646BD" w14:textId="77777777" w:rsidR="00A96CF7" w:rsidRPr="00147E8C" w:rsidRDefault="00A96CF7" w:rsidP="00A96CF7">
      <w:pPr>
        <w:spacing w:line="276" w:lineRule="auto"/>
        <w:rPr>
          <w:color w:val="000000" w:themeColor="text1"/>
        </w:rPr>
      </w:pPr>
      <w:r w:rsidRPr="00147E8C">
        <w:rPr>
          <w:color w:val="000000" w:themeColor="text1"/>
        </w:rPr>
        <w:t xml:space="preserve">Hoskyns, C., Hoskyns, N., and Butler, F. (2012) </w:t>
      </w:r>
      <w:r w:rsidRPr="00147E8C">
        <w:rPr>
          <w:i/>
          <w:color w:val="000000" w:themeColor="text1"/>
        </w:rPr>
        <w:t>Pricing Fair trade products to include unpaid labour and empower women: the example of Nicaraguan sesame and coffee cooperative</w:t>
      </w:r>
      <w:r w:rsidRPr="00147E8C">
        <w:rPr>
          <w:color w:val="000000" w:themeColor="text1"/>
        </w:rPr>
        <w:t>s. SSRN Scholarly Paper No. ID 2034322. Rochester: Social Science Research Network.</w:t>
      </w:r>
    </w:p>
    <w:p w14:paraId="03648333" w14:textId="77777777" w:rsidR="00A96CF7" w:rsidRPr="00147E8C" w:rsidRDefault="00A96CF7" w:rsidP="00A96CF7">
      <w:pPr>
        <w:spacing w:line="276" w:lineRule="auto"/>
        <w:rPr>
          <w:color w:val="000000" w:themeColor="text1"/>
        </w:rPr>
      </w:pPr>
    </w:p>
    <w:p w14:paraId="4209FA64" w14:textId="77777777" w:rsidR="00A96CF7" w:rsidRPr="00147E8C" w:rsidRDefault="00A96CF7" w:rsidP="00A96CF7">
      <w:pPr>
        <w:spacing w:line="276" w:lineRule="auto"/>
        <w:rPr>
          <w:color w:val="000000" w:themeColor="text1"/>
        </w:rPr>
      </w:pPr>
      <w:r w:rsidRPr="00147E8C">
        <w:rPr>
          <w:color w:val="000000" w:themeColor="text1"/>
        </w:rPr>
        <w:t xml:space="preserve">Hoskyns, C. and Rai, S.M. (2007) ‘Recasting the global political economy: counting women's unpaid work’, </w:t>
      </w:r>
      <w:r w:rsidRPr="00147E8C">
        <w:rPr>
          <w:i/>
          <w:iCs/>
          <w:color w:val="000000" w:themeColor="text1"/>
        </w:rPr>
        <w:t>New Political Economy</w:t>
      </w:r>
      <w:r w:rsidRPr="00147E8C">
        <w:rPr>
          <w:color w:val="000000" w:themeColor="text1"/>
        </w:rPr>
        <w:t>, 12 (3), pp. 297-317.</w:t>
      </w:r>
    </w:p>
    <w:p w14:paraId="13D7B761" w14:textId="77777777" w:rsidR="00A96CF7" w:rsidRPr="00147E8C" w:rsidRDefault="00A96CF7" w:rsidP="00A96CF7">
      <w:pPr>
        <w:spacing w:line="276" w:lineRule="auto"/>
        <w:rPr>
          <w:color w:val="000000" w:themeColor="text1"/>
        </w:rPr>
      </w:pPr>
    </w:p>
    <w:p w14:paraId="55A2D10A" w14:textId="77777777" w:rsidR="00A96CF7" w:rsidRPr="00147E8C" w:rsidRDefault="00A96CF7" w:rsidP="00A96CF7">
      <w:pPr>
        <w:spacing w:line="276" w:lineRule="auto"/>
        <w:rPr>
          <w:color w:val="000000" w:themeColor="text1"/>
        </w:rPr>
      </w:pPr>
      <w:r w:rsidRPr="00147E8C">
        <w:rPr>
          <w:color w:val="000000" w:themeColor="text1"/>
        </w:rPr>
        <w:lastRenderedPageBreak/>
        <w:t xml:space="preserve">Huisman, K. (2008) ‘‘Does this mean you’re not going to come visit me anymore?’: an inquiry into an ethics of reciprocity and positionality in feminist ethnographic research’, </w:t>
      </w:r>
      <w:r w:rsidRPr="00147E8C">
        <w:rPr>
          <w:i/>
          <w:iCs/>
          <w:color w:val="000000" w:themeColor="text1"/>
        </w:rPr>
        <w:t>Sociological Inquiry</w:t>
      </w:r>
      <w:r w:rsidRPr="00147E8C">
        <w:rPr>
          <w:color w:val="000000" w:themeColor="text1"/>
        </w:rPr>
        <w:t xml:space="preserve">, 78 (3), pp. 372–396.  </w:t>
      </w:r>
    </w:p>
    <w:p w14:paraId="623A4D70" w14:textId="77777777" w:rsidR="00A96CF7" w:rsidRPr="00147E8C" w:rsidRDefault="00A96CF7" w:rsidP="00A96CF7">
      <w:pPr>
        <w:spacing w:line="276" w:lineRule="auto"/>
        <w:rPr>
          <w:color w:val="000000" w:themeColor="text1"/>
        </w:rPr>
      </w:pPr>
    </w:p>
    <w:p w14:paraId="71B9B599" w14:textId="77777777" w:rsidR="00A96CF7" w:rsidRPr="00147E8C" w:rsidRDefault="00A96CF7" w:rsidP="00A96CF7">
      <w:pPr>
        <w:spacing w:line="276" w:lineRule="auto"/>
        <w:rPr>
          <w:i/>
          <w:color w:val="000000" w:themeColor="text1"/>
        </w:rPr>
      </w:pPr>
      <w:r w:rsidRPr="00147E8C">
        <w:rPr>
          <w:color w:val="000000" w:themeColor="text1"/>
        </w:rPr>
        <w:t xml:space="preserve">Hutchens, A. (2010) ‘Empowering women through Fair Trade? lessons from Asia’, </w:t>
      </w:r>
      <w:r w:rsidRPr="00147E8C">
        <w:rPr>
          <w:i/>
          <w:color w:val="000000" w:themeColor="text1"/>
        </w:rPr>
        <w:t>Third</w:t>
      </w:r>
    </w:p>
    <w:p w14:paraId="7C78AEB5" w14:textId="77777777" w:rsidR="00A96CF7" w:rsidRPr="00147E8C" w:rsidRDefault="00A96CF7" w:rsidP="00A96CF7">
      <w:pPr>
        <w:spacing w:line="276" w:lineRule="auto"/>
        <w:rPr>
          <w:color w:val="000000" w:themeColor="text1"/>
        </w:rPr>
      </w:pPr>
      <w:r w:rsidRPr="00147E8C">
        <w:rPr>
          <w:i/>
          <w:color w:val="000000" w:themeColor="text1"/>
        </w:rPr>
        <w:t>World Quarterly</w:t>
      </w:r>
      <w:r w:rsidRPr="00147E8C">
        <w:rPr>
          <w:color w:val="000000" w:themeColor="text1"/>
        </w:rPr>
        <w:t xml:space="preserve">, 31 (3), pp. 449-467. </w:t>
      </w:r>
    </w:p>
    <w:p w14:paraId="3CD346F9" w14:textId="77777777" w:rsidR="00A96CF7" w:rsidRPr="00147E8C" w:rsidRDefault="00A96CF7" w:rsidP="00A96CF7">
      <w:pPr>
        <w:spacing w:line="276" w:lineRule="auto"/>
        <w:rPr>
          <w:color w:val="000000" w:themeColor="text1"/>
        </w:rPr>
      </w:pPr>
    </w:p>
    <w:p w14:paraId="1056839E" w14:textId="77777777" w:rsidR="00A96CF7" w:rsidRPr="00147E8C" w:rsidRDefault="00A96CF7" w:rsidP="00A96CF7">
      <w:pPr>
        <w:spacing w:line="276" w:lineRule="auto"/>
        <w:rPr>
          <w:color w:val="000000" w:themeColor="text1"/>
        </w:rPr>
      </w:pPr>
      <w:r w:rsidRPr="00147E8C">
        <w:rPr>
          <w:color w:val="000000" w:themeColor="text1"/>
        </w:rPr>
        <w:t xml:space="preserve">Huybrechts, B., Nicholls, A. and Edinger, K. (2017) ‘Sacred alliance or pact with the devil? How and why social enterprises collaborate with mainstream businesses in the fair trade sector’, </w:t>
      </w:r>
      <w:r w:rsidRPr="00147E8C">
        <w:rPr>
          <w:i/>
          <w:color w:val="000000" w:themeColor="text1"/>
        </w:rPr>
        <w:t>Entrepreneurship &amp; Regional Development</w:t>
      </w:r>
      <w:r w:rsidRPr="00147E8C">
        <w:rPr>
          <w:color w:val="000000" w:themeColor="text1"/>
        </w:rPr>
        <w:t>, 29 (7-8), pp. 586-608.</w:t>
      </w:r>
    </w:p>
    <w:p w14:paraId="620410F9" w14:textId="77777777" w:rsidR="00A96CF7" w:rsidRPr="00147E8C" w:rsidRDefault="00A96CF7" w:rsidP="00A96CF7">
      <w:pPr>
        <w:spacing w:line="276" w:lineRule="auto"/>
        <w:rPr>
          <w:color w:val="000000" w:themeColor="text1"/>
        </w:rPr>
      </w:pPr>
    </w:p>
    <w:p w14:paraId="510C12B9" w14:textId="77777777" w:rsidR="00A96CF7" w:rsidRPr="00147E8C" w:rsidRDefault="00A96CF7" w:rsidP="00A96CF7">
      <w:pPr>
        <w:spacing w:line="276" w:lineRule="auto"/>
        <w:rPr>
          <w:color w:val="000000" w:themeColor="text1"/>
          <w:lang w:val="es-NI"/>
        </w:rPr>
      </w:pPr>
      <w:r w:rsidRPr="00147E8C">
        <w:rPr>
          <w:color w:val="000000" w:themeColor="text1"/>
        </w:rPr>
        <w:t xml:space="preserve">Imhoff, S., and Lee, A. (2007) </w:t>
      </w:r>
      <w:r w:rsidRPr="00147E8C">
        <w:rPr>
          <w:i/>
          <w:color w:val="000000" w:themeColor="text1"/>
        </w:rPr>
        <w:t>Assessing the Potential of fair trade for poverty reduction and conflict prevention: a case study of Bolivian coffee producers</w:t>
      </w:r>
      <w:r w:rsidRPr="00147E8C">
        <w:rPr>
          <w:color w:val="000000" w:themeColor="text1"/>
        </w:rPr>
        <w:t xml:space="preserve">. </w:t>
      </w:r>
      <w:r w:rsidRPr="00147E8C">
        <w:rPr>
          <w:color w:val="000000" w:themeColor="text1"/>
          <w:lang w:val="es-NI"/>
        </w:rPr>
        <w:t>Basel: University of Basel.</w:t>
      </w:r>
    </w:p>
    <w:p w14:paraId="57371D1F" w14:textId="77777777" w:rsidR="00A96CF7" w:rsidRPr="00147E8C" w:rsidRDefault="00A96CF7" w:rsidP="00A96CF7">
      <w:pPr>
        <w:spacing w:line="276" w:lineRule="auto"/>
        <w:rPr>
          <w:color w:val="000000" w:themeColor="text1"/>
          <w:lang w:val="es-NI"/>
        </w:rPr>
      </w:pPr>
    </w:p>
    <w:p w14:paraId="786506E6" w14:textId="77777777" w:rsidR="00A96CF7" w:rsidRPr="00147E8C" w:rsidRDefault="00A96CF7" w:rsidP="00A96CF7">
      <w:pPr>
        <w:spacing w:line="276" w:lineRule="auto"/>
        <w:rPr>
          <w:color w:val="000000" w:themeColor="text1"/>
          <w:lang w:val="en-US"/>
        </w:rPr>
      </w:pPr>
    </w:p>
    <w:p w14:paraId="56C6A12F" w14:textId="77777777" w:rsidR="00A96CF7" w:rsidRPr="00402556" w:rsidRDefault="00A96CF7" w:rsidP="00A96CF7">
      <w:pPr>
        <w:spacing w:line="276" w:lineRule="auto"/>
        <w:rPr>
          <w:color w:val="000000" w:themeColor="text1"/>
        </w:rPr>
      </w:pPr>
      <w:r w:rsidRPr="00147E8C">
        <w:rPr>
          <w:color w:val="000000" w:themeColor="text1"/>
          <w:lang w:val="es-NI"/>
        </w:rPr>
        <w:t xml:space="preserve">INIDE (2016) </w:t>
      </w:r>
      <w:r w:rsidRPr="00147E8C">
        <w:rPr>
          <w:i/>
          <w:iCs/>
          <w:color w:val="000000" w:themeColor="text1"/>
          <w:lang w:val="es-NI"/>
        </w:rPr>
        <w:t xml:space="preserve">Reporte de la Pobreza y Desigualdad EMNV 2016. </w:t>
      </w:r>
      <w:r w:rsidRPr="00147E8C">
        <w:rPr>
          <w:color w:val="000000" w:themeColor="text1"/>
          <w:lang w:val="en-US"/>
        </w:rPr>
        <w:t xml:space="preserve">[Online] Managua: INIDE. Available from: </w:t>
      </w:r>
      <w:r w:rsidRPr="00402556">
        <w:rPr>
          <w:rStyle w:val="Hyperlink"/>
          <w:rFonts w:eastAsiaTheme="majorEastAsia"/>
          <w:color w:val="000000" w:themeColor="text1"/>
          <w:u w:val="none"/>
        </w:rPr>
        <w:t xml:space="preserve">http://www.bcn.gob.ni/publicidad/img/landscape/Reporte%20de%20Pobreza%20y%20Desigualdad%20-%20EMNV%202016%20-%20Final.pdf [Accessed 2nd February 2017]. </w:t>
      </w:r>
    </w:p>
    <w:p w14:paraId="1D227D31" w14:textId="77777777" w:rsidR="00A96CF7" w:rsidRPr="00147E8C" w:rsidRDefault="00A96CF7" w:rsidP="00A96CF7">
      <w:pPr>
        <w:spacing w:line="276" w:lineRule="auto"/>
        <w:rPr>
          <w:color w:val="000000" w:themeColor="text1"/>
          <w:lang w:val="en-US"/>
        </w:rPr>
      </w:pPr>
    </w:p>
    <w:p w14:paraId="4F29709B"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INIDE (2017). </w:t>
      </w:r>
      <w:r w:rsidRPr="00147E8C">
        <w:rPr>
          <w:bCs/>
          <w:i/>
          <w:color w:val="000000" w:themeColor="text1"/>
          <w:lang w:val="es-NI"/>
        </w:rPr>
        <w:t>Presentan resultados de Encuesta Nacional de Medición de Nivel de Vida</w:t>
      </w:r>
      <w:r w:rsidRPr="00147E8C">
        <w:rPr>
          <w:bCs/>
          <w:color w:val="000000" w:themeColor="text1"/>
          <w:lang w:val="es-NI"/>
        </w:rPr>
        <w:t xml:space="preserve"> [Online]. </w:t>
      </w:r>
      <w:r w:rsidRPr="00147E8C">
        <w:rPr>
          <w:bCs/>
          <w:color w:val="000000" w:themeColor="text1"/>
          <w:lang w:val="en-US"/>
        </w:rPr>
        <w:t>Available from</w:t>
      </w:r>
      <w:r w:rsidRPr="00402556">
        <w:rPr>
          <w:bCs/>
          <w:color w:val="000000" w:themeColor="text1"/>
          <w:lang w:val="en-US"/>
        </w:rPr>
        <w:t xml:space="preserve">: </w:t>
      </w:r>
      <w:hyperlink r:id="rId48" w:history="1">
        <w:r w:rsidRPr="00402556">
          <w:rPr>
            <w:rStyle w:val="Hyperlink"/>
            <w:rFonts w:eastAsiaTheme="majorEastAsia"/>
            <w:color w:val="000000" w:themeColor="text1"/>
            <w:u w:val="none"/>
          </w:rPr>
          <w:t>http://www.inide.gob.ni</w:t>
        </w:r>
      </w:hyperlink>
      <w:r w:rsidRPr="00402556">
        <w:rPr>
          <w:color w:val="000000" w:themeColor="text1"/>
        </w:rPr>
        <w:t xml:space="preserve"> [</w:t>
      </w:r>
      <w:r w:rsidRPr="00147E8C">
        <w:rPr>
          <w:color w:val="000000" w:themeColor="text1"/>
        </w:rPr>
        <w:t>Accessed 21</w:t>
      </w:r>
      <w:r>
        <w:rPr>
          <w:color w:val="000000" w:themeColor="text1"/>
        </w:rPr>
        <w:t>st</w:t>
      </w:r>
      <w:r w:rsidRPr="00147E8C">
        <w:rPr>
          <w:color w:val="000000" w:themeColor="text1"/>
        </w:rPr>
        <w:t xml:space="preserve"> July 2017].</w:t>
      </w:r>
    </w:p>
    <w:p w14:paraId="03D1BFCE"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Jackson, C. (1996) ‘Rescuing gender from the poverty trap’, </w:t>
      </w:r>
      <w:r w:rsidRPr="00147E8C">
        <w:rPr>
          <w:i/>
          <w:color w:val="000000" w:themeColor="text1"/>
        </w:rPr>
        <w:t xml:space="preserve">World Development, </w:t>
      </w:r>
      <w:r w:rsidRPr="00147E8C">
        <w:rPr>
          <w:color w:val="000000" w:themeColor="text1"/>
        </w:rPr>
        <w:t xml:space="preserve">24(3), pp. 489-504. </w:t>
      </w:r>
    </w:p>
    <w:p w14:paraId="20B7FEFB" w14:textId="77777777" w:rsidR="00A96CF7" w:rsidRPr="00147E8C" w:rsidRDefault="00A96CF7" w:rsidP="00A96CF7">
      <w:pPr>
        <w:spacing w:line="276" w:lineRule="auto"/>
        <w:rPr>
          <w:color w:val="000000" w:themeColor="text1"/>
        </w:rPr>
      </w:pPr>
      <w:r w:rsidRPr="00147E8C">
        <w:rPr>
          <w:color w:val="000000" w:themeColor="text1"/>
        </w:rPr>
        <w:t xml:space="preserve">Jaffee, D. (2007) </w:t>
      </w:r>
      <w:r w:rsidRPr="00147E8C">
        <w:rPr>
          <w:i/>
          <w:color w:val="000000" w:themeColor="text1"/>
        </w:rPr>
        <w:t>Brewing justice: Fair Trade coffee, sustainability, and survival</w:t>
      </w:r>
      <w:r w:rsidRPr="00147E8C">
        <w:rPr>
          <w:color w:val="000000" w:themeColor="text1"/>
        </w:rPr>
        <w:t>. Berkeley: University of California Press.</w:t>
      </w:r>
    </w:p>
    <w:p w14:paraId="4DBD9F0D"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Jelin, E. (ed.). 1990. </w:t>
      </w:r>
      <w:r w:rsidRPr="00147E8C">
        <w:rPr>
          <w:i/>
          <w:color w:val="000000" w:themeColor="text1"/>
        </w:rPr>
        <w:t>Women and social change in Latin America</w:t>
      </w:r>
      <w:r w:rsidRPr="00147E8C">
        <w:rPr>
          <w:color w:val="000000" w:themeColor="text1"/>
        </w:rPr>
        <w:t xml:space="preserve">. London: Zed Books. </w:t>
      </w:r>
    </w:p>
    <w:p w14:paraId="7E8B9494"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Johnstone-Louis, M. (2017). ‘Corporate social responsibility and women’s entrepreneurship: towards a more adequate theory of “work”’, </w:t>
      </w:r>
      <w:r w:rsidRPr="00147E8C">
        <w:rPr>
          <w:i/>
          <w:iCs/>
          <w:color w:val="000000" w:themeColor="text1"/>
        </w:rPr>
        <w:t>Business Ethics Quarterly,</w:t>
      </w:r>
      <w:r w:rsidRPr="00147E8C">
        <w:rPr>
          <w:color w:val="000000" w:themeColor="text1"/>
        </w:rPr>
        <w:t xml:space="preserve"> pp.1-34. doi:10.1017/beq.2017.6</w:t>
      </w:r>
    </w:p>
    <w:p w14:paraId="4BCFF052" w14:textId="77777777" w:rsidR="00A96CF7" w:rsidRPr="00147E8C" w:rsidRDefault="00A96CF7" w:rsidP="00A96CF7">
      <w:pPr>
        <w:spacing w:line="276" w:lineRule="auto"/>
        <w:rPr>
          <w:color w:val="000000" w:themeColor="text1"/>
          <w:lang w:val="en-US"/>
        </w:rPr>
      </w:pPr>
      <w:r w:rsidRPr="00147E8C">
        <w:rPr>
          <w:color w:val="000000" w:themeColor="text1"/>
          <w:lang w:val="en-US"/>
        </w:rPr>
        <w:t>Jones, E., Smith, S., and Wills, C. (2012) ‘Women producers and the benefits of collective forms of enterprise</w:t>
      </w:r>
      <w:r w:rsidRPr="00147E8C">
        <w:rPr>
          <w:i/>
          <w:color w:val="000000" w:themeColor="text1"/>
          <w:lang w:val="en-US"/>
        </w:rPr>
        <w:t xml:space="preserve">’, Gender &amp; Development, </w:t>
      </w:r>
      <w:r w:rsidRPr="00147E8C">
        <w:rPr>
          <w:color w:val="000000" w:themeColor="text1"/>
          <w:lang w:val="en-US"/>
        </w:rPr>
        <w:t>20 (1), pp. 13–32.</w:t>
      </w:r>
    </w:p>
    <w:p w14:paraId="03434BB1"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Kabeer, N. (1994) </w:t>
      </w:r>
      <w:r w:rsidRPr="00147E8C">
        <w:rPr>
          <w:i/>
          <w:iCs/>
          <w:color w:val="000000" w:themeColor="text1"/>
        </w:rPr>
        <w:t>Reversed realities: gender hierarchies in development thought</w:t>
      </w:r>
      <w:r w:rsidRPr="00147E8C">
        <w:rPr>
          <w:color w:val="000000" w:themeColor="text1"/>
        </w:rPr>
        <w:t xml:space="preserve">. London: Verso. </w:t>
      </w:r>
    </w:p>
    <w:p w14:paraId="47BB66DE" w14:textId="77777777" w:rsidR="00A96CF7" w:rsidRPr="00147E8C" w:rsidRDefault="00A96CF7" w:rsidP="00A96CF7">
      <w:pPr>
        <w:spacing w:line="276" w:lineRule="auto"/>
        <w:rPr>
          <w:color w:val="000000" w:themeColor="text1"/>
        </w:rPr>
      </w:pPr>
      <w:r w:rsidRPr="00147E8C">
        <w:rPr>
          <w:color w:val="000000" w:themeColor="text1"/>
        </w:rPr>
        <w:lastRenderedPageBreak/>
        <w:t>Kabeer, N. (1997) ‘</w:t>
      </w:r>
      <w:r w:rsidRPr="00147E8C">
        <w:rPr>
          <w:iCs/>
          <w:color w:val="000000" w:themeColor="text1"/>
        </w:rPr>
        <w:t>Women, wages and intra-household power relations in urban Bangladesh</w:t>
      </w:r>
      <w:r w:rsidRPr="00147E8C">
        <w:rPr>
          <w:i/>
          <w:iCs/>
          <w:color w:val="000000" w:themeColor="text1"/>
        </w:rPr>
        <w:t xml:space="preserve">’, </w:t>
      </w:r>
      <w:r w:rsidRPr="00147E8C">
        <w:rPr>
          <w:i/>
          <w:color w:val="000000" w:themeColor="text1"/>
        </w:rPr>
        <w:t>Development and Change</w:t>
      </w:r>
      <w:r w:rsidRPr="00147E8C">
        <w:rPr>
          <w:color w:val="000000" w:themeColor="text1"/>
        </w:rPr>
        <w:t xml:space="preserve">, 28 (2), pp. 61-302. </w:t>
      </w:r>
    </w:p>
    <w:p w14:paraId="7B663ADF" w14:textId="77777777" w:rsidR="00A96CF7" w:rsidRPr="00147E8C" w:rsidRDefault="00A96CF7" w:rsidP="00A96CF7">
      <w:pPr>
        <w:spacing w:line="276" w:lineRule="auto"/>
        <w:rPr>
          <w:color w:val="000000" w:themeColor="text1"/>
        </w:rPr>
      </w:pPr>
    </w:p>
    <w:p w14:paraId="1BED8742" w14:textId="77777777" w:rsidR="00A96CF7" w:rsidRPr="00147E8C" w:rsidRDefault="00A96CF7" w:rsidP="00A96CF7">
      <w:pPr>
        <w:spacing w:line="276" w:lineRule="auto"/>
        <w:rPr>
          <w:color w:val="000000" w:themeColor="text1"/>
        </w:rPr>
      </w:pPr>
      <w:r w:rsidRPr="00147E8C">
        <w:rPr>
          <w:color w:val="000000" w:themeColor="text1"/>
        </w:rPr>
        <w:t xml:space="preserve">Kabeer, N. (1998) </w:t>
      </w:r>
      <w:r w:rsidRPr="00147E8C">
        <w:rPr>
          <w:i/>
          <w:iCs/>
          <w:color w:val="000000" w:themeColor="text1"/>
        </w:rPr>
        <w:t>Money can’t buy me love?’ re-evaluating gender, credit and empowerment in rural Bangladesh</w:t>
      </w:r>
      <w:r w:rsidRPr="00147E8C">
        <w:rPr>
          <w:color w:val="000000" w:themeColor="text1"/>
        </w:rPr>
        <w:t xml:space="preserve">. IDS Discussion Paper 363. Sussex: Institute of Development Studies. </w:t>
      </w:r>
    </w:p>
    <w:p w14:paraId="026AA767" w14:textId="77777777" w:rsidR="00A96CF7" w:rsidRPr="00147E8C" w:rsidRDefault="00A96CF7" w:rsidP="00A96CF7">
      <w:pPr>
        <w:spacing w:line="276" w:lineRule="auto"/>
        <w:rPr>
          <w:color w:val="000000" w:themeColor="text1"/>
        </w:rPr>
      </w:pPr>
    </w:p>
    <w:p w14:paraId="50A4C547" w14:textId="77777777" w:rsidR="00A96CF7" w:rsidRPr="00147E8C" w:rsidRDefault="00A96CF7" w:rsidP="00A96CF7">
      <w:pPr>
        <w:spacing w:line="276" w:lineRule="auto"/>
        <w:rPr>
          <w:color w:val="000000" w:themeColor="text1"/>
        </w:rPr>
      </w:pPr>
      <w:r w:rsidRPr="00147E8C">
        <w:rPr>
          <w:color w:val="000000" w:themeColor="text1"/>
        </w:rPr>
        <w:t xml:space="preserve">Kabeer, N. (1999a) ‘Resources, agency, achievements: reflections on the measurement of women’s empowerment’, </w:t>
      </w:r>
      <w:r w:rsidRPr="00147E8C">
        <w:rPr>
          <w:i/>
          <w:iCs/>
          <w:color w:val="000000" w:themeColor="text1"/>
        </w:rPr>
        <w:t>Development and Change</w:t>
      </w:r>
      <w:r w:rsidRPr="00147E8C">
        <w:rPr>
          <w:color w:val="000000" w:themeColor="text1"/>
        </w:rPr>
        <w:t xml:space="preserve">, 30, pp. 435- 464. </w:t>
      </w:r>
    </w:p>
    <w:p w14:paraId="5C310ABD" w14:textId="77777777" w:rsidR="00A96CF7" w:rsidRPr="00147E8C" w:rsidRDefault="00A96CF7" w:rsidP="00A96CF7">
      <w:pPr>
        <w:spacing w:line="276" w:lineRule="auto"/>
        <w:rPr>
          <w:color w:val="000000" w:themeColor="text1"/>
        </w:rPr>
      </w:pPr>
    </w:p>
    <w:p w14:paraId="6075CC40" w14:textId="77777777" w:rsidR="00A96CF7" w:rsidRPr="00147E8C" w:rsidRDefault="00A96CF7" w:rsidP="00A96CF7">
      <w:pPr>
        <w:spacing w:line="276" w:lineRule="auto"/>
        <w:rPr>
          <w:color w:val="000000" w:themeColor="text1"/>
        </w:rPr>
      </w:pPr>
      <w:r w:rsidRPr="00147E8C">
        <w:rPr>
          <w:color w:val="000000" w:themeColor="text1"/>
        </w:rPr>
        <w:t xml:space="preserve">Kabeer, N. (1999b) </w:t>
      </w:r>
      <w:r w:rsidRPr="00147E8C">
        <w:rPr>
          <w:i/>
          <w:iCs/>
          <w:color w:val="000000" w:themeColor="text1"/>
        </w:rPr>
        <w:t xml:space="preserve">The conditions and consequences of choice: reflections on the measurement of women s empowerment. </w:t>
      </w:r>
      <w:r w:rsidRPr="00147E8C">
        <w:rPr>
          <w:color w:val="000000" w:themeColor="text1"/>
        </w:rPr>
        <w:t xml:space="preserve"> UNRISD Discussion Paper No. 108, Geneva: United Nations Research Institute for Social Development (UNRISD)</w:t>
      </w:r>
    </w:p>
    <w:p w14:paraId="22299A0E" w14:textId="77777777" w:rsidR="00A96CF7" w:rsidRPr="00147E8C" w:rsidRDefault="00A96CF7" w:rsidP="00A96CF7">
      <w:pPr>
        <w:spacing w:line="276" w:lineRule="auto"/>
        <w:rPr>
          <w:color w:val="000000" w:themeColor="text1"/>
        </w:rPr>
      </w:pPr>
    </w:p>
    <w:p w14:paraId="3107C6A8" w14:textId="77777777" w:rsidR="00A96CF7" w:rsidRPr="00147E8C" w:rsidRDefault="00A96CF7" w:rsidP="00A96CF7">
      <w:pPr>
        <w:spacing w:line="276" w:lineRule="auto"/>
        <w:rPr>
          <w:color w:val="000000" w:themeColor="text1"/>
          <w:lang w:val="en-US"/>
        </w:rPr>
      </w:pPr>
      <w:r w:rsidRPr="00147E8C">
        <w:rPr>
          <w:color w:val="000000" w:themeColor="text1"/>
        </w:rPr>
        <w:t xml:space="preserve">Kabeer, N. (2000) </w:t>
      </w:r>
      <w:r w:rsidRPr="00147E8C">
        <w:rPr>
          <w:i/>
          <w:iCs/>
          <w:color w:val="000000" w:themeColor="text1"/>
        </w:rPr>
        <w:t>The power to choose: Bangladeshi women and labour market decisions in London and Dhaka.</w:t>
      </w:r>
      <w:r w:rsidRPr="00147E8C">
        <w:rPr>
          <w:color w:val="000000" w:themeColor="text1"/>
        </w:rPr>
        <w:t xml:space="preserve"> </w:t>
      </w:r>
      <w:r w:rsidRPr="00147E8C">
        <w:rPr>
          <w:color w:val="000000" w:themeColor="text1"/>
          <w:lang w:val="en-US"/>
        </w:rPr>
        <w:t xml:space="preserve">London: Verso. </w:t>
      </w:r>
    </w:p>
    <w:p w14:paraId="125CDE05" w14:textId="77777777" w:rsidR="00A96CF7" w:rsidRPr="00147E8C" w:rsidRDefault="00A96CF7" w:rsidP="00A96CF7">
      <w:pPr>
        <w:spacing w:line="276" w:lineRule="auto"/>
        <w:rPr>
          <w:color w:val="000000" w:themeColor="text1"/>
        </w:rPr>
      </w:pPr>
    </w:p>
    <w:p w14:paraId="0FBE2822" w14:textId="77777777" w:rsidR="00A96CF7" w:rsidRPr="00147E8C" w:rsidRDefault="00A96CF7" w:rsidP="00A96CF7">
      <w:pPr>
        <w:spacing w:line="276" w:lineRule="auto"/>
        <w:rPr>
          <w:color w:val="000000" w:themeColor="text1"/>
          <w:lang w:val="en-US"/>
        </w:rPr>
      </w:pPr>
      <w:r w:rsidRPr="00147E8C">
        <w:rPr>
          <w:color w:val="000000" w:themeColor="text1"/>
        </w:rPr>
        <w:t xml:space="preserve">Kabeer, N. (2001a) ‘Conflicts over credit: re-evaluating the empowerment potential of loans to women in rural Bangladesh’, </w:t>
      </w:r>
      <w:r w:rsidRPr="00147E8C">
        <w:rPr>
          <w:i/>
          <w:color w:val="000000" w:themeColor="text1"/>
          <w:lang w:val="en-US"/>
        </w:rPr>
        <w:t>World Development</w:t>
      </w:r>
      <w:r w:rsidRPr="00147E8C">
        <w:rPr>
          <w:color w:val="000000" w:themeColor="text1"/>
          <w:lang w:val="en-US"/>
        </w:rPr>
        <w:t>, 1 (29), pp.63-84.</w:t>
      </w:r>
    </w:p>
    <w:p w14:paraId="0D164A51" w14:textId="77777777" w:rsidR="00A96CF7" w:rsidRPr="00147E8C" w:rsidRDefault="00A96CF7" w:rsidP="00A96CF7">
      <w:pPr>
        <w:spacing w:line="276" w:lineRule="auto"/>
        <w:rPr>
          <w:color w:val="000000" w:themeColor="text1"/>
        </w:rPr>
      </w:pPr>
    </w:p>
    <w:p w14:paraId="2B2DAE1D" w14:textId="77777777" w:rsidR="00A96CF7" w:rsidRPr="00147E8C" w:rsidRDefault="00A96CF7" w:rsidP="00A96CF7">
      <w:pPr>
        <w:spacing w:line="276" w:lineRule="auto"/>
        <w:rPr>
          <w:color w:val="000000" w:themeColor="text1"/>
          <w:lang w:val="en-US"/>
        </w:rPr>
      </w:pPr>
      <w:r w:rsidRPr="00147E8C">
        <w:rPr>
          <w:color w:val="000000" w:themeColor="text1"/>
        </w:rPr>
        <w:t xml:space="preserve">Kabeer, N. (2001b) ‘Reflections on the measurement of women’s empowerment’ in Sisask, A. (ed.) </w:t>
      </w:r>
      <w:r w:rsidRPr="00147E8C">
        <w:rPr>
          <w:i/>
          <w:color w:val="000000" w:themeColor="text1"/>
        </w:rPr>
        <w:t>Discussing women’s empowerment-theory and practice</w:t>
      </w:r>
      <w:r w:rsidRPr="00147E8C">
        <w:rPr>
          <w:color w:val="000000" w:themeColor="text1"/>
        </w:rPr>
        <w:t xml:space="preserve">, </w:t>
      </w:r>
      <w:r w:rsidRPr="00147E8C">
        <w:rPr>
          <w:i/>
          <w:color w:val="000000" w:themeColor="text1"/>
        </w:rPr>
        <w:t>Sida Studies No. 3.</w:t>
      </w:r>
      <w:r w:rsidRPr="00147E8C">
        <w:rPr>
          <w:color w:val="000000" w:themeColor="text1"/>
        </w:rPr>
        <w:t xml:space="preserve"> </w:t>
      </w:r>
      <w:r w:rsidRPr="00147E8C">
        <w:rPr>
          <w:color w:val="000000" w:themeColor="text1"/>
          <w:lang w:val="en-US"/>
        </w:rPr>
        <w:t xml:space="preserve">Stockholm: Novum Grafiska AB. pp.17-54. </w:t>
      </w:r>
    </w:p>
    <w:p w14:paraId="127D5A37" w14:textId="77777777" w:rsidR="00A96CF7" w:rsidRPr="00147E8C" w:rsidRDefault="00A96CF7" w:rsidP="00A96CF7">
      <w:pPr>
        <w:pStyle w:val="NormalWeb"/>
        <w:spacing w:line="276" w:lineRule="auto"/>
        <w:rPr>
          <w:color w:val="000000" w:themeColor="text1"/>
        </w:rPr>
      </w:pPr>
      <w:r w:rsidRPr="00147E8C">
        <w:rPr>
          <w:color w:val="000000" w:themeColor="text1"/>
        </w:rPr>
        <w:t>Kabeer, N. (2005) ‘Gender equality and women's empowerment: a critical analysis of the third millennium development goal 1’</w:t>
      </w:r>
      <w:r w:rsidRPr="00147E8C">
        <w:rPr>
          <w:i/>
          <w:color w:val="000000" w:themeColor="text1"/>
        </w:rPr>
        <w:t>, Gender &amp; Development</w:t>
      </w:r>
      <w:r w:rsidRPr="00147E8C">
        <w:rPr>
          <w:color w:val="000000" w:themeColor="text1"/>
        </w:rPr>
        <w:t xml:space="preserve">, 13 (1), pp.13-24. </w:t>
      </w:r>
    </w:p>
    <w:p w14:paraId="6DFAB4FD" w14:textId="77777777" w:rsidR="00A96CF7" w:rsidRPr="00147E8C" w:rsidRDefault="00A96CF7" w:rsidP="00A96CF7">
      <w:pPr>
        <w:pStyle w:val="NormalWeb"/>
        <w:spacing w:line="276" w:lineRule="auto"/>
        <w:rPr>
          <w:color w:val="000000" w:themeColor="text1"/>
        </w:rPr>
      </w:pPr>
      <w:r w:rsidRPr="00147E8C">
        <w:rPr>
          <w:color w:val="000000" w:themeColor="text1"/>
        </w:rPr>
        <w:t>Kabeer (2005), ‘Is Microfinance a ‘Magic Bullet’ or Women’s Empowerment? Analysis of Findings from South Asia’, Economic and Political Weekly, Vol.40, Nos.44/45, pp.4709-4718.</w:t>
      </w:r>
    </w:p>
    <w:p w14:paraId="45FE32EA"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Kabeer, N. (2007). </w:t>
      </w:r>
      <w:r w:rsidRPr="00147E8C">
        <w:rPr>
          <w:i/>
          <w:color w:val="000000" w:themeColor="text1"/>
          <w:lang w:val="en-US"/>
        </w:rPr>
        <w:t>Marriage, motherhood and masculinity in the global economy: reconfigurations of personal and economic life</w:t>
      </w:r>
      <w:r w:rsidRPr="00147E8C">
        <w:rPr>
          <w:color w:val="000000" w:themeColor="text1"/>
          <w:lang w:val="en-US"/>
        </w:rPr>
        <w:t xml:space="preserve">.  Santa Cruz: UC Santa Cruz- </w:t>
      </w:r>
      <w:r w:rsidRPr="00147E8C">
        <w:rPr>
          <w:iCs/>
          <w:color w:val="000000" w:themeColor="text1"/>
          <w:lang w:val="en-US"/>
        </w:rPr>
        <w:t>Center for Global, International and Regional Studies</w:t>
      </w:r>
      <w:r w:rsidRPr="00147E8C">
        <w:rPr>
          <w:color w:val="000000" w:themeColor="text1"/>
          <w:lang w:val="en-US"/>
        </w:rPr>
        <w:t>.</w:t>
      </w:r>
    </w:p>
    <w:p w14:paraId="43F40F27" w14:textId="77777777" w:rsidR="00A96CF7" w:rsidRPr="00147E8C" w:rsidRDefault="00A96CF7" w:rsidP="00A96CF7">
      <w:pPr>
        <w:spacing w:line="276" w:lineRule="auto"/>
        <w:rPr>
          <w:color w:val="000000" w:themeColor="text1"/>
          <w:lang w:val="en-US"/>
        </w:rPr>
      </w:pPr>
    </w:p>
    <w:p w14:paraId="04F62456" w14:textId="77777777" w:rsidR="00A96CF7" w:rsidRPr="00147E8C" w:rsidRDefault="00A96CF7" w:rsidP="00A96CF7">
      <w:pPr>
        <w:spacing w:line="276" w:lineRule="auto"/>
        <w:rPr>
          <w:color w:val="000000" w:themeColor="text1"/>
        </w:rPr>
      </w:pPr>
      <w:r w:rsidRPr="00147E8C">
        <w:rPr>
          <w:color w:val="000000" w:themeColor="text1"/>
        </w:rPr>
        <w:t xml:space="preserve">Kabeer, N. (2008) </w:t>
      </w:r>
      <w:r w:rsidRPr="00147E8C">
        <w:rPr>
          <w:i/>
          <w:color w:val="000000" w:themeColor="text1"/>
        </w:rPr>
        <w:t>Paid work, women’s empowerment and gender justice: critical pathways of social change</w:t>
      </w:r>
      <w:r w:rsidRPr="00147E8C">
        <w:rPr>
          <w:color w:val="000000" w:themeColor="text1"/>
        </w:rPr>
        <w:t>. Pathways Working Paper 3. Brighton: Institute of Development Studies.</w:t>
      </w:r>
    </w:p>
    <w:p w14:paraId="71DCB08F" w14:textId="77777777" w:rsidR="00A96CF7" w:rsidRPr="00147E8C" w:rsidRDefault="00A96CF7" w:rsidP="00A96CF7">
      <w:pPr>
        <w:spacing w:line="276" w:lineRule="auto"/>
        <w:rPr>
          <w:color w:val="000000" w:themeColor="text1"/>
        </w:rPr>
      </w:pPr>
    </w:p>
    <w:p w14:paraId="3A6E5C6E" w14:textId="77777777" w:rsidR="00A96CF7" w:rsidRPr="00147E8C" w:rsidRDefault="00A96CF7" w:rsidP="00A96CF7">
      <w:pPr>
        <w:spacing w:line="276" w:lineRule="auto"/>
        <w:rPr>
          <w:color w:val="000000" w:themeColor="text1"/>
        </w:rPr>
      </w:pPr>
      <w:r w:rsidRPr="00147E8C">
        <w:rPr>
          <w:color w:val="000000" w:themeColor="text1"/>
        </w:rPr>
        <w:t>Kabeer, N. (2012a) ‘Empowerment, citizenship and gender justice: a contribution to locally grounded theories of change in women’s lives’</w:t>
      </w:r>
      <w:r w:rsidRPr="00147E8C">
        <w:rPr>
          <w:i/>
          <w:iCs/>
          <w:color w:val="000000" w:themeColor="text1"/>
        </w:rPr>
        <w:t>, Ethics and Social Welfare</w:t>
      </w:r>
      <w:r w:rsidRPr="00147E8C">
        <w:rPr>
          <w:color w:val="000000" w:themeColor="text1"/>
        </w:rPr>
        <w:t>, 6 (3), pp. 216–232.</w:t>
      </w:r>
    </w:p>
    <w:p w14:paraId="36DCB2D1" w14:textId="77777777" w:rsidR="00A96CF7" w:rsidRPr="00147E8C" w:rsidRDefault="00A96CF7" w:rsidP="00A96CF7">
      <w:pPr>
        <w:spacing w:line="276" w:lineRule="auto"/>
        <w:rPr>
          <w:color w:val="000000" w:themeColor="text1"/>
        </w:rPr>
      </w:pPr>
    </w:p>
    <w:p w14:paraId="4BC4C102" w14:textId="77777777" w:rsidR="00A96CF7" w:rsidRPr="00147E8C" w:rsidRDefault="00A96CF7" w:rsidP="00A96CF7">
      <w:pPr>
        <w:spacing w:line="276" w:lineRule="auto"/>
        <w:rPr>
          <w:color w:val="000000" w:themeColor="text1"/>
          <w:lang w:val="en-US"/>
        </w:rPr>
      </w:pPr>
      <w:r w:rsidRPr="00147E8C">
        <w:rPr>
          <w:color w:val="000000" w:themeColor="text1"/>
        </w:rPr>
        <w:lastRenderedPageBreak/>
        <w:t xml:space="preserve">Kabeer, N. (2012b) </w:t>
      </w:r>
      <w:r w:rsidRPr="00147E8C">
        <w:rPr>
          <w:i/>
          <w:color w:val="000000" w:themeColor="text1"/>
        </w:rPr>
        <w:t>Women’s economic empowerment and inclusive growth: labour markets and enterprise development</w:t>
      </w:r>
      <w:r w:rsidRPr="00147E8C">
        <w:rPr>
          <w:color w:val="000000" w:themeColor="text1"/>
        </w:rPr>
        <w:t xml:space="preserve">. </w:t>
      </w:r>
      <w:r w:rsidRPr="00147E8C">
        <w:rPr>
          <w:color w:val="000000" w:themeColor="text1"/>
          <w:lang w:val="en-US"/>
        </w:rPr>
        <w:t xml:space="preserve">SIG Working paper No.2012/1. London: International Development Research Centre.  </w:t>
      </w:r>
    </w:p>
    <w:p w14:paraId="562D55B2" w14:textId="77777777" w:rsidR="00A96CF7" w:rsidRPr="00147E8C" w:rsidRDefault="00A96CF7" w:rsidP="00A96CF7">
      <w:pPr>
        <w:spacing w:line="276" w:lineRule="auto"/>
        <w:rPr>
          <w:color w:val="000000" w:themeColor="text1"/>
          <w:lang w:val="en-US"/>
        </w:rPr>
      </w:pPr>
    </w:p>
    <w:p w14:paraId="243D840E" w14:textId="35FE378A" w:rsidR="00A96CF7" w:rsidRPr="00402556" w:rsidRDefault="00A96CF7" w:rsidP="00A96CF7">
      <w:pPr>
        <w:spacing w:line="276" w:lineRule="auto"/>
        <w:rPr>
          <w:color w:val="000000" w:themeColor="text1"/>
          <w:lang w:val="en-US"/>
        </w:rPr>
      </w:pPr>
      <w:r w:rsidRPr="00402556">
        <w:rPr>
          <w:rStyle w:val="Hyperlink"/>
          <w:rFonts w:eastAsiaTheme="majorEastAsia"/>
          <w:color w:val="000000" w:themeColor="text1"/>
          <w:u w:val="none"/>
        </w:rPr>
        <w:t xml:space="preserve">Kabeer, N. (2017a) </w:t>
      </w:r>
      <w:r w:rsidRPr="00402556">
        <w:rPr>
          <w:rStyle w:val="Hyperlink"/>
          <w:rFonts w:eastAsiaTheme="majorEastAsia"/>
          <w:i/>
          <w:color w:val="000000" w:themeColor="text1"/>
          <w:u w:val="none"/>
        </w:rPr>
        <w:t xml:space="preserve">Women’s economic empowerment and inclusive growth: labour markets and enterprise development </w:t>
      </w:r>
      <w:r w:rsidRPr="00402556">
        <w:rPr>
          <w:rStyle w:val="Hyperlink"/>
          <w:rFonts w:eastAsiaTheme="majorEastAsia"/>
          <w:color w:val="000000" w:themeColor="text1"/>
          <w:u w:val="none"/>
        </w:rPr>
        <w:t>[Online]. GrOW Working Paper Series GWP-2017-01 – Concept Paper. Available from: http://grow.research.</w:t>
      </w:r>
      <w:r w:rsidR="00C40083">
        <w:rPr>
          <w:rStyle w:val="Hyperlink"/>
          <w:rFonts w:eastAsiaTheme="majorEastAsia"/>
          <w:color w:val="000000" w:themeColor="text1"/>
          <w:u w:val="none"/>
        </w:rPr>
        <w:t xml:space="preserve">mcgill.ca/pubs/GWP-01-2017.pdf </w:t>
      </w:r>
      <w:r w:rsidR="0075410C">
        <w:rPr>
          <w:rStyle w:val="Hyperlink"/>
          <w:rFonts w:eastAsiaTheme="majorEastAsia"/>
          <w:color w:val="000000" w:themeColor="text1"/>
          <w:u w:val="none"/>
        </w:rPr>
        <w:t>[Accessed</w:t>
      </w:r>
      <w:r w:rsidRPr="00402556">
        <w:rPr>
          <w:rStyle w:val="Hyperlink"/>
          <w:rFonts w:eastAsiaTheme="majorEastAsia"/>
          <w:color w:val="000000" w:themeColor="text1"/>
          <w:u w:val="none"/>
        </w:rPr>
        <w:t xml:space="preserve"> 2</w:t>
      </w:r>
      <w:r w:rsidRPr="00402556">
        <w:rPr>
          <w:rStyle w:val="Hyperlink"/>
          <w:rFonts w:eastAsiaTheme="majorEastAsia"/>
          <w:color w:val="000000" w:themeColor="text1"/>
          <w:u w:val="none"/>
          <w:vertAlign w:val="superscript"/>
        </w:rPr>
        <w:t>nd</w:t>
      </w:r>
      <w:r w:rsidRPr="00402556">
        <w:rPr>
          <w:rStyle w:val="Hyperlink"/>
          <w:rFonts w:eastAsiaTheme="majorEastAsia"/>
          <w:color w:val="000000" w:themeColor="text1"/>
          <w:u w:val="none"/>
        </w:rPr>
        <w:t xml:space="preserve"> July 2017]</w:t>
      </w:r>
      <w:r w:rsidRPr="00402556">
        <w:rPr>
          <w:color w:val="000000" w:themeColor="text1"/>
        </w:rPr>
        <w:t xml:space="preserve">. </w:t>
      </w:r>
    </w:p>
    <w:p w14:paraId="66FFC043" w14:textId="77777777" w:rsidR="00A96CF7" w:rsidRPr="00147E8C" w:rsidRDefault="00A96CF7" w:rsidP="00A96CF7">
      <w:pPr>
        <w:spacing w:line="276" w:lineRule="auto"/>
        <w:rPr>
          <w:color w:val="000000" w:themeColor="text1"/>
          <w:lang w:val="en-US"/>
        </w:rPr>
      </w:pPr>
    </w:p>
    <w:p w14:paraId="7C7FA680" w14:textId="77777777" w:rsidR="00A96CF7" w:rsidRPr="00402556" w:rsidRDefault="0082537D" w:rsidP="00A96CF7">
      <w:pPr>
        <w:spacing w:line="276" w:lineRule="auto"/>
        <w:rPr>
          <w:color w:val="000000" w:themeColor="text1"/>
          <w:lang w:val="en-US"/>
        </w:rPr>
      </w:pPr>
      <w:hyperlink r:id="rId49" w:history="1">
        <w:r w:rsidR="00A96CF7" w:rsidRPr="00402556">
          <w:rPr>
            <w:rStyle w:val="Hyperlink"/>
            <w:rFonts w:eastAsiaTheme="majorEastAsia"/>
            <w:color w:val="000000" w:themeColor="text1"/>
            <w:u w:val="none"/>
          </w:rPr>
          <w:t xml:space="preserve">Kabeer, N.  (2017b) </w:t>
        </w:r>
        <w:r w:rsidR="00A96CF7" w:rsidRPr="00402556">
          <w:rPr>
            <w:rStyle w:val="Hyperlink"/>
            <w:rFonts w:eastAsiaTheme="majorEastAsia"/>
            <w:i/>
            <w:color w:val="000000" w:themeColor="text1"/>
            <w:u w:val="none"/>
          </w:rPr>
          <w:t xml:space="preserve">Women’s economic versus non-economic empowerment: is it a false dichotomy?  </w:t>
        </w:r>
        <w:r w:rsidR="00A96CF7" w:rsidRPr="00402556">
          <w:rPr>
            <w:rStyle w:val="Hyperlink"/>
            <w:rFonts w:eastAsiaTheme="majorEastAsia"/>
            <w:color w:val="000000" w:themeColor="text1"/>
            <w:u w:val="none"/>
          </w:rPr>
          <w:t>Women´s Economic Empowerment Global Learning Forum [Online].  Bangkok May 23-25. Available from: https://weeforum2017.org/plenaries/</w:t>
        </w:r>
      </w:hyperlink>
      <w:r w:rsidR="00A96CF7" w:rsidRPr="00402556">
        <w:rPr>
          <w:color w:val="000000" w:themeColor="text1"/>
        </w:rPr>
        <w:t xml:space="preserve"> [Accessed 28th May 2017]. </w:t>
      </w:r>
    </w:p>
    <w:p w14:paraId="48236660" w14:textId="77777777" w:rsidR="00A96CF7" w:rsidRPr="00402556" w:rsidRDefault="00A96CF7" w:rsidP="00A96CF7">
      <w:pPr>
        <w:spacing w:line="276" w:lineRule="auto"/>
        <w:rPr>
          <w:color w:val="000000" w:themeColor="text1"/>
          <w:lang w:val="en-US"/>
        </w:rPr>
      </w:pPr>
    </w:p>
    <w:p w14:paraId="111B3DAE" w14:textId="0C8FFCC7" w:rsidR="00A96CF7" w:rsidRPr="00402556" w:rsidRDefault="00A96CF7" w:rsidP="00A96CF7">
      <w:pPr>
        <w:spacing w:line="276" w:lineRule="auto"/>
        <w:rPr>
          <w:color w:val="000000" w:themeColor="text1"/>
        </w:rPr>
      </w:pPr>
      <w:r w:rsidRPr="00402556">
        <w:rPr>
          <w:color w:val="000000" w:themeColor="text1"/>
        </w:rPr>
        <w:t xml:space="preserve">Kabeer, N. (2017c) </w:t>
      </w:r>
      <w:r w:rsidRPr="00402556">
        <w:rPr>
          <w:i/>
          <w:color w:val="000000" w:themeColor="text1"/>
        </w:rPr>
        <w:t xml:space="preserve">Addressing non-market constraints for sustained WEE - a theory of change. </w:t>
      </w:r>
      <w:r w:rsidRPr="00402556">
        <w:rPr>
          <w:color w:val="000000" w:themeColor="text1"/>
        </w:rPr>
        <w:t>Interview WEE Global Learning Forum [Online]. 22 June 2017. Available from:</w:t>
      </w:r>
      <w:r w:rsidRPr="00402556">
        <w:rPr>
          <w:i/>
          <w:color w:val="000000" w:themeColor="text1"/>
        </w:rPr>
        <w:t xml:space="preserve"> </w:t>
      </w:r>
      <w:hyperlink r:id="rId50" w:history="1">
        <w:r w:rsidRPr="00402556">
          <w:rPr>
            <w:rStyle w:val="Hyperlink"/>
            <w:rFonts w:eastAsiaTheme="majorEastAsia"/>
            <w:color w:val="000000" w:themeColor="text1"/>
            <w:u w:val="none"/>
          </w:rPr>
          <w:t>http://www.seepnetwork.org/blog/addressing-non-market-constraints-sustained-wee-theory-change</w:t>
        </w:r>
      </w:hyperlink>
      <w:r w:rsidRPr="00402556">
        <w:rPr>
          <w:color w:val="000000" w:themeColor="text1"/>
        </w:rPr>
        <w:t xml:space="preserve"> [</w:t>
      </w:r>
      <w:r w:rsidR="0075410C">
        <w:rPr>
          <w:color w:val="000000" w:themeColor="text1"/>
        </w:rPr>
        <w:t>Accessed</w:t>
      </w:r>
      <w:r w:rsidRPr="00402556">
        <w:rPr>
          <w:color w:val="000000" w:themeColor="text1"/>
        </w:rPr>
        <w:t xml:space="preserve"> 2 July 2017].</w:t>
      </w:r>
    </w:p>
    <w:p w14:paraId="5D19F6A7" w14:textId="77777777" w:rsidR="00A96CF7" w:rsidRPr="00402556" w:rsidRDefault="00A96CF7" w:rsidP="00A96CF7">
      <w:pPr>
        <w:spacing w:line="276" w:lineRule="auto"/>
        <w:rPr>
          <w:color w:val="000000" w:themeColor="text1"/>
        </w:rPr>
      </w:pPr>
    </w:p>
    <w:p w14:paraId="48185895" w14:textId="77777777" w:rsidR="00A96CF7" w:rsidRPr="00147E8C" w:rsidRDefault="00A96CF7" w:rsidP="00A96CF7">
      <w:pPr>
        <w:spacing w:line="276" w:lineRule="auto"/>
        <w:rPr>
          <w:color w:val="000000" w:themeColor="text1"/>
          <w:lang w:val="en-US"/>
        </w:rPr>
      </w:pPr>
      <w:r w:rsidRPr="00147E8C">
        <w:rPr>
          <w:color w:val="000000" w:themeColor="text1"/>
        </w:rPr>
        <w:t xml:space="preserve">Kabeer, N., Khan, A. and Adlparvar, N. (2011) </w:t>
      </w:r>
      <w:r w:rsidRPr="00147E8C">
        <w:rPr>
          <w:i/>
          <w:iCs/>
          <w:color w:val="000000" w:themeColor="text1"/>
        </w:rPr>
        <w:t>Afghan values or women’s rights? gendered narratives about continuity and change in urban Afghanistan</w:t>
      </w:r>
      <w:r w:rsidRPr="00147E8C">
        <w:rPr>
          <w:color w:val="000000" w:themeColor="text1"/>
        </w:rPr>
        <w:t xml:space="preserve">. Working Paper 387. </w:t>
      </w:r>
      <w:r w:rsidRPr="00147E8C">
        <w:rPr>
          <w:color w:val="000000" w:themeColor="text1"/>
          <w:lang w:val="en-US"/>
        </w:rPr>
        <w:t>Brighton: Institute of Development Studies.</w:t>
      </w:r>
    </w:p>
    <w:p w14:paraId="690B25E4" w14:textId="77777777" w:rsidR="00A96CF7" w:rsidRPr="00147E8C" w:rsidRDefault="00A96CF7" w:rsidP="00A96CF7">
      <w:pPr>
        <w:spacing w:line="276" w:lineRule="auto"/>
        <w:rPr>
          <w:color w:val="000000" w:themeColor="text1"/>
        </w:rPr>
      </w:pPr>
    </w:p>
    <w:p w14:paraId="6BB98CE4" w14:textId="77777777" w:rsidR="00A96CF7" w:rsidRPr="00147E8C" w:rsidRDefault="00A96CF7" w:rsidP="00A96CF7">
      <w:pPr>
        <w:spacing w:line="276" w:lineRule="auto"/>
        <w:rPr>
          <w:color w:val="000000" w:themeColor="text1"/>
          <w:lang w:val="en-US"/>
        </w:rPr>
      </w:pPr>
      <w:r w:rsidRPr="00147E8C">
        <w:rPr>
          <w:color w:val="000000" w:themeColor="text1"/>
        </w:rPr>
        <w:t xml:space="preserve">Kabeer, N. and Natali, L. (2013) </w:t>
      </w:r>
      <w:r w:rsidRPr="00147E8C">
        <w:rPr>
          <w:i/>
          <w:color w:val="000000" w:themeColor="text1"/>
        </w:rPr>
        <w:t xml:space="preserve">Gender equality and economic growth: is there a win-win? </w:t>
      </w:r>
      <w:r w:rsidRPr="00147E8C">
        <w:rPr>
          <w:iCs/>
          <w:color w:val="000000" w:themeColor="text1"/>
          <w:lang w:val="en-US"/>
        </w:rPr>
        <w:t>IDS Working Papers</w:t>
      </w:r>
      <w:r w:rsidRPr="00147E8C">
        <w:rPr>
          <w:color w:val="000000" w:themeColor="text1"/>
          <w:lang w:val="en-US"/>
        </w:rPr>
        <w:t>, 2013 (417), pp.1-58.</w:t>
      </w:r>
    </w:p>
    <w:p w14:paraId="485F0AB4" w14:textId="77777777" w:rsidR="00A96CF7" w:rsidRPr="00147E8C" w:rsidRDefault="00A96CF7" w:rsidP="00A96CF7">
      <w:pPr>
        <w:spacing w:line="276" w:lineRule="auto"/>
        <w:rPr>
          <w:color w:val="000000" w:themeColor="text1"/>
        </w:rPr>
      </w:pPr>
    </w:p>
    <w:p w14:paraId="012A693F" w14:textId="77777777" w:rsidR="00A96CF7" w:rsidRPr="00147E8C" w:rsidRDefault="00A96CF7" w:rsidP="00A96CF7">
      <w:pPr>
        <w:spacing w:line="276" w:lineRule="auto"/>
        <w:rPr>
          <w:color w:val="000000" w:themeColor="text1"/>
        </w:rPr>
      </w:pPr>
      <w:r w:rsidRPr="00147E8C">
        <w:rPr>
          <w:color w:val="000000" w:themeColor="text1"/>
        </w:rPr>
        <w:t xml:space="preserve">Kampwirth, K. (1996) ‘The Mother of the Nicaraguans: Dona Violeta and the UNO's gender agenda’, </w:t>
      </w:r>
      <w:r w:rsidRPr="00147E8C">
        <w:rPr>
          <w:i/>
          <w:iCs/>
          <w:color w:val="000000" w:themeColor="text1"/>
        </w:rPr>
        <w:t>Latin American Perspectives</w:t>
      </w:r>
      <w:r w:rsidRPr="00147E8C">
        <w:rPr>
          <w:color w:val="000000" w:themeColor="text1"/>
        </w:rPr>
        <w:t>, 23 (1), pp. 67-86.</w:t>
      </w:r>
    </w:p>
    <w:p w14:paraId="53143ECC" w14:textId="77777777" w:rsidR="00A96CF7" w:rsidRPr="00147E8C" w:rsidRDefault="00A96CF7" w:rsidP="00A96CF7">
      <w:pPr>
        <w:spacing w:line="276" w:lineRule="auto"/>
        <w:rPr>
          <w:color w:val="000000" w:themeColor="text1"/>
        </w:rPr>
      </w:pPr>
    </w:p>
    <w:p w14:paraId="4AB9F8B1" w14:textId="77777777" w:rsidR="00A96CF7" w:rsidRPr="00147E8C" w:rsidRDefault="00A96CF7" w:rsidP="00A96CF7">
      <w:pPr>
        <w:spacing w:line="276" w:lineRule="auto"/>
        <w:rPr>
          <w:color w:val="000000" w:themeColor="text1"/>
        </w:rPr>
      </w:pPr>
      <w:r w:rsidRPr="00147E8C">
        <w:rPr>
          <w:color w:val="000000" w:themeColor="text1"/>
        </w:rPr>
        <w:t xml:space="preserve">Kampwirth K. (1998) ‘Feminism, antifeminism, and electoral politics in postwar Nicaragua and El Salvador’, </w:t>
      </w:r>
      <w:r w:rsidRPr="00147E8C">
        <w:rPr>
          <w:i/>
          <w:color w:val="000000" w:themeColor="text1"/>
        </w:rPr>
        <w:t>Political Science Quarterly</w:t>
      </w:r>
      <w:r w:rsidRPr="00147E8C">
        <w:rPr>
          <w:color w:val="000000" w:themeColor="text1"/>
        </w:rPr>
        <w:t xml:space="preserve"> 113, pp. 259–280.</w:t>
      </w:r>
    </w:p>
    <w:p w14:paraId="5B8688C6" w14:textId="77777777" w:rsidR="00A96CF7" w:rsidRPr="00147E8C" w:rsidRDefault="00A96CF7" w:rsidP="00A96CF7">
      <w:pPr>
        <w:spacing w:line="276" w:lineRule="auto"/>
        <w:rPr>
          <w:color w:val="000000" w:themeColor="text1"/>
        </w:rPr>
      </w:pPr>
    </w:p>
    <w:p w14:paraId="5339F20A" w14:textId="77777777" w:rsidR="00A96CF7" w:rsidRPr="00147E8C" w:rsidRDefault="00A96CF7" w:rsidP="00A96CF7">
      <w:pPr>
        <w:spacing w:line="276" w:lineRule="auto"/>
        <w:rPr>
          <w:i/>
          <w:color w:val="000000" w:themeColor="text1"/>
          <w:lang w:val="es-NI"/>
        </w:rPr>
      </w:pPr>
      <w:r w:rsidRPr="00147E8C">
        <w:rPr>
          <w:color w:val="000000" w:themeColor="text1"/>
          <w:lang w:val="es-NI"/>
        </w:rPr>
        <w:t xml:space="preserve">Kampwirth, K. (2002) </w:t>
      </w:r>
      <w:r w:rsidRPr="00147E8C">
        <w:rPr>
          <w:i/>
          <w:color w:val="000000" w:themeColor="text1"/>
          <w:lang w:val="es-NI"/>
        </w:rPr>
        <w:t>Women and guerrilla movements, Nicaragua, El Salvador, Chiapas,</w:t>
      </w:r>
    </w:p>
    <w:p w14:paraId="710748DD" w14:textId="77777777" w:rsidR="00A96CF7" w:rsidRPr="00147E8C" w:rsidRDefault="00A96CF7" w:rsidP="00A96CF7">
      <w:pPr>
        <w:spacing w:line="276" w:lineRule="auto"/>
        <w:rPr>
          <w:color w:val="000000" w:themeColor="text1"/>
        </w:rPr>
      </w:pPr>
      <w:r w:rsidRPr="00147E8C">
        <w:rPr>
          <w:i/>
          <w:color w:val="000000" w:themeColor="text1"/>
          <w:lang w:val="es-NI"/>
        </w:rPr>
        <w:t>Cuba</w:t>
      </w:r>
      <w:r w:rsidRPr="00147E8C">
        <w:rPr>
          <w:color w:val="000000" w:themeColor="text1"/>
          <w:lang w:val="es-NI"/>
        </w:rPr>
        <w:t xml:space="preserve">.  </w:t>
      </w:r>
      <w:r w:rsidRPr="00147E8C">
        <w:rPr>
          <w:color w:val="000000" w:themeColor="text1"/>
        </w:rPr>
        <w:t>Philadelphia: The Pennsylvania State University Press – University Park.</w:t>
      </w:r>
    </w:p>
    <w:p w14:paraId="3F834151" w14:textId="77777777" w:rsidR="00A96CF7" w:rsidRPr="00147E8C" w:rsidRDefault="00A96CF7" w:rsidP="00A96CF7">
      <w:pPr>
        <w:spacing w:line="276" w:lineRule="auto"/>
        <w:rPr>
          <w:color w:val="000000" w:themeColor="text1"/>
        </w:rPr>
      </w:pPr>
    </w:p>
    <w:p w14:paraId="296DA428" w14:textId="77777777" w:rsidR="00A96CF7" w:rsidRPr="00147E8C" w:rsidRDefault="00A96CF7" w:rsidP="00A96CF7">
      <w:pPr>
        <w:spacing w:line="276" w:lineRule="auto"/>
        <w:rPr>
          <w:color w:val="000000" w:themeColor="text1"/>
        </w:rPr>
      </w:pPr>
      <w:r w:rsidRPr="00147E8C">
        <w:rPr>
          <w:color w:val="000000" w:themeColor="text1"/>
        </w:rPr>
        <w:t xml:space="preserve">Kampwirth, K. (2003) ‘Arnoldo Alemán takes on the NGOs: antifeminism and the new populism in Nicaragua’, </w:t>
      </w:r>
      <w:r w:rsidRPr="00147E8C">
        <w:rPr>
          <w:i/>
          <w:iCs/>
          <w:color w:val="000000" w:themeColor="text1"/>
        </w:rPr>
        <w:t xml:space="preserve">Latin American Politics and Society </w:t>
      </w:r>
      <w:r w:rsidRPr="00147E8C">
        <w:rPr>
          <w:color w:val="000000" w:themeColor="text1"/>
        </w:rPr>
        <w:t xml:space="preserve">2, pp. 133-58. </w:t>
      </w:r>
    </w:p>
    <w:p w14:paraId="6E3F634D" w14:textId="77777777" w:rsidR="00A96CF7" w:rsidRPr="00147E8C" w:rsidRDefault="00A96CF7" w:rsidP="00A96CF7">
      <w:pPr>
        <w:spacing w:line="276" w:lineRule="auto"/>
        <w:rPr>
          <w:color w:val="000000" w:themeColor="text1"/>
        </w:rPr>
      </w:pPr>
    </w:p>
    <w:p w14:paraId="10D179D6" w14:textId="77777777" w:rsidR="00A96CF7" w:rsidRPr="00147E8C" w:rsidRDefault="00A96CF7" w:rsidP="00A96CF7">
      <w:pPr>
        <w:spacing w:line="276" w:lineRule="auto"/>
        <w:rPr>
          <w:color w:val="000000" w:themeColor="text1"/>
        </w:rPr>
      </w:pPr>
      <w:r w:rsidRPr="00147E8C">
        <w:rPr>
          <w:color w:val="000000" w:themeColor="text1"/>
        </w:rPr>
        <w:t xml:space="preserve">Kampwirth, K. (2011) </w:t>
      </w:r>
      <w:r w:rsidRPr="00147E8C">
        <w:rPr>
          <w:i/>
          <w:iCs/>
          <w:color w:val="000000" w:themeColor="text1"/>
        </w:rPr>
        <w:t>Latin America’s new left and the politics of gender: Lessons from Nicaragua</w:t>
      </w:r>
      <w:r w:rsidRPr="00147E8C">
        <w:rPr>
          <w:color w:val="000000" w:themeColor="text1"/>
        </w:rPr>
        <w:t>. New York: Springer.</w:t>
      </w:r>
    </w:p>
    <w:p w14:paraId="4F3BB9C5" w14:textId="77777777" w:rsidR="00A96CF7" w:rsidRPr="00147E8C" w:rsidRDefault="00A96CF7" w:rsidP="00A96CF7">
      <w:pPr>
        <w:spacing w:line="276" w:lineRule="auto"/>
        <w:rPr>
          <w:color w:val="000000" w:themeColor="text1"/>
          <w:lang w:val="en-US"/>
        </w:rPr>
      </w:pPr>
      <w:r w:rsidRPr="00147E8C">
        <w:rPr>
          <w:i/>
          <w:color w:val="000000" w:themeColor="text1"/>
        </w:rPr>
        <w:t xml:space="preserve">  </w:t>
      </w:r>
    </w:p>
    <w:p w14:paraId="415288CB" w14:textId="77777777" w:rsidR="00A96CF7" w:rsidRPr="00147E8C" w:rsidRDefault="00A96CF7" w:rsidP="00A96CF7">
      <w:pPr>
        <w:spacing w:line="276" w:lineRule="auto"/>
        <w:rPr>
          <w:color w:val="000000" w:themeColor="text1"/>
        </w:rPr>
      </w:pPr>
      <w:r w:rsidRPr="00147E8C">
        <w:rPr>
          <w:color w:val="000000" w:themeColor="text1"/>
        </w:rPr>
        <w:t xml:space="preserve">Kandiyoti, D. (1988) ‘Bargaining with patriarchy’, </w:t>
      </w:r>
      <w:r w:rsidRPr="00147E8C">
        <w:rPr>
          <w:i/>
          <w:iCs/>
          <w:color w:val="000000" w:themeColor="text1"/>
        </w:rPr>
        <w:t>Gender and Society</w:t>
      </w:r>
      <w:r w:rsidRPr="00147E8C">
        <w:rPr>
          <w:color w:val="000000" w:themeColor="text1"/>
        </w:rPr>
        <w:t xml:space="preserve"> 2 (3), pp. 274-290.</w:t>
      </w:r>
    </w:p>
    <w:p w14:paraId="16569F80" w14:textId="77777777" w:rsidR="00A96CF7" w:rsidRPr="00147E8C" w:rsidRDefault="00A96CF7" w:rsidP="00A96CF7">
      <w:pPr>
        <w:spacing w:line="276" w:lineRule="auto"/>
        <w:rPr>
          <w:color w:val="000000" w:themeColor="text1"/>
        </w:rPr>
      </w:pPr>
    </w:p>
    <w:p w14:paraId="1431BD7B" w14:textId="77777777" w:rsidR="00A96CF7" w:rsidRPr="00147E8C" w:rsidRDefault="00A96CF7" w:rsidP="00A96CF7">
      <w:pPr>
        <w:spacing w:line="276" w:lineRule="auto"/>
        <w:rPr>
          <w:color w:val="000000" w:themeColor="text1"/>
        </w:rPr>
      </w:pPr>
      <w:r w:rsidRPr="00147E8C">
        <w:rPr>
          <w:color w:val="000000" w:themeColor="text1"/>
        </w:rPr>
        <w:t xml:space="preserve">Keleher, H. and Franklin, L. (2008) ‘Changing gendered norms about women and girls at the level of household and community: a review of the evidence’, </w:t>
      </w:r>
      <w:r w:rsidRPr="00147E8C">
        <w:rPr>
          <w:i/>
          <w:iCs/>
          <w:color w:val="000000" w:themeColor="text1"/>
        </w:rPr>
        <w:t>Global Public Health: An International Journal for Research, Policy and Practice</w:t>
      </w:r>
      <w:r w:rsidRPr="00147E8C">
        <w:rPr>
          <w:color w:val="000000" w:themeColor="text1"/>
        </w:rPr>
        <w:t>, 3 (S1), pp. 42-57.</w:t>
      </w:r>
    </w:p>
    <w:p w14:paraId="533ED234" w14:textId="77777777" w:rsidR="00A96CF7" w:rsidRPr="00147E8C" w:rsidRDefault="00A96CF7" w:rsidP="00A96CF7">
      <w:pPr>
        <w:spacing w:line="276" w:lineRule="auto"/>
        <w:rPr>
          <w:color w:val="000000" w:themeColor="text1"/>
        </w:rPr>
      </w:pPr>
    </w:p>
    <w:p w14:paraId="2C12E969" w14:textId="7A7BA151" w:rsidR="00A96CF7" w:rsidRPr="00147E8C" w:rsidRDefault="00A96CF7" w:rsidP="00A96CF7">
      <w:pPr>
        <w:spacing w:line="276" w:lineRule="auto"/>
        <w:rPr>
          <w:color w:val="000000" w:themeColor="text1"/>
          <w:lang w:val="en-US"/>
        </w:rPr>
      </w:pPr>
      <w:r w:rsidRPr="00147E8C">
        <w:rPr>
          <w:color w:val="000000" w:themeColor="text1"/>
          <w:lang w:val="en-US"/>
        </w:rPr>
        <w:t>Kerry, J., 2010. ‘</w:t>
      </w:r>
      <w:r w:rsidRPr="00147E8C">
        <w:rPr>
          <w:iCs/>
          <w:color w:val="000000" w:themeColor="text1"/>
          <w:lang w:val="en-US"/>
        </w:rPr>
        <w:t xml:space="preserve">Women's empowerment: </w:t>
      </w:r>
      <w:r w:rsidR="0075410C" w:rsidRPr="00147E8C">
        <w:rPr>
          <w:iCs/>
          <w:color w:val="000000" w:themeColor="text1"/>
          <w:lang w:val="en-US"/>
        </w:rPr>
        <w:t>A</w:t>
      </w:r>
      <w:r w:rsidRPr="00147E8C">
        <w:rPr>
          <w:iCs/>
          <w:color w:val="000000" w:themeColor="text1"/>
          <w:lang w:val="en-US"/>
        </w:rPr>
        <w:t xml:space="preserve"> World Bank priority for the 21</w:t>
      </w:r>
      <w:r w:rsidRPr="00147E8C">
        <w:rPr>
          <w:iCs/>
          <w:color w:val="000000" w:themeColor="text1"/>
          <w:vertAlign w:val="superscript"/>
          <w:lang w:val="en-US"/>
        </w:rPr>
        <w:t>st</w:t>
      </w:r>
      <w:r w:rsidRPr="00147E8C">
        <w:rPr>
          <w:color w:val="000000" w:themeColor="text1"/>
          <w:lang w:val="en-US"/>
        </w:rPr>
        <w:t xml:space="preserve"> c</w:t>
      </w:r>
      <w:r w:rsidRPr="00147E8C">
        <w:rPr>
          <w:iCs/>
          <w:color w:val="000000" w:themeColor="text1"/>
          <w:lang w:val="en-US"/>
        </w:rPr>
        <w:t>entury</w:t>
      </w:r>
      <w:r w:rsidRPr="00147E8C">
        <w:rPr>
          <w:color w:val="000000" w:themeColor="text1"/>
          <w:lang w:val="en-US"/>
        </w:rPr>
        <w:t xml:space="preserve">’, </w:t>
      </w:r>
      <w:r w:rsidRPr="00147E8C">
        <w:rPr>
          <w:i/>
          <w:color w:val="000000" w:themeColor="text1"/>
          <w:lang w:val="en-US"/>
        </w:rPr>
        <w:t xml:space="preserve">Gender Equality as Smart Economics </w:t>
      </w:r>
      <w:r w:rsidRPr="00147E8C">
        <w:rPr>
          <w:color w:val="000000" w:themeColor="text1"/>
          <w:lang w:val="en-US"/>
        </w:rPr>
        <w:t>[Online], No.</w:t>
      </w:r>
      <w:r w:rsidRPr="00147E8C">
        <w:rPr>
          <w:color w:val="000000" w:themeColor="text1"/>
          <w:shd w:val="clear" w:color="auto" w:fill="FFFFFF"/>
        </w:rPr>
        <w:t xml:space="preserve"> 60583</w:t>
      </w:r>
      <w:r w:rsidRPr="00147E8C">
        <w:rPr>
          <w:color w:val="000000" w:themeColor="text1"/>
          <w:lang w:val="en-US"/>
        </w:rPr>
        <w:t>, p.1. Available from:   http://documents.worldbank.org/curated/en/125221468175766844/pdf/605830NEWS0Gen10Box358323B01PUBLIC1.pdf [Accessed: 22 Jun 2017].</w:t>
      </w:r>
    </w:p>
    <w:p w14:paraId="6C9136C9" w14:textId="77777777" w:rsidR="00A96CF7" w:rsidRPr="00147E8C" w:rsidRDefault="00A96CF7" w:rsidP="00A96CF7">
      <w:pPr>
        <w:pStyle w:val="NormalWeb"/>
        <w:spacing w:line="276" w:lineRule="auto"/>
        <w:rPr>
          <w:color w:val="000000" w:themeColor="text1"/>
        </w:rPr>
      </w:pPr>
      <w:r w:rsidRPr="00147E8C">
        <w:rPr>
          <w:rFonts w:eastAsia="Arial Unicode MS"/>
          <w:color w:val="000000" w:themeColor="text1"/>
        </w:rPr>
        <w:t>Khader, S. J. (2009) ‘Adaptive preferences and procedural autonomy’,</w:t>
      </w:r>
      <w:r w:rsidRPr="00147E8C">
        <w:rPr>
          <w:rFonts w:eastAsia="Arial Unicode MS"/>
          <w:i/>
          <w:color w:val="000000" w:themeColor="text1"/>
        </w:rPr>
        <w:t xml:space="preserve"> Journal of Human Development and Capabilities</w:t>
      </w:r>
      <w:r w:rsidRPr="00147E8C">
        <w:rPr>
          <w:rFonts w:eastAsia="Arial Unicode MS"/>
          <w:color w:val="000000" w:themeColor="text1"/>
        </w:rPr>
        <w:t xml:space="preserve">, 10 (2), pp.169-187. </w:t>
      </w:r>
    </w:p>
    <w:p w14:paraId="19EFAE77" w14:textId="77777777" w:rsidR="00A96CF7" w:rsidRPr="00402556" w:rsidRDefault="00A96CF7" w:rsidP="00A96CF7">
      <w:pPr>
        <w:spacing w:line="276" w:lineRule="auto"/>
        <w:rPr>
          <w:color w:val="000000" w:themeColor="text1"/>
          <w:shd w:val="clear" w:color="auto" w:fill="FFFFFF"/>
        </w:rPr>
      </w:pPr>
      <w:r w:rsidRPr="00147E8C">
        <w:rPr>
          <w:color w:val="000000" w:themeColor="text1"/>
          <w:shd w:val="clear" w:color="auto" w:fill="FFFFFF"/>
        </w:rPr>
        <w:t>Khader, S.J. (2011) </w:t>
      </w:r>
      <w:r w:rsidRPr="00147E8C">
        <w:rPr>
          <w:i/>
          <w:iCs/>
          <w:color w:val="000000" w:themeColor="text1"/>
          <w:bdr w:val="none" w:sz="0" w:space="0" w:color="auto" w:frame="1"/>
        </w:rPr>
        <w:t>Adaptive preferences and women's empowerment</w:t>
      </w:r>
      <w:r w:rsidRPr="00147E8C">
        <w:rPr>
          <w:color w:val="000000" w:themeColor="text1"/>
          <w:shd w:val="clear" w:color="auto" w:fill="FFFFFF"/>
        </w:rPr>
        <w:t xml:space="preserve">, [Online]. Oxford Scholarship Online. Available from: </w:t>
      </w:r>
      <w:hyperlink r:id="rId51" w:history="1">
        <w:r w:rsidRPr="00402556">
          <w:rPr>
            <w:rStyle w:val="Hyperlink"/>
            <w:rFonts w:eastAsiaTheme="majorEastAsia"/>
            <w:color w:val="000000" w:themeColor="text1"/>
            <w:u w:val="none"/>
            <w:shd w:val="clear" w:color="auto" w:fill="FFFFFF"/>
          </w:rPr>
          <w:t>http://www.oxfordscholarship.com/view/10.1093/acprof:oso/9780199777884.001.0001/acprof-9780199777884</w:t>
        </w:r>
      </w:hyperlink>
      <w:r w:rsidRPr="00402556">
        <w:rPr>
          <w:color w:val="000000" w:themeColor="text1"/>
          <w:shd w:val="clear" w:color="auto" w:fill="FFFFFF"/>
        </w:rPr>
        <w:t xml:space="preserve"> [Accessed 16th August 2017]. </w:t>
      </w:r>
    </w:p>
    <w:p w14:paraId="1B04BF02" w14:textId="77777777" w:rsidR="00A96CF7" w:rsidRPr="00402556" w:rsidRDefault="00A96CF7" w:rsidP="00A96CF7">
      <w:pPr>
        <w:spacing w:line="276" w:lineRule="auto"/>
        <w:rPr>
          <w:color w:val="000000" w:themeColor="text1"/>
        </w:rPr>
      </w:pPr>
    </w:p>
    <w:p w14:paraId="202076E9" w14:textId="01F31F4B" w:rsidR="00A96CF7" w:rsidRPr="00402556" w:rsidRDefault="00A96CF7" w:rsidP="00A96CF7">
      <w:pPr>
        <w:spacing w:line="276" w:lineRule="auto"/>
        <w:rPr>
          <w:color w:val="000000" w:themeColor="text1"/>
        </w:rPr>
      </w:pPr>
      <w:r w:rsidRPr="00402556">
        <w:rPr>
          <w:color w:val="000000" w:themeColor="text1"/>
        </w:rPr>
        <w:t xml:space="preserve">Khanna, </w:t>
      </w:r>
      <w:r w:rsidR="00C40083" w:rsidRPr="00402556">
        <w:rPr>
          <w:color w:val="000000" w:themeColor="text1"/>
        </w:rPr>
        <w:t>A.</w:t>
      </w:r>
      <w:r w:rsidR="00C40083">
        <w:rPr>
          <w:color w:val="000000" w:themeColor="text1"/>
        </w:rPr>
        <w:t>,</w:t>
      </w:r>
      <w:r w:rsidR="00C40083" w:rsidRPr="00402556">
        <w:rPr>
          <w:color w:val="000000" w:themeColor="text1"/>
        </w:rPr>
        <w:t xml:space="preserve"> Mani</w:t>
      </w:r>
      <w:r w:rsidRPr="00402556">
        <w:rPr>
          <w:color w:val="000000" w:themeColor="text1"/>
        </w:rPr>
        <w:t xml:space="preserve">, P. and Patterson, Z. (2013) </w:t>
      </w:r>
      <w:r w:rsidRPr="00402556">
        <w:rPr>
          <w:i/>
          <w:color w:val="000000" w:themeColor="text1"/>
        </w:rPr>
        <w:t>The changing faces of citizen action: a mapping study through ‘unruly lens”</w:t>
      </w:r>
      <w:r w:rsidRPr="00402556">
        <w:rPr>
          <w:color w:val="000000" w:themeColor="text1"/>
        </w:rPr>
        <w:t xml:space="preserve">. [Online] IDS Working Paper 423.Available from: </w:t>
      </w:r>
      <w:hyperlink r:id="rId52" w:history="1">
        <w:r w:rsidRPr="00402556">
          <w:rPr>
            <w:rStyle w:val="Hyperlink"/>
            <w:rFonts w:eastAsiaTheme="majorEastAsia"/>
            <w:color w:val="000000" w:themeColor="text1"/>
            <w:u w:val="none"/>
          </w:rPr>
          <w:t>https://www.ids.ac.uk/files/dmfile/Wp423.pdf</w:t>
        </w:r>
      </w:hyperlink>
      <w:r w:rsidRPr="00402556">
        <w:rPr>
          <w:color w:val="000000" w:themeColor="text1"/>
        </w:rPr>
        <w:t xml:space="preserve"> [Accessed 9th March 2017]. </w:t>
      </w:r>
    </w:p>
    <w:p w14:paraId="187E918D" w14:textId="77777777" w:rsidR="00A96CF7" w:rsidRPr="00402556" w:rsidRDefault="00A96CF7" w:rsidP="00A96CF7">
      <w:pPr>
        <w:spacing w:line="276" w:lineRule="auto"/>
        <w:rPr>
          <w:color w:val="000000" w:themeColor="text1"/>
        </w:rPr>
      </w:pPr>
    </w:p>
    <w:p w14:paraId="4AA29DF2" w14:textId="77777777" w:rsidR="00A96CF7" w:rsidRPr="00147E8C" w:rsidRDefault="00A96CF7" w:rsidP="00A96CF7">
      <w:pPr>
        <w:spacing w:line="276" w:lineRule="auto"/>
        <w:rPr>
          <w:color w:val="000000" w:themeColor="text1"/>
        </w:rPr>
      </w:pPr>
      <w:r w:rsidRPr="00402556">
        <w:rPr>
          <w:color w:val="000000" w:themeColor="text1"/>
        </w:rPr>
        <w:t xml:space="preserve">Kidder, T. and Pionetti, C. (2013) </w:t>
      </w:r>
      <w:r w:rsidRPr="00402556">
        <w:rPr>
          <w:i/>
          <w:iCs/>
          <w:color w:val="000000" w:themeColor="text1"/>
        </w:rPr>
        <w:t>Participatory</w:t>
      </w:r>
      <w:r w:rsidRPr="00147E8C">
        <w:rPr>
          <w:i/>
          <w:iCs/>
          <w:color w:val="000000" w:themeColor="text1"/>
        </w:rPr>
        <w:t xml:space="preserve"> Methodology: Rapid Care Analysis, Guidance for Managers and Facilitators</w:t>
      </w:r>
      <w:r w:rsidRPr="00147E8C">
        <w:rPr>
          <w:color w:val="000000" w:themeColor="text1"/>
        </w:rPr>
        <w:t xml:space="preserve">, Oxford: Gendered Enterprise and Markets Programme, Oxfam GB. </w:t>
      </w:r>
    </w:p>
    <w:p w14:paraId="5B9230F1" w14:textId="77777777" w:rsidR="00A96CF7" w:rsidRPr="00147E8C" w:rsidRDefault="00A96CF7" w:rsidP="00A96CF7">
      <w:pPr>
        <w:spacing w:line="276" w:lineRule="auto"/>
        <w:rPr>
          <w:color w:val="000000" w:themeColor="text1"/>
        </w:rPr>
      </w:pPr>
    </w:p>
    <w:p w14:paraId="126C7A33" w14:textId="77777777" w:rsidR="00A96CF7" w:rsidRPr="00147E8C" w:rsidRDefault="00A96CF7" w:rsidP="00A96CF7">
      <w:pPr>
        <w:spacing w:line="276" w:lineRule="auto"/>
        <w:rPr>
          <w:color w:val="000000" w:themeColor="text1"/>
          <w:lang w:val="en-US"/>
        </w:rPr>
      </w:pPr>
      <w:r w:rsidRPr="00147E8C">
        <w:rPr>
          <w:color w:val="000000" w:themeColor="text1"/>
        </w:rPr>
        <w:t xml:space="preserve">Kirsch, G. E. (2005) ‘Friendship, friendliness, and feminist fieldwork’, </w:t>
      </w:r>
      <w:r w:rsidRPr="00147E8C">
        <w:rPr>
          <w:i/>
          <w:iCs/>
          <w:color w:val="000000" w:themeColor="text1"/>
          <w:lang w:val="en-US"/>
        </w:rPr>
        <w:t xml:space="preserve">Signs: Journal of Women in Culture and Society, </w:t>
      </w:r>
      <w:r w:rsidRPr="00147E8C">
        <w:rPr>
          <w:color w:val="000000" w:themeColor="text1"/>
          <w:lang w:val="en-US"/>
        </w:rPr>
        <w:t xml:space="preserve">30 (4), pp. 2163-2172. </w:t>
      </w:r>
    </w:p>
    <w:p w14:paraId="6698B88A" w14:textId="77777777" w:rsidR="00A96CF7" w:rsidRPr="00147E8C" w:rsidRDefault="00A96CF7" w:rsidP="00A96CF7">
      <w:pPr>
        <w:spacing w:line="276" w:lineRule="auto"/>
        <w:rPr>
          <w:color w:val="000000" w:themeColor="text1"/>
          <w:lang w:val="en-US"/>
        </w:rPr>
      </w:pPr>
    </w:p>
    <w:p w14:paraId="0BEC60F3" w14:textId="77777777" w:rsidR="00A96CF7" w:rsidRPr="00147E8C" w:rsidRDefault="00A96CF7" w:rsidP="00A96CF7">
      <w:pPr>
        <w:spacing w:line="276" w:lineRule="auto"/>
        <w:rPr>
          <w:color w:val="000000" w:themeColor="text1"/>
        </w:rPr>
      </w:pPr>
      <w:r w:rsidRPr="00147E8C">
        <w:rPr>
          <w:color w:val="000000" w:themeColor="text1"/>
          <w:lang w:val="en-US"/>
        </w:rPr>
        <w:t xml:space="preserve">Klassen, M., Shakya, H., Cislaghi, B., Markel, M., Merrill, S., Jenal, M., Vasudevan, R., Garloch, A. (2017) </w:t>
      </w:r>
      <w:r w:rsidRPr="00147E8C">
        <w:rPr>
          <w:i/>
          <w:color w:val="000000" w:themeColor="text1"/>
          <w:lang w:val="en-US"/>
        </w:rPr>
        <w:t>Social norms in market systems development: a practitioner-led research brief.</w:t>
      </w:r>
      <w:r w:rsidRPr="00147E8C">
        <w:rPr>
          <w:color w:val="000000" w:themeColor="text1"/>
          <w:lang w:val="en-US"/>
        </w:rPr>
        <w:t xml:space="preserve"> [Online]. London: The Beam Exchange. Available from: </w:t>
      </w:r>
      <w:hyperlink r:id="rId53" w:history="1">
        <w:r w:rsidRPr="00147E8C">
          <w:rPr>
            <w:color w:val="000000" w:themeColor="text1"/>
            <w:lang w:val="en-US"/>
          </w:rPr>
          <w:t>http://marketshareassociates.com/wp-content/uploads/2017/06/Social-Norms-in-Market-Systems.pdf</w:t>
        </w:r>
      </w:hyperlink>
      <w:r w:rsidRPr="00147E8C">
        <w:rPr>
          <w:i/>
          <w:iCs/>
          <w:color w:val="000000" w:themeColor="text1"/>
        </w:rPr>
        <w:t xml:space="preserve"> </w:t>
      </w:r>
      <w:r w:rsidRPr="00147E8C">
        <w:rPr>
          <w:iCs/>
          <w:color w:val="000000" w:themeColor="text1"/>
        </w:rPr>
        <w:t>[Accessed 15th May 2017].</w:t>
      </w:r>
    </w:p>
    <w:p w14:paraId="06500374" w14:textId="77777777" w:rsidR="00A96CF7" w:rsidRPr="00147E8C" w:rsidRDefault="00A96CF7" w:rsidP="00A96CF7">
      <w:pPr>
        <w:spacing w:line="276" w:lineRule="auto"/>
        <w:rPr>
          <w:color w:val="000000" w:themeColor="text1"/>
        </w:rPr>
      </w:pPr>
    </w:p>
    <w:p w14:paraId="46A11CF5" w14:textId="77777777" w:rsidR="00A96CF7" w:rsidRPr="00147E8C" w:rsidRDefault="00A96CF7" w:rsidP="00A96CF7">
      <w:pPr>
        <w:spacing w:line="276" w:lineRule="auto"/>
        <w:rPr>
          <w:color w:val="000000" w:themeColor="text1"/>
        </w:rPr>
      </w:pPr>
      <w:r w:rsidRPr="00147E8C">
        <w:rPr>
          <w:color w:val="000000" w:themeColor="text1"/>
        </w:rPr>
        <w:t xml:space="preserve">Kleine, D. (2010) ‘ICT4 WHAT? -using the choice framework to operationalise the capability approach to development’, </w:t>
      </w:r>
      <w:r w:rsidRPr="00147E8C">
        <w:rPr>
          <w:i/>
          <w:color w:val="000000" w:themeColor="text1"/>
        </w:rPr>
        <w:t>Journal of International Development</w:t>
      </w:r>
      <w:r w:rsidRPr="00147E8C">
        <w:rPr>
          <w:color w:val="000000" w:themeColor="text1"/>
        </w:rPr>
        <w:t>, 5 (22), pp. 674-692.</w:t>
      </w:r>
    </w:p>
    <w:p w14:paraId="2DE0B61A"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Knowles, C. (1997) </w:t>
      </w:r>
      <w:r w:rsidRPr="00147E8C">
        <w:rPr>
          <w:i/>
          <w:iCs/>
          <w:color w:val="000000" w:themeColor="text1"/>
        </w:rPr>
        <w:t>Family boundaries: The invention of normality and dangerousness.</w:t>
      </w:r>
      <w:r w:rsidRPr="00147E8C">
        <w:rPr>
          <w:color w:val="000000" w:themeColor="text1"/>
        </w:rPr>
        <w:t xml:space="preserve"> Toronto: UTP Higher Education. </w:t>
      </w:r>
    </w:p>
    <w:p w14:paraId="20B6C7C8" w14:textId="77777777" w:rsidR="00A96CF7" w:rsidRPr="00147E8C" w:rsidRDefault="00A96CF7" w:rsidP="00A96CF7">
      <w:pPr>
        <w:spacing w:line="276" w:lineRule="auto"/>
        <w:rPr>
          <w:color w:val="000000" w:themeColor="text1"/>
          <w:lang w:val="en-US"/>
        </w:rPr>
      </w:pPr>
      <w:r w:rsidRPr="00147E8C">
        <w:rPr>
          <w:color w:val="000000" w:themeColor="text1"/>
        </w:rPr>
        <w:lastRenderedPageBreak/>
        <w:t xml:space="preserve">Kruger, R.A., and Casey, M.A. (2000) </w:t>
      </w:r>
      <w:r w:rsidRPr="00147E8C">
        <w:rPr>
          <w:i/>
          <w:iCs/>
          <w:color w:val="000000" w:themeColor="text1"/>
        </w:rPr>
        <w:t xml:space="preserve">Focus groups: a practical guide for applied research, </w:t>
      </w:r>
      <w:r w:rsidRPr="00147E8C">
        <w:rPr>
          <w:iCs/>
          <w:color w:val="000000" w:themeColor="text1"/>
        </w:rPr>
        <w:t>3</w:t>
      </w:r>
      <w:r w:rsidRPr="00147E8C">
        <w:rPr>
          <w:iCs/>
          <w:color w:val="000000" w:themeColor="text1"/>
          <w:vertAlign w:val="superscript"/>
        </w:rPr>
        <w:t>rd</w:t>
      </w:r>
      <w:r w:rsidRPr="00147E8C">
        <w:rPr>
          <w:iCs/>
          <w:color w:val="000000" w:themeColor="text1"/>
        </w:rPr>
        <w:t xml:space="preserve"> edn.</w:t>
      </w:r>
      <w:r w:rsidRPr="00147E8C">
        <w:rPr>
          <w:i/>
          <w:iCs/>
          <w:color w:val="000000" w:themeColor="text1"/>
        </w:rPr>
        <w:t xml:space="preserve"> </w:t>
      </w:r>
      <w:r w:rsidRPr="00147E8C">
        <w:rPr>
          <w:iCs/>
          <w:color w:val="000000" w:themeColor="text1"/>
          <w:lang w:val="en-US"/>
        </w:rPr>
        <w:t>Thousand Oaks: Sage</w:t>
      </w:r>
    </w:p>
    <w:p w14:paraId="1F1B104F" w14:textId="77777777" w:rsidR="00A96CF7" w:rsidRPr="00147E8C" w:rsidRDefault="00A96CF7" w:rsidP="00A96CF7">
      <w:pPr>
        <w:spacing w:line="276" w:lineRule="auto"/>
        <w:rPr>
          <w:color w:val="000000" w:themeColor="text1"/>
        </w:rPr>
      </w:pPr>
    </w:p>
    <w:p w14:paraId="6C4D7991" w14:textId="77777777" w:rsidR="00A96CF7" w:rsidRPr="00147E8C" w:rsidRDefault="00A96CF7" w:rsidP="00A96CF7">
      <w:pPr>
        <w:spacing w:line="276" w:lineRule="auto"/>
        <w:rPr>
          <w:color w:val="000000" w:themeColor="text1"/>
        </w:rPr>
      </w:pPr>
      <w:r w:rsidRPr="00147E8C">
        <w:rPr>
          <w:color w:val="000000" w:themeColor="text1"/>
        </w:rPr>
        <w:t xml:space="preserve">Kruml, S. M., Geddes D. (2000) ‘Exploring the dimensions of emotional labour: The heart of Hochschild´s work’, </w:t>
      </w:r>
      <w:r w:rsidRPr="00147E8C">
        <w:rPr>
          <w:i/>
          <w:color w:val="000000" w:themeColor="text1"/>
        </w:rPr>
        <w:t>Management Communication Quarterly</w:t>
      </w:r>
      <w:r w:rsidRPr="00147E8C">
        <w:rPr>
          <w:color w:val="000000" w:themeColor="text1"/>
        </w:rPr>
        <w:t xml:space="preserve">, 14(1), pp. 8-49. </w:t>
      </w:r>
    </w:p>
    <w:p w14:paraId="733DABD4" w14:textId="77777777" w:rsidR="00A96CF7" w:rsidRPr="00147E8C" w:rsidRDefault="00A96CF7" w:rsidP="00A96CF7">
      <w:pPr>
        <w:spacing w:line="276" w:lineRule="auto"/>
        <w:rPr>
          <w:color w:val="000000" w:themeColor="text1"/>
        </w:rPr>
      </w:pPr>
    </w:p>
    <w:p w14:paraId="1FF5E379" w14:textId="77777777" w:rsidR="00A96CF7" w:rsidRPr="00147E8C" w:rsidRDefault="00A96CF7" w:rsidP="00A96CF7">
      <w:pPr>
        <w:spacing w:line="276" w:lineRule="auto"/>
        <w:rPr>
          <w:color w:val="000000" w:themeColor="text1"/>
          <w:lang w:val="en-US"/>
        </w:rPr>
      </w:pPr>
      <w:r w:rsidRPr="00147E8C">
        <w:rPr>
          <w:color w:val="000000" w:themeColor="text1"/>
        </w:rPr>
        <w:t xml:space="preserve">Kwan, M-P. (2001) ‘Quantitative methods and feminist geographic research’ in Moss, P. (ed.) </w:t>
      </w:r>
      <w:r w:rsidRPr="00147E8C">
        <w:rPr>
          <w:i/>
          <w:iCs/>
          <w:color w:val="000000" w:themeColor="text1"/>
        </w:rPr>
        <w:t>Feminist geography in practice: research and method</w:t>
      </w:r>
      <w:r w:rsidRPr="00147E8C">
        <w:rPr>
          <w:color w:val="000000" w:themeColor="text1"/>
        </w:rPr>
        <w:t xml:space="preserve">s. </w:t>
      </w:r>
      <w:r w:rsidRPr="00147E8C">
        <w:rPr>
          <w:color w:val="000000" w:themeColor="text1"/>
          <w:lang w:val="en-US"/>
        </w:rPr>
        <w:t xml:space="preserve">Oxford: Blackwell, pp.271-179. </w:t>
      </w:r>
    </w:p>
    <w:p w14:paraId="37244B62" w14:textId="77777777" w:rsidR="00A96CF7" w:rsidRPr="00147E8C" w:rsidRDefault="00A96CF7" w:rsidP="00A96CF7">
      <w:pPr>
        <w:spacing w:line="276" w:lineRule="auto"/>
        <w:rPr>
          <w:color w:val="000000" w:themeColor="text1"/>
        </w:rPr>
      </w:pPr>
    </w:p>
    <w:p w14:paraId="066CD1CF" w14:textId="77777777" w:rsidR="00A96CF7" w:rsidRPr="00147E8C" w:rsidRDefault="00A96CF7" w:rsidP="00A96CF7">
      <w:pPr>
        <w:spacing w:line="276" w:lineRule="auto"/>
        <w:rPr>
          <w:color w:val="000000" w:themeColor="text1"/>
          <w:lang w:val="es-NI"/>
        </w:rPr>
      </w:pPr>
      <w:r w:rsidRPr="00147E8C">
        <w:rPr>
          <w:color w:val="000000" w:themeColor="text1"/>
        </w:rPr>
        <w:t>Kwan, M-P. (2010) ‘Quantification’ in Smith, S., Pain, R., Marston S.A. and Jones, J. (eds.)  </w:t>
      </w:r>
      <w:r w:rsidRPr="00147E8C">
        <w:rPr>
          <w:i/>
          <w:iCs/>
          <w:color w:val="000000" w:themeColor="text1"/>
        </w:rPr>
        <w:t>The Sage handbook of social geographies</w:t>
      </w:r>
      <w:r w:rsidRPr="00147E8C">
        <w:rPr>
          <w:color w:val="000000" w:themeColor="text1"/>
        </w:rPr>
        <w:t xml:space="preserve">. </w:t>
      </w:r>
      <w:r w:rsidRPr="00147E8C">
        <w:rPr>
          <w:color w:val="000000" w:themeColor="text1"/>
          <w:lang w:val="es-NI"/>
        </w:rPr>
        <w:t xml:space="preserve">London: Sage. </w:t>
      </w:r>
    </w:p>
    <w:p w14:paraId="17B9B88F" w14:textId="77777777" w:rsidR="00A96CF7" w:rsidRPr="00147E8C" w:rsidRDefault="00A96CF7" w:rsidP="00A96CF7">
      <w:pPr>
        <w:spacing w:line="276" w:lineRule="auto"/>
        <w:rPr>
          <w:color w:val="000000" w:themeColor="text1"/>
          <w:lang w:val="es-NI"/>
        </w:rPr>
      </w:pPr>
    </w:p>
    <w:p w14:paraId="4AEA0EEE" w14:textId="77777777" w:rsidR="00A96CF7" w:rsidRPr="00402556" w:rsidRDefault="00A96CF7" w:rsidP="00A96CF7">
      <w:pPr>
        <w:spacing w:line="276" w:lineRule="auto"/>
        <w:rPr>
          <w:color w:val="000000" w:themeColor="text1"/>
          <w:lang w:val="en-US"/>
        </w:rPr>
      </w:pPr>
      <w:r w:rsidRPr="00402556">
        <w:rPr>
          <w:rStyle w:val="Hyperlink"/>
          <w:rFonts w:eastAsiaTheme="majorEastAsia"/>
          <w:color w:val="000000" w:themeColor="text1"/>
          <w:u w:val="none"/>
          <w:lang w:val="es-NI"/>
        </w:rPr>
        <w:t xml:space="preserve">Lagarde, M.(1990a) </w:t>
      </w:r>
      <w:r w:rsidRPr="00402556">
        <w:rPr>
          <w:rStyle w:val="Hyperlink"/>
          <w:rFonts w:eastAsiaTheme="majorEastAsia"/>
          <w:i/>
          <w:color w:val="000000" w:themeColor="text1"/>
          <w:u w:val="none"/>
          <w:lang w:val="es-NI"/>
        </w:rPr>
        <w:t xml:space="preserve">Identidad femenina </w:t>
      </w:r>
      <w:r w:rsidRPr="00402556">
        <w:rPr>
          <w:rStyle w:val="Hyperlink"/>
          <w:rFonts w:eastAsiaTheme="majorEastAsia"/>
          <w:color w:val="000000" w:themeColor="text1"/>
          <w:u w:val="none"/>
          <w:lang w:val="es-NI"/>
        </w:rPr>
        <w:t xml:space="preserve">[Online]. Ciudad de México: comunicación, intercambio y desarrollo humano en América Latina. </w:t>
      </w:r>
      <w:r w:rsidRPr="00402556">
        <w:rPr>
          <w:rStyle w:val="Hyperlink"/>
          <w:rFonts w:eastAsiaTheme="majorEastAsia"/>
          <w:color w:val="000000" w:themeColor="text1"/>
          <w:u w:val="none"/>
        </w:rPr>
        <w:t>Available from: https://xenero.webs.uvigo.es/profesorado/purificacion_mayobre/identidad.pdf [Accessed: 15th June 2017].</w:t>
      </w:r>
    </w:p>
    <w:p w14:paraId="104B9728" w14:textId="77777777" w:rsidR="00A96CF7" w:rsidRPr="00402556" w:rsidRDefault="00A96CF7" w:rsidP="00A96CF7">
      <w:pPr>
        <w:spacing w:line="276" w:lineRule="auto"/>
        <w:rPr>
          <w:color w:val="000000" w:themeColor="text1"/>
          <w:lang w:val="en-US"/>
        </w:rPr>
      </w:pPr>
    </w:p>
    <w:p w14:paraId="3EF29314"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Lagarde, M. (1990b) </w:t>
      </w:r>
      <w:r w:rsidRPr="00147E8C">
        <w:rPr>
          <w:i/>
          <w:iCs/>
          <w:color w:val="000000" w:themeColor="text1"/>
          <w:lang w:val="es-NI"/>
        </w:rPr>
        <w:t>Los cautiverios de las mujeres: madresposas, monjas, putas, presas y locas</w:t>
      </w:r>
      <w:r w:rsidRPr="00147E8C">
        <w:rPr>
          <w:color w:val="000000" w:themeColor="text1"/>
          <w:lang w:val="es-NI"/>
        </w:rPr>
        <w:t>. México: Universidad Nacional Autónoma de México, Coordinación General de Estudios de Posgrado.</w:t>
      </w:r>
    </w:p>
    <w:p w14:paraId="7B012CEB" w14:textId="77777777" w:rsidR="00A96CF7" w:rsidRPr="00147E8C" w:rsidRDefault="00A96CF7" w:rsidP="00A96CF7">
      <w:pPr>
        <w:pStyle w:val="NormalWeb"/>
        <w:spacing w:before="0" w:beforeAutospacing="0" w:after="0" w:afterAutospacing="0" w:line="276" w:lineRule="auto"/>
        <w:rPr>
          <w:color w:val="000000" w:themeColor="text1"/>
          <w:lang w:val="es-NI"/>
        </w:rPr>
      </w:pPr>
    </w:p>
    <w:p w14:paraId="77253E96" w14:textId="77777777"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t xml:space="preserve">Lather, P. (1988). </w:t>
      </w:r>
      <w:r w:rsidRPr="00147E8C">
        <w:rPr>
          <w:i/>
          <w:color w:val="000000" w:themeColor="text1"/>
        </w:rPr>
        <w:t>Feminist Perspective on Empowering Research Methodologies.</w:t>
      </w:r>
      <w:r w:rsidRPr="00147E8C">
        <w:rPr>
          <w:color w:val="000000" w:themeColor="text1"/>
        </w:rPr>
        <w:t xml:space="preserve"> </w:t>
      </w:r>
      <w:r w:rsidRPr="00147E8C">
        <w:rPr>
          <w:i/>
          <w:iCs/>
          <w:color w:val="000000" w:themeColor="text1"/>
        </w:rPr>
        <w:t>Women’s Studies International Forum, 11</w:t>
      </w:r>
      <w:r w:rsidRPr="00147E8C">
        <w:rPr>
          <w:color w:val="000000" w:themeColor="text1"/>
        </w:rPr>
        <w:t>(6), 569-581</w:t>
      </w:r>
    </w:p>
    <w:p w14:paraId="6ADEED36" w14:textId="77777777" w:rsidR="00A96CF7" w:rsidRPr="00147E8C" w:rsidRDefault="00A96CF7" w:rsidP="00A96CF7">
      <w:pPr>
        <w:spacing w:line="276" w:lineRule="auto"/>
        <w:rPr>
          <w:color w:val="000000" w:themeColor="text1"/>
          <w:lang w:val="en-US"/>
        </w:rPr>
      </w:pPr>
    </w:p>
    <w:p w14:paraId="053F200A" w14:textId="282427AB" w:rsidR="00A96CF7" w:rsidRPr="00147E8C" w:rsidRDefault="00A96CF7" w:rsidP="00A96CF7">
      <w:pPr>
        <w:spacing w:line="276" w:lineRule="auto"/>
        <w:rPr>
          <w:color w:val="000000" w:themeColor="text1"/>
          <w:lang w:val="en-US"/>
        </w:rPr>
      </w:pPr>
      <w:r w:rsidRPr="00147E8C">
        <w:rPr>
          <w:color w:val="000000" w:themeColor="text1"/>
          <w:lang w:val="en-US"/>
        </w:rPr>
        <w:t xml:space="preserve">Lairap-Fonderson, J. (2002) ‘The disciplinary power of micro credit: examples from Kenya and Cameroon’in Parpart, J., Rai, S. and </w:t>
      </w:r>
      <w:r w:rsidR="00C40083" w:rsidRPr="00147E8C">
        <w:rPr>
          <w:color w:val="000000" w:themeColor="text1"/>
          <w:lang w:val="en-US"/>
        </w:rPr>
        <w:t>Staudt, K.</w:t>
      </w:r>
      <w:r w:rsidRPr="00147E8C">
        <w:rPr>
          <w:color w:val="000000" w:themeColor="text1"/>
          <w:lang w:val="en-US"/>
        </w:rPr>
        <w:t xml:space="preserve"> (eds.) </w:t>
      </w:r>
      <w:r w:rsidRPr="00147E8C">
        <w:rPr>
          <w:i/>
          <w:iCs/>
          <w:color w:val="000000" w:themeColor="text1"/>
          <w:lang w:val="en-US"/>
        </w:rPr>
        <w:t>Rethinking empowerment: gender and development in a global/local world</w:t>
      </w:r>
      <w:r w:rsidRPr="00147E8C">
        <w:rPr>
          <w:color w:val="000000" w:themeColor="text1"/>
          <w:lang w:val="en-US"/>
        </w:rPr>
        <w:t xml:space="preserve">. New York: Routledge. pp. 182-198.  </w:t>
      </w:r>
    </w:p>
    <w:p w14:paraId="61BCD701" w14:textId="77777777" w:rsidR="00A96CF7" w:rsidRPr="00F645CE" w:rsidRDefault="00A96CF7" w:rsidP="00A96CF7">
      <w:pPr>
        <w:pStyle w:val="NormalWeb"/>
        <w:spacing w:line="276" w:lineRule="auto"/>
        <w:rPr>
          <w:color w:val="000000" w:themeColor="text1"/>
        </w:rPr>
      </w:pPr>
      <w:r w:rsidRPr="00147E8C">
        <w:rPr>
          <w:color w:val="000000" w:themeColor="text1"/>
        </w:rPr>
        <w:t xml:space="preserve">Lambert, N. M. (2010) ‘The influence of identity and opportunity on the Nicaraguan </w:t>
      </w:r>
      <w:r w:rsidRPr="00F645CE">
        <w:rPr>
          <w:color w:val="000000" w:themeColor="text1"/>
        </w:rPr>
        <w:t xml:space="preserve">women's movement’, </w:t>
      </w:r>
      <w:r w:rsidRPr="00F645CE">
        <w:rPr>
          <w:i/>
          <w:color w:val="000000" w:themeColor="text1"/>
        </w:rPr>
        <w:t>Theses and dissertations</w:t>
      </w:r>
      <w:r w:rsidRPr="00F645CE">
        <w:rPr>
          <w:color w:val="000000" w:themeColor="text1"/>
        </w:rPr>
        <w:t xml:space="preserve">. [Online] 892. Available from: </w:t>
      </w:r>
      <w:hyperlink r:id="rId54" w:history="1">
        <w:r w:rsidRPr="00F645CE">
          <w:rPr>
            <w:rStyle w:val="Hyperlink"/>
            <w:color w:val="000000" w:themeColor="text1"/>
            <w:u w:val="none"/>
          </w:rPr>
          <w:t>http://utdr.utoledo.edu/theses-dissertations/892</w:t>
        </w:r>
      </w:hyperlink>
      <w:r w:rsidRPr="00F645CE">
        <w:rPr>
          <w:color w:val="000000" w:themeColor="text1"/>
        </w:rPr>
        <w:t xml:space="preserve"> [Accessed 8th March 2017]. </w:t>
      </w:r>
    </w:p>
    <w:p w14:paraId="2491241F" w14:textId="77777777" w:rsidR="00A96CF7" w:rsidRPr="00147E8C" w:rsidRDefault="00A96CF7" w:rsidP="00A96CF7">
      <w:pPr>
        <w:pStyle w:val="NormalWeb"/>
        <w:spacing w:line="276" w:lineRule="auto"/>
        <w:rPr>
          <w:color w:val="000000" w:themeColor="text1"/>
          <w:lang w:val="es-NI"/>
        </w:rPr>
      </w:pPr>
      <w:r w:rsidRPr="00147E8C">
        <w:rPr>
          <w:color w:val="000000" w:themeColor="text1"/>
        </w:rPr>
        <w:t xml:space="preserve">Lancaster, R.N. (1992) </w:t>
      </w:r>
      <w:r w:rsidRPr="00147E8C">
        <w:rPr>
          <w:i/>
          <w:color w:val="000000" w:themeColor="text1"/>
        </w:rPr>
        <w:t>Life is hard: machismo, danger, and the intimacy of power in Nicaragua.</w:t>
      </w:r>
      <w:r w:rsidRPr="00147E8C">
        <w:rPr>
          <w:color w:val="000000" w:themeColor="text1"/>
        </w:rPr>
        <w:t xml:space="preserve"> </w:t>
      </w:r>
      <w:r w:rsidRPr="00147E8C">
        <w:rPr>
          <w:color w:val="000000" w:themeColor="text1"/>
          <w:lang w:val="es-NI"/>
        </w:rPr>
        <w:t>Berkeley: University of California Press.</w:t>
      </w:r>
    </w:p>
    <w:p w14:paraId="6F237C2C" w14:textId="77777777" w:rsidR="00A96CF7" w:rsidRPr="00147E8C" w:rsidRDefault="00A96CF7" w:rsidP="00A96CF7">
      <w:pPr>
        <w:spacing w:line="276" w:lineRule="auto"/>
        <w:rPr>
          <w:color w:val="000000" w:themeColor="text1"/>
          <w:lang w:val="es-NI"/>
        </w:rPr>
      </w:pPr>
      <w:r w:rsidRPr="00147E8C">
        <w:rPr>
          <w:color w:val="000000" w:themeColor="text1"/>
          <w:lang w:val="es-NI"/>
        </w:rPr>
        <w:t>Larracoechea, E. (2010) ‘Mujeres y religión, ¿Siervas o ciudadanas?: Reflexiones preliminaries sobre el estudio de caso de las mujeres cristianas organizadas del norte de Nicaragua’ in Brantome, C. and Gómez, G. (eds.)</w:t>
      </w:r>
      <w:r w:rsidRPr="00147E8C">
        <w:rPr>
          <w:i/>
          <w:iCs/>
          <w:color w:val="000000" w:themeColor="text1"/>
          <w:lang w:val="es-NI"/>
        </w:rPr>
        <w:t xml:space="preserve"> Mujeres y religión: ¿Siervas o Ciudadanas?</w:t>
      </w:r>
      <w:r w:rsidRPr="00147E8C">
        <w:rPr>
          <w:color w:val="000000" w:themeColor="text1"/>
          <w:lang w:val="es-NI"/>
        </w:rPr>
        <w:t xml:space="preserve"> Matagalpa: Alianza Feminista Centroamericana Transformando la Cultura Patriarcal. pp. 34–59.</w:t>
      </w:r>
    </w:p>
    <w:p w14:paraId="3F5F85B1" w14:textId="77777777" w:rsidR="00A96CF7" w:rsidRPr="00147E8C" w:rsidRDefault="00A96CF7" w:rsidP="00A96CF7">
      <w:pPr>
        <w:spacing w:line="276" w:lineRule="auto"/>
        <w:rPr>
          <w:color w:val="000000" w:themeColor="text1"/>
          <w:lang w:val="es-NI"/>
        </w:rPr>
      </w:pPr>
    </w:p>
    <w:p w14:paraId="4E98ABBF" w14:textId="77777777" w:rsidR="00A96CF7" w:rsidRPr="00147E8C" w:rsidRDefault="00A96CF7" w:rsidP="00A96CF7">
      <w:pPr>
        <w:spacing w:line="276" w:lineRule="auto"/>
        <w:rPr>
          <w:color w:val="000000" w:themeColor="text1"/>
          <w:lang w:val="es-NI"/>
        </w:rPr>
      </w:pPr>
      <w:r w:rsidRPr="00147E8C">
        <w:rPr>
          <w:color w:val="000000" w:themeColor="text1"/>
          <w:lang w:val="es-NI"/>
        </w:rPr>
        <w:lastRenderedPageBreak/>
        <w:t>Larracoechea, E. (2011</w:t>
      </w:r>
      <w:r w:rsidRPr="00147E8C">
        <w:rPr>
          <w:i/>
          <w:color w:val="000000" w:themeColor="text1"/>
          <w:lang w:val="es-NI"/>
        </w:rPr>
        <w:t>) ¿Ciudadanía cero? El “Hambre Cero” y el empoderamiento de las mujeres: los casos de Matiguás, Muy Muy y Rio Blanco</w:t>
      </w:r>
      <w:r w:rsidRPr="00147E8C">
        <w:rPr>
          <w:color w:val="000000" w:themeColor="text1"/>
          <w:lang w:val="es-NI"/>
        </w:rPr>
        <w:t>. Matagalpa: Grupo Venancia.</w:t>
      </w:r>
    </w:p>
    <w:p w14:paraId="52018D10" w14:textId="77777777" w:rsidR="00A96CF7" w:rsidRPr="00147E8C" w:rsidRDefault="00A96CF7" w:rsidP="00A96CF7">
      <w:pPr>
        <w:pStyle w:val="NormalWeb"/>
        <w:spacing w:line="276" w:lineRule="auto"/>
        <w:rPr>
          <w:color w:val="000000" w:themeColor="text1"/>
          <w:lang w:val="es-NI"/>
        </w:rPr>
      </w:pPr>
      <w:r w:rsidRPr="00147E8C">
        <w:rPr>
          <w:color w:val="000000" w:themeColor="text1"/>
          <w:lang w:val="es-NI"/>
        </w:rPr>
        <w:t xml:space="preserve">Lastarria, S. (2011) “Las mujeres y el acceso a la tierra comunal en América Latina”, in Costas, P. (ed) </w:t>
      </w:r>
      <w:r w:rsidRPr="00147E8C">
        <w:rPr>
          <w:i/>
          <w:color w:val="000000" w:themeColor="text1"/>
          <w:lang w:val="es-NI"/>
        </w:rPr>
        <w:t>Tierra de Mujeres. Reflexiones sobre el acceso de las mujeres rurales a la tierra en América Latina</w:t>
      </w:r>
      <w:r w:rsidRPr="00147E8C">
        <w:rPr>
          <w:color w:val="000000" w:themeColor="text1"/>
          <w:lang w:val="es-NI"/>
        </w:rPr>
        <w:t xml:space="preserve">. La Paz: Coalición Internacional para el Acceso a la Tierra Bolivia. </w:t>
      </w:r>
    </w:p>
    <w:p w14:paraId="208D6E04"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Le Mare, A. (2008) ‘The impact of Fair Trade on social and economic development: a review of the literature’, </w:t>
      </w:r>
      <w:r w:rsidRPr="00147E8C">
        <w:rPr>
          <w:i/>
          <w:color w:val="000000" w:themeColor="text1"/>
          <w:lang w:val="en-US"/>
        </w:rPr>
        <w:t>Geography Compass</w:t>
      </w:r>
      <w:r w:rsidRPr="00147E8C">
        <w:rPr>
          <w:color w:val="000000" w:themeColor="text1"/>
          <w:lang w:val="en-US"/>
        </w:rPr>
        <w:t xml:space="preserve"> 2 (6), pp. 1922-42.</w:t>
      </w:r>
    </w:p>
    <w:p w14:paraId="6CC242B4" w14:textId="77777777" w:rsidR="00A96CF7" w:rsidRPr="00147E8C" w:rsidRDefault="00A96CF7" w:rsidP="00A96CF7">
      <w:pPr>
        <w:spacing w:line="276" w:lineRule="auto"/>
        <w:rPr>
          <w:color w:val="000000" w:themeColor="text1"/>
          <w:lang w:val="en-US"/>
        </w:rPr>
      </w:pPr>
    </w:p>
    <w:p w14:paraId="7385D685"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Le Mare, A. (2012) ‘Show the world to women and they can do it: southern Fair Trade enterprises as agents of empowerment’, </w:t>
      </w:r>
      <w:r w:rsidRPr="00147E8C">
        <w:rPr>
          <w:i/>
          <w:color w:val="000000" w:themeColor="text1"/>
          <w:lang w:val="en-US"/>
        </w:rPr>
        <w:t xml:space="preserve">Gender &amp; Development </w:t>
      </w:r>
      <w:r w:rsidRPr="00147E8C">
        <w:rPr>
          <w:color w:val="000000" w:themeColor="text1"/>
          <w:lang w:val="en-US"/>
        </w:rPr>
        <w:t>20, pp. 95–109.</w:t>
      </w:r>
    </w:p>
    <w:p w14:paraId="70839224" w14:textId="77777777" w:rsidR="00A96CF7" w:rsidRPr="00147E8C" w:rsidRDefault="00A96CF7" w:rsidP="00A96CF7">
      <w:pPr>
        <w:spacing w:line="276" w:lineRule="auto"/>
        <w:rPr>
          <w:color w:val="000000" w:themeColor="text1"/>
          <w:lang w:val="en-US"/>
        </w:rPr>
      </w:pPr>
    </w:p>
    <w:p w14:paraId="028A6997" w14:textId="77777777" w:rsidR="00A96CF7" w:rsidRPr="00147E8C" w:rsidRDefault="00A96CF7" w:rsidP="00A96CF7">
      <w:pPr>
        <w:spacing w:line="276" w:lineRule="auto"/>
        <w:rPr>
          <w:color w:val="000000" w:themeColor="text1"/>
        </w:rPr>
      </w:pPr>
      <w:r w:rsidRPr="00147E8C">
        <w:rPr>
          <w:color w:val="000000" w:themeColor="text1"/>
        </w:rPr>
        <w:t xml:space="preserve">Letherby, G. (2003) </w:t>
      </w:r>
      <w:r w:rsidRPr="00147E8C">
        <w:rPr>
          <w:i/>
          <w:iCs/>
          <w:color w:val="000000" w:themeColor="text1"/>
        </w:rPr>
        <w:t>Feminist research in theory and practice</w:t>
      </w:r>
      <w:r w:rsidRPr="00147E8C">
        <w:rPr>
          <w:color w:val="000000" w:themeColor="text1"/>
        </w:rPr>
        <w:t xml:space="preserve">. Buckingham: Open University Press. </w:t>
      </w:r>
    </w:p>
    <w:p w14:paraId="130178BC" w14:textId="77777777" w:rsidR="00A96CF7" w:rsidRPr="00147E8C" w:rsidRDefault="00A96CF7" w:rsidP="00A96CF7">
      <w:pPr>
        <w:spacing w:line="276" w:lineRule="auto"/>
        <w:rPr>
          <w:color w:val="000000" w:themeColor="text1"/>
        </w:rPr>
      </w:pPr>
    </w:p>
    <w:p w14:paraId="3A818497" w14:textId="77777777" w:rsidR="00A96CF7" w:rsidRPr="00147E8C" w:rsidRDefault="00A96CF7" w:rsidP="00A96CF7">
      <w:pPr>
        <w:spacing w:line="276" w:lineRule="auto"/>
        <w:rPr>
          <w:color w:val="000000" w:themeColor="text1"/>
        </w:rPr>
      </w:pPr>
      <w:r w:rsidRPr="00147E8C">
        <w:rPr>
          <w:color w:val="000000" w:themeColor="text1"/>
        </w:rPr>
        <w:t>Levinson, D. (1989). Violence in Cross-cultural perspective. Newbury Park, CA: Sage.</w:t>
      </w:r>
    </w:p>
    <w:p w14:paraId="15C8597E" w14:textId="77777777" w:rsidR="00A96CF7" w:rsidRPr="00147E8C" w:rsidRDefault="00A96CF7" w:rsidP="00A96CF7">
      <w:pPr>
        <w:spacing w:line="276" w:lineRule="auto"/>
        <w:rPr>
          <w:color w:val="000000" w:themeColor="text1"/>
        </w:rPr>
      </w:pPr>
    </w:p>
    <w:p w14:paraId="421DF8EF" w14:textId="77777777" w:rsidR="00A96CF7" w:rsidRPr="00147E8C" w:rsidRDefault="00A96CF7" w:rsidP="00A96CF7">
      <w:pPr>
        <w:spacing w:line="276" w:lineRule="auto"/>
        <w:rPr>
          <w:color w:val="000000" w:themeColor="text1"/>
          <w:lang w:val="en-US"/>
        </w:rPr>
      </w:pPr>
      <w:r w:rsidRPr="00147E8C">
        <w:rPr>
          <w:color w:val="000000" w:themeColor="text1"/>
        </w:rPr>
        <w:t xml:space="preserve">Liampputtong, P. (2011) </w:t>
      </w:r>
      <w:r w:rsidRPr="00147E8C">
        <w:rPr>
          <w:i/>
          <w:iCs/>
          <w:color w:val="000000" w:themeColor="text1"/>
        </w:rPr>
        <w:t>Focus group methodology: principles and prac</w:t>
      </w:r>
      <w:r w:rsidRPr="00147E8C">
        <w:rPr>
          <w:color w:val="000000" w:themeColor="text1"/>
        </w:rPr>
        <w:t xml:space="preserve">tice. </w:t>
      </w:r>
      <w:r w:rsidRPr="00147E8C">
        <w:rPr>
          <w:color w:val="000000" w:themeColor="text1"/>
          <w:lang w:val="en-US"/>
        </w:rPr>
        <w:t>Thousand Oak: Sage.</w:t>
      </w:r>
    </w:p>
    <w:p w14:paraId="12E3D194" w14:textId="77777777" w:rsidR="00A96CF7" w:rsidRPr="00402556" w:rsidRDefault="00A96CF7" w:rsidP="00A96CF7">
      <w:pPr>
        <w:pStyle w:val="NormalWeb"/>
        <w:spacing w:line="276" w:lineRule="auto"/>
        <w:rPr>
          <w:color w:val="000000" w:themeColor="text1"/>
        </w:rPr>
      </w:pPr>
      <w:r w:rsidRPr="00147E8C">
        <w:rPr>
          <w:color w:val="000000" w:themeColor="text1"/>
        </w:rPr>
        <w:t xml:space="preserve">L’Oreal (2017) </w:t>
      </w:r>
      <w:r w:rsidRPr="00147E8C">
        <w:rPr>
          <w:i/>
          <w:color w:val="000000" w:themeColor="text1"/>
        </w:rPr>
        <w:t xml:space="preserve">Because you’re worth it: </w:t>
      </w:r>
      <w:r w:rsidRPr="00147E8C">
        <w:rPr>
          <w:bCs/>
          <w:i/>
          <w:color w:val="000000" w:themeColor="text1"/>
        </w:rPr>
        <w:t>the story behind the legendary phrase</w:t>
      </w:r>
      <w:r w:rsidRPr="00147E8C">
        <w:rPr>
          <w:bCs/>
          <w:color w:val="000000" w:themeColor="text1"/>
        </w:rPr>
        <w:t>. [Online] Available from:</w:t>
      </w:r>
      <w:r w:rsidRPr="00147E8C">
        <w:rPr>
          <w:color w:val="000000" w:themeColor="text1"/>
        </w:rPr>
        <w:t xml:space="preserve">  </w:t>
      </w:r>
      <w:hyperlink r:id="rId55" w:history="1">
        <w:r w:rsidRPr="00402556">
          <w:rPr>
            <w:rStyle w:val="Hyperlink"/>
            <w:color w:val="000000" w:themeColor="text1"/>
            <w:u w:val="none"/>
          </w:rPr>
          <w:t>https://www.lorealparisusa.com/about-loreal-paris/because-youre-worth-it.aspx</w:t>
        </w:r>
      </w:hyperlink>
      <w:r w:rsidRPr="00402556">
        <w:rPr>
          <w:color w:val="000000" w:themeColor="text1"/>
        </w:rPr>
        <w:t xml:space="preserve"> [Accessed 8th August 2017]. </w:t>
      </w:r>
    </w:p>
    <w:p w14:paraId="48EBCBB2" w14:textId="3F0C8735" w:rsidR="00A96CF7" w:rsidRPr="00402556" w:rsidRDefault="00C40083" w:rsidP="00A96CF7">
      <w:pPr>
        <w:spacing w:line="276" w:lineRule="auto"/>
        <w:rPr>
          <w:color w:val="000000" w:themeColor="text1"/>
          <w:lang w:val="en-US"/>
        </w:rPr>
      </w:pPr>
      <w:r w:rsidRPr="00402556">
        <w:rPr>
          <w:color w:val="000000" w:themeColor="text1"/>
        </w:rPr>
        <w:t>Lykes,</w:t>
      </w:r>
      <w:r w:rsidR="00A96CF7" w:rsidRPr="00402556">
        <w:rPr>
          <w:color w:val="000000" w:themeColor="text1"/>
        </w:rPr>
        <w:t xml:space="preserve"> B., and Coquillon, E. (2006) ‘Participatory and action research and feminisms’ in Hesse-Biber, S. </w:t>
      </w:r>
      <w:r w:rsidRPr="00402556">
        <w:rPr>
          <w:color w:val="000000" w:themeColor="text1"/>
        </w:rPr>
        <w:t>(ed.</w:t>
      </w:r>
      <w:r w:rsidR="00A96CF7" w:rsidRPr="00402556">
        <w:rPr>
          <w:color w:val="000000" w:themeColor="text1"/>
        </w:rPr>
        <w:t xml:space="preserve">) </w:t>
      </w:r>
      <w:r w:rsidR="00A96CF7" w:rsidRPr="00402556">
        <w:rPr>
          <w:i/>
          <w:color w:val="000000" w:themeColor="text1"/>
        </w:rPr>
        <w:t>Handbook of feminist research: theory and praxis</w:t>
      </w:r>
      <w:r w:rsidR="00A96CF7" w:rsidRPr="00402556">
        <w:rPr>
          <w:color w:val="000000" w:themeColor="text1"/>
        </w:rPr>
        <w:t xml:space="preserve">. </w:t>
      </w:r>
      <w:r w:rsidR="00A96CF7" w:rsidRPr="00402556">
        <w:rPr>
          <w:color w:val="000000" w:themeColor="text1"/>
          <w:lang w:val="en-US"/>
        </w:rPr>
        <w:t xml:space="preserve">Thousand Oaks, CA: Sage, pp.297-326. </w:t>
      </w:r>
    </w:p>
    <w:p w14:paraId="18F23698" w14:textId="77777777" w:rsidR="00A96CF7" w:rsidRPr="00147E8C" w:rsidRDefault="00A96CF7" w:rsidP="00A96CF7">
      <w:pPr>
        <w:pStyle w:val="NormalWeb"/>
        <w:spacing w:line="276" w:lineRule="auto"/>
        <w:rPr>
          <w:color w:val="000000" w:themeColor="text1"/>
        </w:rPr>
      </w:pPr>
      <w:r w:rsidRPr="00402556">
        <w:rPr>
          <w:color w:val="000000" w:themeColor="text1"/>
        </w:rPr>
        <w:t>Lyon, S. (2008) ‘Maya coffee farmers and Fair Tra</w:t>
      </w:r>
      <w:r w:rsidRPr="00147E8C">
        <w:rPr>
          <w:color w:val="000000" w:themeColor="text1"/>
        </w:rPr>
        <w:t xml:space="preserve">de: assessing the benefits and limitations of alternative markets’, </w:t>
      </w:r>
      <w:r w:rsidRPr="00147E8C">
        <w:rPr>
          <w:i/>
          <w:color w:val="000000" w:themeColor="text1"/>
        </w:rPr>
        <w:t>Culture and Agriculture</w:t>
      </w:r>
      <w:r w:rsidRPr="00147E8C">
        <w:rPr>
          <w:color w:val="000000" w:themeColor="text1"/>
        </w:rPr>
        <w:t>, 29 (2), pp. 100–112.</w:t>
      </w:r>
    </w:p>
    <w:p w14:paraId="1F253146"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Lyon, S. (2008) ‘We want to be equal to them: Fair-trade coffee certification and gender equity within organisations’, </w:t>
      </w:r>
      <w:r w:rsidRPr="00147E8C">
        <w:rPr>
          <w:i/>
          <w:color w:val="000000" w:themeColor="text1"/>
          <w:lang w:val="en-US"/>
        </w:rPr>
        <w:t>Human Organisation</w:t>
      </w:r>
      <w:r w:rsidRPr="00147E8C">
        <w:rPr>
          <w:color w:val="000000" w:themeColor="text1"/>
          <w:lang w:val="en-US"/>
        </w:rPr>
        <w:t>, 67 (3), pp. 258-68.</w:t>
      </w:r>
    </w:p>
    <w:p w14:paraId="70E00BEA" w14:textId="77777777" w:rsidR="00A96CF7" w:rsidRPr="00147E8C" w:rsidRDefault="00A96CF7" w:rsidP="00A96CF7">
      <w:pPr>
        <w:spacing w:line="276" w:lineRule="auto"/>
        <w:rPr>
          <w:color w:val="000000" w:themeColor="text1"/>
          <w:lang w:val="en-US"/>
        </w:rPr>
      </w:pPr>
    </w:p>
    <w:p w14:paraId="5E3606C5" w14:textId="77777777" w:rsidR="00A96CF7" w:rsidRPr="00147E8C" w:rsidRDefault="00A96CF7" w:rsidP="00A96CF7">
      <w:pPr>
        <w:spacing w:line="276" w:lineRule="auto"/>
        <w:rPr>
          <w:color w:val="000000" w:themeColor="text1"/>
          <w:lang w:val="en-US"/>
        </w:rPr>
      </w:pPr>
      <w:r w:rsidRPr="00147E8C">
        <w:rPr>
          <w:color w:val="000000" w:themeColor="text1"/>
        </w:rPr>
        <w:t xml:space="preserve">Lyon, S., Aranda Bezaury, J. and Mutersbaugh, T. (2010) ‘Gender equity in fair-trade-organic coffee producer organisations: cases from Mesoamerica’, </w:t>
      </w:r>
      <w:r w:rsidRPr="00147E8C">
        <w:rPr>
          <w:i/>
          <w:iCs/>
          <w:color w:val="000000" w:themeColor="text1"/>
          <w:lang w:val="en-US"/>
        </w:rPr>
        <w:t>Geoforum</w:t>
      </w:r>
      <w:r w:rsidRPr="00147E8C">
        <w:rPr>
          <w:color w:val="000000" w:themeColor="text1"/>
          <w:lang w:val="en-US"/>
        </w:rPr>
        <w:t xml:space="preserve"> 4 (1), pp. 93-103.</w:t>
      </w:r>
    </w:p>
    <w:p w14:paraId="59AE89A8" w14:textId="77777777" w:rsidR="00A96CF7" w:rsidRPr="00147E8C" w:rsidRDefault="00A96CF7" w:rsidP="00A96CF7">
      <w:pPr>
        <w:pStyle w:val="NormalWeb"/>
        <w:spacing w:line="276" w:lineRule="auto"/>
        <w:rPr>
          <w:color w:val="000000" w:themeColor="text1"/>
        </w:rPr>
      </w:pPr>
      <w:r w:rsidRPr="00147E8C">
        <w:rPr>
          <w:color w:val="000000" w:themeColor="text1"/>
        </w:rPr>
        <w:lastRenderedPageBreak/>
        <w:t xml:space="preserve">Lyon, S., Mutersbaugh, T. and Worthen, H. (2016) ‘The triple burden: the impact of time poverty on women’s participation in coffee producer organizational governance in Mexico’, </w:t>
      </w:r>
      <w:r w:rsidRPr="00147E8C">
        <w:rPr>
          <w:i/>
          <w:color w:val="000000" w:themeColor="text1"/>
        </w:rPr>
        <w:t>Agricultural Human Values</w:t>
      </w:r>
      <w:r w:rsidRPr="00147E8C">
        <w:rPr>
          <w:color w:val="000000" w:themeColor="text1"/>
        </w:rPr>
        <w:t xml:space="preserve"> 34 (2), pp. 317–331.  </w:t>
      </w:r>
    </w:p>
    <w:p w14:paraId="17E3E6EC" w14:textId="77777777" w:rsidR="00A96CF7" w:rsidRPr="00147E8C" w:rsidRDefault="00A96CF7" w:rsidP="00A96CF7">
      <w:pPr>
        <w:pStyle w:val="NormalWeb"/>
        <w:spacing w:line="276" w:lineRule="auto"/>
        <w:rPr>
          <w:i/>
          <w:color w:val="000000" w:themeColor="text1"/>
        </w:rPr>
      </w:pPr>
      <w:r w:rsidRPr="00147E8C">
        <w:rPr>
          <w:color w:val="000000" w:themeColor="text1"/>
        </w:rPr>
        <w:t xml:space="preserve">Luciak, Ilja A. (1995) </w:t>
      </w:r>
      <w:r w:rsidRPr="00147E8C">
        <w:rPr>
          <w:i/>
          <w:color w:val="000000" w:themeColor="text1"/>
        </w:rPr>
        <w:t xml:space="preserve">The Sandinista Legacy: Lessons from a Political Economy in Transition. </w:t>
      </w:r>
      <w:r w:rsidRPr="00147E8C">
        <w:rPr>
          <w:color w:val="000000" w:themeColor="text1"/>
        </w:rPr>
        <w:t>Gainesville, University of Florida.</w:t>
      </w:r>
    </w:p>
    <w:p w14:paraId="1D1EAD00"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Luciak, Ilja A. (1998). Gender equality and electoral politics on the left: A comparison of El Salvador and Nicaragua. </w:t>
      </w:r>
      <w:r w:rsidRPr="00147E8C">
        <w:rPr>
          <w:i/>
          <w:color w:val="000000" w:themeColor="text1"/>
        </w:rPr>
        <w:t>Journal of Interamerican Studies &amp; World Affairs,</w:t>
      </w:r>
      <w:r w:rsidRPr="00147E8C">
        <w:rPr>
          <w:color w:val="000000" w:themeColor="text1"/>
        </w:rPr>
        <w:t xml:space="preserve"> 40:39. </w:t>
      </w:r>
    </w:p>
    <w:p w14:paraId="3CDF947E" w14:textId="77777777" w:rsidR="00A96CF7" w:rsidRPr="00147E8C" w:rsidRDefault="00A96CF7" w:rsidP="00A96CF7">
      <w:pPr>
        <w:spacing w:line="276" w:lineRule="auto"/>
        <w:rPr>
          <w:color w:val="000000" w:themeColor="text1"/>
          <w:lang w:val="en-US"/>
        </w:rPr>
      </w:pPr>
      <w:r w:rsidRPr="00147E8C">
        <w:rPr>
          <w:color w:val="000000" w:themeColor="text1"/>
        </w:rPr>
        <w:t xml:space="preserve">Lukes, S. (1974) </w:t>
      </w:r>
      <w:r w:rsidRPr="00147E8C">
        <w:rPr>
          <w:i/>
          <w:color w:val="000000" w:themeColor="text1"/>
        </w:rPr>
        <w:t>Power: a radical view</w:t>
      </w:r>
      <w:r w:rsidRPr="00147E8C">
        <w:rPr>
          <w:color w:val="000000" w:themeColor="text1"/>
        </w:rPr>
        <w:t xml:space="preserve">. </w:t>
      </w:r>
      <w:r w:rsidRPr="00147E8C">
        <w:rPr>
          <w:color w:val="000000" w:themeColor="text1"/>
          <w:lang w:val="en-US"/>
        </w:rPr>
        <w:t>London: Macmillan Press.</w:t>
      </w:r>
    </w:p>
    <w:p w14:paraId="68508827" w14:textId="77777777" w:rsidR="00A96CF7" w:rsidRPr="00147E8C" w:rsidRDefault="00A96CF7" w:rsidP="00A96CF7">
      <w:pPr>
        <w:spacing w:line="276" w:lineRule="auto"/>
        <w:rPr>
          <w:color w:val="000000" w:themeColor="text1"/>
        </w:rPr>
      </w:pPr>
    </w:p>
    <w:p w14:paraId="74842CF6" w14:textId="77777777" w:rsidR="00A96CF7" w:rsidRPr="00147E8C" w:rsidRDefault="00A96CF7" w:rsidP="00A96CF7">
      <w:pPr>
        <w:spacing w:line="276" w:lineRule="auto"/>
        <w:rPr>
          <w:color w:val="000000" w:themeColor="text1"/>
          <w:lang w:val="en-US"/>
        </w:rPr>
      </w:pPr>
      <w:r w:rsidRPr="00147E8C">
        <w:rPr>
          <w:color w:val="000000" w:themeColor="text1"/>
        </w:rPr>
        <w:t xml:space="preserve">McBride, A.G. (2012) </w:t>
      </w:r>
      <w:r w:rsidRPr="00147E8C">
        <w:rPr>
          <w:i/>
          <w:iCs/>
          <w:color w:val="000000" w:themeColor="text1"/>
        </w:rPr>
        <w:t xml:space="preserve">Economies of obligation: western Nicaraguan women and valuations of their work </w:t>
      </w:r>
      <w:r w:rsidRPr="00147E8C">
        <w:rPr>
          <w:iCs/>
          <w:color w:val="000000" w:themeColor="text1"/>
        </w:rPr>
        <w:t>[Online].</w:t>
      </w:r>
      <w:r w:rsidRPr="00147E8C">
        <w:rPr>
          <w:i/>
          <w:iCs/>
          <w:color w:val="000000" w:themeColor="text1"/>
        </w:rPr>
        <w:t xml:space="preserve"> </w:t>
      </w:r>
      <w:r w:rsidRPr="00147E8C">
        <w:rPr>
          <w:color w:val="000000" w:themeColor="text1"/>
          <w:lang w:val="en-US"/>
        </w:rPr>
        <w:t xml:space="preserve">California Institute of Integral Studies, ProQuest Dissertations </w:t>
      </w:r>
      <w:r w:rsidRPr="00402556">
        <w:rPr>
          <w:color w:val="000000" w:themeColor="text1"/>
          <w:lang w:val="en-US"/>
        </w:rPr>
        <w:t xml:space="preserve">Publishing. Available from: </w:t>
      </w:r>
      <w:hyperlink r:id="rId56" w:history="1">
        <w:r w:rsidRPr="00402556">
          <w:rPr>
            <w:rStyle w:val="Hyperlink"/>
            <w:rFonts w:eastAsiaTheme="majorEastAsia"/>
            <w:color w:val="000000" w:themeColor="text1"/>
            <w:u w:val="none"/>
          </w:rPr>
          <w:t>https://pqdtopen.proquest.com/doc/1263804271.html?FMT=ABS</w:t>
        </w:r>
      </w:hyperlink>
      <w:r w:rsidRPr="00402556">
        <w:rPr>
          <w:color w:val="000000" w:themeColor="text1"/>
          <w:lang w:val="en-US"/>
        </w:rPr>
        <w:t xml:space="preserve"> [Acc</w:t>
      </w:r>
      <w:r w:rsidRPr="00147E8C">
        <w:rPr>
          <w:color w:val="000000" w:themeColor="text1"/>
          <w:lang w:val="en-US"/>
        </w:rPr>
        <w:t>essed 13th May 2017].</w:t>
      </w:r>
    </w:p>
    <w:p w14:paraId="0DBDCFAF" w14:textId="77777777" w:rsidR="00A96CF7" w:rsidRPr="00147E8C" w:rsidRDefault="00A96CF7" w:rsidP="00A96CF7">
      <w:pPr>
        <w:spacing w:line="276" w:lineRule="auto"/>
        <w:rPr>
          <w:color w:val="000000" w:themeColor="text1"/>
          <w:lang w:val="en-US"/>
        </w:rPr>
      </w:pPr>
    </w:p>
    <w:p w14:paraId="45D518DB" w14:textId="77777777" w:rsidR="00A96CF7" w:rsidRPr="00147E8C" w:rsidRDefault="00A96CF7" w:rsidP="00A96CF7">
      <w:pPr>
        <w:spacing w:line="276" w:lineRule="auto"/>
        <w:rPr>
          <w:color w:val="000000" w:themeColor="text1"/>
        </w:rPr>
      </w:pPr>
      <w:r w:rsidRPr="00147E8C">
        <w:rPr>
          <w:color w:val="000000" w:themeColor="text1"/>
        </w:rPr>
        <w:t xml:space="preserve">McCormick, M. (2012) ‘Feminist Research Ethics, Informed Consent, and Potential Harms’, </w:t>
      </w:r>
      <w:r w:rsidRPr="00147E8C">
        <w:rPr>
          <w:i/>
          <w:color w:val="000000" w:themeColor="text1"/>
        </w:rPr>
        <w:t>The Hilltop Review</w:t>
      </w:r>
      <w:r w:rsidRPr="00147E8C">
        <w:rPr>
          <w:color w:val="000000" w:themeColor="text1"/>
        </w:rPr>
        <w:t>, 6 (1), pp.23-33</w:t>
      </w:r>
    </w:p>
    <w:p w14:paraId="1B2770D0" w14:textId="77777777" w:rsidR="00A96CF7" w:rsidRPr="00147E8C" w:rsidRDefault="00A96CF7" w:rsidP="00A96CF7">
      <w:pPr>
        <w:spacing w:line="276" w:lineRule="auto"/>
        <w:rPr>
          <w:color w:val="000000" w:themeColor="text1"/>
        </w:rPr>
      </w:pPr>
    </w:p>
    <w:p w14:paraId="531F9A94" w14:textId="77777777" w:rsidR="00A96CF7" w:rsidRPr="00147E8C" w:rsidRDefault="00A96CF7" w:rsidP="00A96CF7">
      <w:pPr>
        <w:spacing w:line="276" w:lineRule="auto"/>
        <w:rPr>
          <w:color w:val="000000" w:themeColor="text1"/>
        </w:rPr>
      </w:pPr>
      <w:r w:rsidRPr="00147E8C">
        <w:rPr>
          <w:color w:val="000000" w:themeColor="text1"/>
        </w:rPr>
        <w:t xml:space="preserve">Mckinsey Global Institute (2015) </w:t>
      </w:r>
      <w:r w:rsidRPr="00147E8C">
        <w:rPr>
          <w:i/>
          <w:color w:val="000000" w:themeColor="text1"/>
        </w:rPr>
        <w:t xml:space="preserve">How advancing women’s equality can add 12 trillion to </w:t>
      </w:r>
      <w:r w:rsidRPr="00402556">
        <w:rPr>
          <w:i/>
          <w:color w:val="000000" w:themeColor="text1"/>
        </w:rPr>
        <w:t>global growth</w:t>
      </w:r>
      <w:r w:rsidRPr="00402556">
        <w:rPr>
          <w:color w:val="000000" w:themeColor="text1"/>
        </w:rPr>
        <w:t xml:space="preserve"> [Online]. Mckinsey Global Institute. Available from: </w:t>
      </w:r>
      <w:r w:rsidRPr="00402556">
        <w:rPr>
          <w:rStyle w:val="Hyperlink"/>
          <w:rFonts w:eastAsiaTheme="majorEastAsia"/>
          <w:color w:val="000000" w:themeColor="text1"/>
          <w:u w:val="none"/>
        </w:rPr>
        <w:t>http://www.mckinsey.com/global-themes/employment-and-growth/how-advancing-womens-equality-can-add-12-trillion-to-global-growth</w:t>
      </w:r>
      <w:r w:rsidRPr="00402556">
        <w:rPr>
          <w:color w:val="000000" w:themeColor="text1"/>
        </w:rPr>
        <w:t xml:space="preserve"> [</w:t>
      </w:r>
      <w:r w:rsidRPr="00147E8C">
        <w:rPr>
          <w:color w:val="000000" w:themeColor="text1"/>
        </w:rPr>
        <w:t xml:space="preserve">Accessed 7th April 2017].  </w:t>
      </w:r>
    </w:p>
    <w:p w14:paraId="7E79F063" w14:textId="77777777" w:rsidR="00A96CF7" w:rsidRPr="00147E8C" w:rsidRDefault="00A96CF7" w:rsidP="00A96CF7">
      <w:pPr>
        <w:spacing w:line="276" w:lineRule="auto"/>
        <w:rPr>
          <w:color w:val="000000" w:themeColor="text1"/>
        </w:rPr>
      </w:pPr>
    </w:p>
    <w:p w14:paraId="2707F0E4" w14:textId="77777777" w:rsidR="00A96CF7" w:rsidRPr="00147E8C" w:rsidRDefault="00A96CF7" w:rsidP="00A96CF7">
      <w:pPr>
        <w:spacing w:line="276" w:lineRule="auto"/>
        <w:rPr>
          <w:color w:val="000000" w:themeColor="text1"/>
          <w:lang w:val="en-US"/>
        </w:rPr>
      </w:pPr>
      <w:r w:rsidRPr="00147E8C">
        <w:rPr>
          <w:color w:val="000000" w:themeColor="text1"/>
        </w:rPr>
        <w:t xml:space="preserve">Mackie, G. and Le Jeune, J. (2009) </w:t>
      </w:r>
      <w:r w:rsidRPr="00147E8C">
        <w:rPr>
          <w:i/>
          <w:color w:val="000000" w:themeColor="text1"/>
        </w:rPr>
        <w:t>Social dynamics of abandonment of harmful practices: a new look at the theory</w:t>
      </w:r>
      <w:r w:rsidRPr="00147E8C">
        <w:rPr>
          <w:color w:val="000000" w:themeColor="text1"/>
        </w:rPr>
        <w:t xml:space="preserve">. </w:t>
      </w:r>
      <w:r w:rsidRPr="00147E8C">
        <w:rPr>
          <w:iCs/>
          <w:color w:val="000000" w:themeColor="text1"/>
        </w:rPr>
        <w:t>Special Series on Social Norms and Harmful Practices Working Paper</w:t>
      </w:r>
      <w:r w:rsidRPr="00147E8C">
        <w:rPr>
          <w:color w:val="000000" w:themeColor="text1"/>
        </w:rPr>
        <w:t xml:space="preserve"> 2009-06. </w:t>
      </w:r>
      <w:r w:rsidRPr="00147E8C">
        <w:rPr>
          <w:color w:val="000000" w:themeColor="text1"/>
          <w:lang w:val="en-US"/>
        </w:rPr>
        <w:t>Florence: UNICEF Innocenti Research Centre.</w:t>
      </w:r>
    </w:p>
    <w:p w14:paraId="76B11618" w14:textId="49D5BE54" w:rsidR="00A96CF7" w:rsidRPr="00402556" w:rsidRDefault="00A96CF7" w:rsidP="00A96CF7">
      <w:pPr>
        <w:pStyle w:val="NormalWeb"/>
        <w:spacing w:line="276" w:lineRule="auto"/>
        <w:rPr>
          <w:color w:val="000000" w:themeColor="text1"/>
        </w:rPr>
      </w:pPr>
      <w:r w:rsidRPr="00402556">
        <w:rPr>
          <w:color w:val="000000" w:themeColor="text1"/>
        </w:rPr>
        <w:t xml:space="preserve">Mackie, G., Moneti, F., Denny, E. and Shakya, D. (2012) </w:t>
      </w:r>
      <w:r w:rsidRPr="00402556">
        <w:rPr>
          <w:i/>
          <w:iCs/>
          <w:color w:val="000000" w:themeColor="text1"/>
        </w:rPr>
        <w:t xml:space="preserve">What are social norms. how are they </w:t>
      </w:r>
      <w:r w:rsidR="00C40083" w:rsidRPr="00402556">
        <w:rPr>
          <w:i/>
          <w:iCs/>
          <w:color w:val="000000" w:themeColor="text1"/>
        </w:rPr>
        <w:t>measured</w:t>
      </w:r>
      <w:r w:rsidR="00C40083" w:rsidRPr="00402556">
        <w:rPr>
          <w:iCs/>
          <w:color w:val="000000" w:themeColor="text1"/>
        </w:rPr>
        <w:t>. [</w:t>
      </w:r>
      <w:r w:rsidRPr="00402556">
        <w:rPr>
          <w:iCs/>
          <w:color w:val="000000" w:themeColor="text1"/>
        </w:rPr>
        <w:t>Online]</w:t>
      </w:r>
      <w:r w:rsidRPr="00402556">
        <w:rPr>
          <w:i/>
          <w:iCs/>
          <w:color w:val="000000" w:themeColor="text1"/>
        </w:rPr>
        <w:t xml:space="preserve"> </w:t>
      </w:r>
      <w:r w:rsidRPr="00402556">
        <w:rPr>
          <w:color w:val="000000" w:themeColor="text1"/>
        </w:rPr>
        <w:t xml:space="preserve">Working Paper 1. San Diego: University of California and UNICEF/UCSD Centre on Global Justice Project Cooperation Agreement. Available from: </w:t>
      </w:r>
      <w:r w:rsidRPr="00402556">
        <w:rPr>
          <w:rStyle w:val="Hyperlink"/>
          <w:color w:val="000000" w:themeColor="text1"/>
          <w:u w:val="none"/>
        </w:rPr>
        <w:t>https://www.unicef.org/protection/files/4_09_30_Whole_What_are_Social_Norms.pdf</w:t>
      </w:r>
      <w:r w:rsidRPr="00402556">
        <w:rPr>
          <w:color w:val="000000" w:themeColor="text1"/>
        </w:rPr>
        <w:t xml:space="preserve"> [Accessed 23rd June 2017].</w:t>
      </w:r>
    </w:p>
    <w:p w14:paraId="02A98A90" w14:textId="38AC4A08" w:rsidR="00A96CF7" w:rsidRPr="00402556" w:rsidRDefault="00A96CF7" w:rsidP="00A96CF7">
      <w:pPr>
        <w:spacing w:line="276" w:lineRule="auto"/>
        <w:rPr>
          <w:color w:val="000000" w:themeColor="text1"/>
        </w:rPr>
      </w:pPr>
      <w:r w:rsidRPr="00402556">
        <w:rPr>
          <w:color w:val="000000" w:themeColor="text1"/>
        </w:rPr>
        <w:t xml:space="preserve">Maestre, M. and Thorpe, J. (2016) </w:t>
      </w:r>
      <w:r w:rsidRPr="00402556">
        <w:rPr>
          <w:i/>
          <w:color w:val="000000" w:themeColor="text1"/>
        </w:rPr>
        <w:t xml:space="preserve">Understanding unpaid care work: to empower women in market systems approaches </w:t>
      </w:r>
      <w:r w:rsidRPr="00402556">
        <w:rPr>
          <w:color w:val="000000" w:themeColor="text1"/>
        </w:rPr>
        <w:t xml:space="preserve">[Online].  London: The Beam Exchange. Available from: </w:t>
      </w:r>
      <w:hyperlink r:id="rId57" w:history="1">
        <w:r w:rsidRPr="00402556">
          <w:rPr>
            <w:rStyle w:val="Hyperlink"/>
            <w:rFonts w:eastAsiaTheme="majorEastAsia"/>
            <w:color w:val="000000" w:themeColor="text1"/>
            <w:u w:val="none"/>
          </w:rPr>
          <w:t>https://beamexchange.org/uploads/filer_public/86/40/8640cd9d-59fe-4587-91e3-8293864a6762/unpaidcarework-report.pdf</w:t>
        </w:r>
      </w:hyperlink>
      <w:r w:rsidRPr="00402556">
        <w:rPr>
          <w:color w:val="000000" w:themeColor="text1"/>
        </w:rPr>
        <w:t xml:space="preserve"> [Accessed</w:t>
      </w:r>
      <w:r w:rsidR="00F645CE">
        <w:rPr>
          <w:color w:val="000000" w:themeColor="text1"/>
        </w:rPr>
        <w:t xml:space="preserve"> </w:t>
      </w:r>
      <w:r w:rsidRPr="00402556">
        <w:rPr>
          <w:color w:val="000000" w:themeColor="text1"/>
        </w:rPr>
        <w:t xml:space="preserve">14th July 2017]. </w:t>
      </w:r>
    </w:p>
    <w:p w14:paraId="3D3562E5" w14:textId="77777777" w:rsidR="00A96CF7" w:rsidRPr="00402556" w:rsidRDefault="00A96CF7" w:rsidP="00A96CF7">
      <w:pPr>
        <w:spacing w:line="276" w:lineRule="auto"/>
        <w:rPr>
          <w:color w:val="000000" w:themeColor="text1"/>
        </w:rPr>
      </w:pPr>
    </w:p>
    <w:p w14:paraId="441FC7F4" w14:textId="77777777" w:rsidR="00A96CF7" w:rsidRPr="00147E8C" w:rsidRDefault="00A96CF7" w:rsidP="00A96CF7">
      <w:pPr>
        <w:spacing w:line="276" w:lineRule="auto"/>
        <w:rPr>
          <w:color w:val="000000" w:themeColor="text1"/>
          <w:lang w:val="en-US"/>
        </w:rPr>
      </w:pPr>
      <w:r w:rsidRPr="00147E8C">
        <w:rPr>
          <w:color w:val="000000" w:themeColor="text1"/>
        </w:rPr>
        <w:lastRenderedPageBreak/>
        <w:t xml:space="preserve">Malhotra, A. Schuler, S.R. and Malhotra, C. (2002) </w:t>
      </w:r>
      <w:r w:rsidRPr="00147E8C">
        <w:rPr>
          <w:i/>
          <w:iCs/>
          <w:color w:val="000000" w:themeColor="text1"/>
        </w:rPr>
        <w:t>Measuring</w:t>
      </w:r>
      <w:r w:rsidRPr="00147E8C">
        <w:rPr>
          <w:rFonts w:ascii="MS Mincho" w:eastAsia="MS Mincho" w:hAnsi="MS Mincho" w:cs="MS Mincho" w:hint="eastAsia"/>
          <w:i/>
          <w:iCs/>
          <w:color w:val="000000" w:themeColor="text1"/>
        </w:rPr>
        <w:t> </w:t>
      </w:r>
      <w:r w:rsidRPr="00147E8C">
        <w:rPr>
          <w:i/>
          <w:iCs/>
          <w:color w:val="000000" w:themeColor="text1"/>
        </w:rPr>
        <w:t>women’s</w:t>
      </w:r>
      <w:r w:rsidRPr="00147E8C">
        <w:rPr>
          <w:rFonts w:ascii="MS Mincho" w:eastAsia="MS Mincho" w:hAnsi="MS Mincho" w:cs="MS Mincho" w:hint="eastAsia"/>
          <w:i/>
          <w:iCs/>
          <w:color w:val="000000" w:themeColor="text1"/>
        </w:rPr>
        <w:t> </w:t>
      </w:r>
      <w:r w:rsidRPr="00147E8C">
        <w:rPr>
          <w:i/>
          <w:iCs/>
          <w:color w:val="000000" w:themeColor="text1"/>
        </w:rPr>
        <w:t>empowerment</w:t>
      </w:r>
      <w:r w:rsidRPr="00147E8C">
        <w:rPr>
          <w:rFonts w:ascii="MS Mincho" w:eastAsia="MS Mincho" w:hAnsi="MS Mincho" w:cs="MS Mincho" w:hint="eastAsia"/>
          <w:i/>
          <w:iCs/>
          <w:color w:val="000000" w:themeColor="text1"/>
        </w:rPr>
        <w:t> </w:t>
      </w:r>
      <w:r w:rsidRPr="00147E8C">
        <w:rPr>
          <w:i/>
          <w:iCs/>
          <w:color w:val="000000" w:themeColor="text1"/>
        </w:rPr>
        <w:t>as</w:t>
      </w:r>
      <w:r w:rsidRPr="00147E8C">
        <w:rPr>
          <w:rFonts w:ascii="MS Mincho" w:eastAsia="MS Mincho" w:hAnsi="MS Mincho" w:cs="MS Mincho" w:hint="eastAsia"/>
          <w:i/>
          <w:iCs/>
          <w:color w:val="000000" w:themeColor="text1"/>
        </w:rPr>
        <w:t> </w:t>
      </w:r>
      <w:r w:rsidRPr="00147E8C">
        <w:rPr>
          <w:i/>
          <w:iCs/>
          <w:color w:val="000000" w:themeColor="text1"/>
        </w:rPr>
        <w:t>a</w:t>
      </w:r>
      <w:r w:rsidRPr="00147E8C">
        <w:rPr>
          <w:rFonts w:ascii="MS Mincho" w:eastAsia="MS Mincho" w:hAnsi="MS Mincho" w:cs="MS Mincho" w:hint="eastAsia"/>
          <w:i/>
          <w:iCs/>
          <w:color w:val="000000" w:themeColor="text1"/>
        </w:rPr>
        <w:t> </w:t>
      </w:r>
      <w:r w:rsidRPr="00147E8C">
        <w:rPr>
          <w:i/>
          <w:iCs/>
          <w:color w:val="000000" w:themeColor="text1"/>
        </w:rPr>
        <w:t>variable in international</w:t>
      </w:r>
      <w:r w:rsidRPr="00147E8C">
        <w:rPr>
          <w:rFonts w:ascii="MS Mincho" w:eastAsia="MS Mincho" w:hAnsi="MS Mincho" w:cs="MS Mincho" w:hint="eastAsia"/>
          <w:i/>
          <w:iCs/>
          <w:color w:val="000000" w:themeColor="text1"/>
        </w:rPr>
        <w:t> </w:t>
      </w:r>
      <w:r w:rsidRPr="00147E8C">
        <w:rPr>
          <w:i/>
          <w:iCs/>
          <w:color w:val="000000" w:themeColor="text1"/>
        </w:rPr>
        <w:t>development.</w:t>
      </w:r>
      <w:r w:rsidRPr="00147E8C">
        <w:rPr>
          <w:rFonts w:ascii="MS Mincho" w:eastAsia="MS Mincho" w:hAnsi="MS Mincho" w:cs="MS Mincho" w:hint="eastAsia"/>
          <w:color w:val="000000" w:themeColor="text1"/>
        </w:rPr>
        <w:t> </w:t>
      </w:r>
      <w:r w:rsidRPr="00147E8C">
        <w:rPr>
          <w:color w:val="000000" w:themeColor="text1"/>
        </w:rPr>
        <w:t>World</w:t>
      </w:r>
      <w:r w:rsidRPr="00147E8C">
        <w:rPr>
          <w:rFonts w:ascii="MS Mincho" w:eastAsia="MS Mincho" w:hAnsi="MS Mincho" w:cs="MS Mincho" w:hint="eastAsia"/>
          <w:color w:val="000000" w:themeColor="text1"/>
        </w:rPr>
        <w:t> </w:t>
      </w:r>
      <w:r w:rsidRPr="00147E8C">
        <w:rPr>
          <w:color w:val="000000" w:themeColor="text1"/>
        </w:rPr>
        <w:t>Bank</w:t>
      </w:r>
      <w:r w:rsidRPr="00147E8C">
        <w:rPr>
          <w:rFonts w:ascii="MS Mincho" w:eastAsia="MS Mincho" w:hAnsi="MS Mincho" w:cs="MS Mincho" w:hint="eastAsia"/>
          <w:color w:val="000000" w:themeColor="text1"/>
        </w:rPr>
        <w:t> </w:t>
      </w:r>
      <w:r w:rsidRPr="00147E8C">
        <w:rPr>
          <w:color w:val="000000" w:themeColor="text1"/>
        </w:rPr>
        <w:t>Gender</w:t>
      </w:r>
      <w:r w:rsidRPr="00147E8C">
        <w:rPr>
          <w:rFonts w:ascii="MS Mincho" w:eastAsia="MS Mincho" w:hAnsi="MS Mincho" w:cs="MS Mincho" w:hint="eastAsia"/>
          <w:color w:val="000000" w:themeColor="text1"/>
        </w:rPr>
        <w:t> </w:t>
      </w:r>
      <w:r w:rsidRPr="00147E8C">
        <w:rPr>
          <w:color w:val="000000" w:themeColor="text1"/>
        </w:rPr>
        <w:t>and</w:t>
      </w:r>
      <w:r w:rsidRPr="00147E8C">
        <w:rPr>
          <w:rFonts w:ascii="MS Mincho" w:eastAsia="MS Mincho" w:hAnsi="MS Mincho" w:cs="MS Mincho" w:hint="eastAsia"/>
          <w:color w:val="000000" w:themeColor="text1"/>
        </w:rPr>
        <w:t> </w:t>
      </w:r>
      <w:r w:rsidRPr="00147E8C">
        <w:rPr>
          <w:color w:val="000000" w:themeColor="text1"/>
        </w:rPr>
        <w:t>Development</w:t>
      </w:r>
      <w:r w:rsidRPr="00147E8C">
        <w:rPr>
          <w:rFonts w:ascii="MS Mincho" w:eastAsia="MS Mincho" w:hAnsi="MS Mincho" w:cs="MS Mincho" w:hint="eastAsia"/>
          <w:color w:val="000000" w:themeColor="text1"/>
        </w:rPr>
        <w:t> </w:t>
      </w:r>
      <w:r w:rsidRPr="00147E8C">
        <w:rPr>
          <w:color w:val="000000" w:themeColor="text1"/>
          <w:lang w:val="en-US"/>
        </w:rPr>
        <w:t>Group</w:t>
      </w:r>
      <w:r w:rsidRPr="00147E8C">
        <w:rPr>
          <w:rFonts w:ascii="MS Mincho" w:eastAsia="MS Mincho" w:hAnsi="MS Mincho" w:cs="MS Mincho" w:hint="eastAsia"/>
          <w:color w:val="000000" w:themeColor="text1"/>
          <w:lang w:val="en-US"/>
        </w:rPr>
        <w:t> </w:t>
      </w:r>
      <w:r w:rsidRPr="00147E8C">
        <w:rPr>
          <w:color w:val="000000" w:themeColor="text1"/>
          <w:lang w:val="en-US"/>
        </w:rPr>
        <w:t>Background</w:t>
      </w:r>
      <w:r w:rsidRPr="00147E8C">
        <w:rPr>
          <w:rFonts w:ascii="MS Mincho" w:eastAsia="MS Mincho" w:hAnsi="MS Mincho" w:cs="MS Mincho" w:hint="eastAsia"/>
          <w:color w:val="000000" w:themeColor="text1"/>
          <w:lang w:val="en-US"/>
        </w:rPr>
        <w:t> </w:t>
      </w:r>
      <w:r w:rsidRPr="00147E8C">
        <w:rPr>
          <w:color w:val="000000" w:themeColor="text1"/>
          <w:lang w:val="en-US"/>
        </w:rPr>
        <w:t>paper.  Washington, DC: World</w:t>
      </w:r>
      <w:r w:rsidRPr="00147E8C">
        <w:rPr>
          <w:rFonts w:ascii="MS Mincho" w:eastAsia="MS Mincho" w:hAnsi="MS Mincho" w:cs="MS Mincho" w:hint="eastAsia"/>
          <w:color w:val="000000" w:themeColor="text1"/>
          <w:lang w:val="en-US"/>
        </w:rPr>
        <w:t> </w:t>
      </w:r>
      <w:r w:rsidRPr="00147E8C">
        <w:rPr>
          <w:color w:val="000000" w:themeColor="text1"/>
          <w:lang w:val="en-US"/>
        </w:rPr>
        <w:t xml:space="preserve">Bank. </w:t>
      </w:r>
    </w:p>
    <w:p w14:paraId="1246C78A" w14:textId="77777777" w:rsidR="00A96CF7" w:rsidRPr="00147E8C" w:rsidRDefault="00A96CF7" w:rsidP="00A96CF7">
      <w:pPr>
        <w:spacing w:line="276" w:lineRule="auto"/>
        <w:rPr>
          <w:color w:val="000000" w:themeColor="text1"/>
          <w:lang w:val="en-US"/>
        </w:rPr>
      </w:pPr>
    </w:p>
    <w:p w14:paraId="4061C230"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Manchón, B. and Macleod, M. (2010) ‘Challenging gender inequality in farmers’ organisations in Nicaragua, </w:t>
      </w:r>
      <w:r w:rsidRPr="00147E8C">
        <w:rPr>
          <w:i/>
          <w:color w:val="000000" w:themeColor="text1"/>
          <w:lang w:val="en-US"/>
        </w:rPr>
        <w:t>Gender and Development</w:t>
      </w:r>
      <w:r w:rsidRPr="00147E8C">
        <w:rPr>
          <w:color w:val="000000" w:themeColor="text1"/>
          <w:lang w:val="en-US"/>
        </w:rPr>
        <w:t xml:space="preserve">, 18 (3), pp.373-386. </w:t>
      </w:r>
    </w:p>
    <w:p w14:paraId="0163891A" w14:textId="77777777" w:rsidR="00A96CF7" w:rsidRPr="00147E8C" w:rsidRDefault="00A96CF7" w:rsidP="00A96CF7">
      <w:pPr>
        <w:spacing w:line="276" w:lineRule="auto"/>
        <w:rPr>
          <w:color w:val="000000" w:themeColor="text1"/>
          <w:lang w:val="en-US"/>
        </w:rPr>
      </w:pPr>
    </w:p>
    <w:p w14:paraId="628F5FDE" w14:textId="77777777" w:rsidR="00A96CF7" w:rsidRPr="00F2014E" w:rsidRDefault="00A96CF7" w:rsidP="00A96CF7">
      <w:pPr>
        <w:spacing w:line="276" w:lineRule="auto"/>
        <w:rPr>
          <w:color w:val="000000" w:themeColor="text1"/>
          <w:lang w:val="en-US"/>
        </w:rPr>
      </w:pPr>
      <w:r w:rsidRPr="00147E8C">
        <w:rPr>
          <w:color w:val="000000" w:themeColor="text1"/>
          <w:lang w:val="en-US"/>
        </w:rPr>
        <w:t xml:space="preserve">Man-Kwun Chan (2010). </w:t>
      </w:r>
      <w:r w:rsidRPr="00147E8C">
        <w:rPr>
          <w:i/>
          <w:iCs/>
          <w:color w:val="000000" w:themeColor="text1"/>
          <w:lang w:val="en-US"/>
        </w:rPr>
        <w:t xml:space="preserve">Improving opportunities for women in smallholder-based supply </w:t>
      </w:r>
      <w:r w:rsidRPr="00F2014E">
        <w:rPr>
          <w:i/>
          <w:iCs/>
          <w:color w:val="000000" w:themeColor="text1"/>
          <w:lang w:val="en-US"/>
        </w:rPr>
        <w:t xml:space="preserve">chains </w:t>
      </w:r>
      <w:r w:rsidRPr="00F2014E">
        <w:rPr>
          <w:iCs/>
          <w:color w:val="000000" w:themeColor="text1"/>
          <w:lang w:val="en-US"/>
        </w:rPr>
        <w:t xml:space="preserve">[Online]. </w:t>
      </w:r>
      <w:r w:rsidRPr="00F2014E">
        <w:rPr>
          <w:color w:val="000000" w:themeColor="text1"/>
          <w:lang w:val="en-US"/>
        </w:rPr>
        <w:t xml:space="preserve">Bill and Melinda Gates Foundation. Available from: </w:t>
      </w:r>
      <w:hyperlink r:id="rId58" w:history="1">
        <w:r w:rsidRPr="00F2014E">
          <w:rPr>
            <w:rStyle w:val="Hyperlink"/>
            <w:rFonts w:eastAsiaTheme="majorEastAsia"/>
            <w:color w:val="000000" w:themeColor="text1"/>
            <w:u w:val="none"/>
          </w:rPr>
          <w:t>https://docs.gatesfoundation.org/Documents/gender-value-chain- guide.pdf</w:t>
        </w:r>
      </w:hyperlink>
      <w:r w:rsidRPr="00F2014E">
        <w:rPr>
          <w:color w:val="000000" w:themeColor="text1"/>
        </w:rPr>
        <w:t xml:space="preserve">.[Accessed 29th May 29 2017]. </w:t>
      </w:r>
    </w:p>
    <w:p w14:paraId="315DB50C" w14:textId="77777777" w:rsidR="00A96CF7" w:rsidRPr="00F2014E" w:rsidRDefault="00A96CF7" w:rsidP="00A96CF7">
      <w:pPr>
        <w:spacing w:line="276" w:lineRule="auto"/>
        <w:rPr>
          <w:color w:val="000000" w:themeColor="text1"/>
        </w:rPr>
      </w:pPr>
    </w:p>
    <w:p w14:paraId="72F753CA" w14:textId="77777777" w:rsidR="00A96CF7" w:rsidRPr="00F2014E" w:rsidRDefault="00A96CF7" w:rsidP="00A96CF7">
      <w:pPr>
        <w:spacing w:line="276" w:lineRule="auto"/>
        <w:rPr>
          <w:color w:val="000000" w:themeColor="text1"/>
          <w:lang w:val="en-US"/>
        </w:rPr>
      </w:pPr>
      <w:r w:rsidRPr="00F2014E">
        <w:rPr>
          <w:color w:val="000000" w:themeColor="text1"/>
        </w:rPr>
        <w:t xml:space="preserve">Marcus, R. and Harper, C. (2014) </w:t>
      </w:r>
      <w:r w:rsidRPr="00F2014E">
        <w:rPr>
          <w:i/>
          <w:iCs/>
          <w:color w:val="000000" w:themeColor="text1"/>
        </w:rPr>
        <w:t xml:space="preserve">Gender justice and social norms: processes of change for adolescent girls. </w:t>
      </w:r>
      <w:r w:rsidRPr="00F2014E">
        <w:rPr>
          <w:iCs/>
          <w:color w:val="000000" w:themeColor="text1"/>
        </w:rPr>
        <w:t xml:space="preserve">London: </w:t>
      </w:r>
      <w:r w:rsidRPr="00F2014E">
        <w:rPr>
          <w:color w:val="000000" w:themeColor="text1"/>
          <w:lang w:val="en-US"/>
        </w:rPr>
        <w:t xml:space="preserve">Overseas Development Institute. </w:t>
      </w:r>
    </w:p>
    <w:p w14:paraId="155662B3" w14:textId="77777777" w:rsidR="00A96CF7" w:rsidRPr="00F2014E" w:rsidRDefault="00A96CF7" w:rsidP="00A96CF7">
      <w:pPr>
        <w:spacing w:line="276" w:lineRule="auto"/>
        <w:rPr>
          <w:color w:val="000000" w:themeColor="text1"/>
          <w:lang w:val="en-US"/>
        </w:rPr>
      </w:pPr>
    </w:p>
    <w:p w14:paraId="2E151950" w14:textId="77777777" w:rsidR="00A96CF7" w:rsidRPr="00F2014E" w:rsidRDefault="00A96CF7" w:rsidP="00A96CF7">
      <w:pPr>
        <w:spacing w:line="276" w:lineRule="auto"/>
        <w:rPr>
          <w:bCs/>
          <w:i/>
          <w:color w:val="000000" w:themeColor="text1"/>
          <w:lang w:val="x-none"/>
        </w:rPr>
      </w:pPr>
      <w:r w:rsidRPr="00F2014E">
        <w:rPr>
          <w:color w:val="000000" w:themeColor="text1"/>
        </w:rPr>
        <w:t>Markel, E.  (2015) ‘</w:t>
      </w:r>
      <w:r w:rsidRPr="00F2014E">
        <w:rPr>
          <w:bCs/>
          <w:color w:val="000000" w:themeColor="text1"/>
        </w:rPr>
        <w:t xml:space="preserve">New research: Informal rules and women's economic empowerment’. 12 August. </w:t>
      </w:r>
      <w:r w:rsidRPr="00F2014E">
        <w:rPr>
          <w:bCs/>
          <w:i/>
          <w:color w:val="000000" w:themeColor="text1"/>
        </w:rPr>
        <w:t>Beam Exchange</w:t>
      </w:r>
      <w:r w:rsidRPr="00F2014E">
        <w:rPr>
          <w:bCs/>
          <w:color w:val="000000" w:themeColor="text1"/>
        </w:rPr>
        <w:t xml:space="preserve">. [Online]. </w:t>
      </w:r>
      <w:r w:rsidRPr="00F2014E">
        <w:rPr>
          <w:color w:val="000000" w:themeColor="text1"/>
        </w:rPr>
        <w:t xml:space="preserve">Available from: </w:t>
      </w:r>
      <w:hyperlink r:id="rId59" w:history="1">
        <w:r w:rsidRPr="00F2014E">
          <w:rPr>
            <w:rStyle w:val="Hyperlink"/>
            <w:rFonts w:eastAsiaTheme="majorEastAsia"/>
            <w:color w:val="000000" w:themeColor="text1"/>
            <w:u w:val="none"/>
          </w:rPr>
          <w:t>https://beamexchange.org/community/blogs/2015/8/12/msagenderresearch/</w:t>
        </w:r>
      </w:hyperlink>
      <w:r w:rsidRPr="00F2014E">
        <w:rPr>
          <w:color w:val="000000" w:themeColor="text1"/>
        </w:rPr>
        <w:t xml:space="preserve"> [Accessed 12th May 2017].</w:t>
      </w:r>
    </w:p>
    <w:p w14:paraId="7A78D2F2" w14:textId="77777777" w:rsidR="00A96CF7" w:rsidRPr="00F2014E" w:rsidRDefault="00A96CF7" w:rsidP="00A96CF7">
      <w:pPr>
        <w:spacing w:line="276" w:lineRule="auto"/>
        <w:rPr>
          <w:color w:val="000000" w:themeColor="text1"/>
        </w:rPr>
      </w:pPr>
    </w:p>
    <w:p w14:paraId="084199A9" w14:textId="77777777" w:rsidR="00A96CF7" w:rsidRPr="00147E8C" w:rsidRDefault="00A96CF7" w:rsidP="00A96CF7">
      <w:pPr>
        <w:spacing w:line="276" w:lineRule="auto"/>
        <w:rPr>
          <w:color w:val="000000" w:themeColor="text1"/>
          <w:lang w:val="en-US"/>
        </w:rPr>
      </w:pPr>
      <w:r w:rsidRPr="00F2014E">
        <w:rPr>
          <w:color w:val="000000" w:themeColor="text1"/>
        </w:rPr>
        <w:t>Markel, E., Gettliffe, E., Jones, L., Miller, E., Kim, L.(2016a) The</w:t>
      </w:r>
      <w:r w:rsidRPr="00F2014E">
        <w:rPr>
          <w:i/>
          <w:iCs/>
          <w:color w:val="000000" w:themeColor="text1"/>
        </w:rPr>
        <w:t xml:space="preserve"> social norms factor: how gendered social norms influence how we empower women in markets systems</w:t>
      </w:r>
      <w:r w:rsidRPr="00147E8C">
        <w:rPr>
          <w:i/>
          <w:iCs/>
          <w:color w:val="000000" w:themeColor="text1"/>
        </w:rPr>
        <w:t xml:space="preserve"> development.</w:t>
      </w:r>
      <w:r w:rsidRPr="00147E8C">
        <w:rPr>
          <w:color w:val="000000" w:themeColor="text1"/>
        </w:rPr>
        <w:t xml:space="preserve"> London: </w:t>
      </w:r>
      <w:r w:rsidRPr="00147E8C">
        <w:rPr>
          <w:color w:val="000000" w:themeColor="text1"/>
          <w:lang w:val="en-US"/>
        </w:rPr>
        <w:t xml:space="preserve">The BEAM Exchange. </w:t>
      </w:r>
    </w:p>
    <w:p w14:paraId="57B092BA" w14:textId="77777777" w:rsidR="00A96CF7" w:rsidRPr="00147E8C" w:rsidRDefault="00A96CF7" w:rsidP="00A96CF7">
      <w:pPr>
        <w:spacing w:line="276" w:lineRule="auto"/>
        <w:rPr>
          <w:color w:val="000000" w:themeColor="text1"/>
        </w:rPr>
      </w:pPr>
    </w:p>
    <w:p w14:paraId="2BF9DB76" w14:textId="77777777" w:rsidR="00A96CF7" w:rsidRPr="00147E8C" w:rsidRDefault="00A96CF7" w:rsidP="00A96CF7">
      <w:pPr>
        <w:spacing w:line="276" w:lineRule="auto"/>
        <w:rPr>
          <w:color w:val="000000" w:themeColor="text1"/>
          <w:lang w:val="en-US"/>
        </w:rPr>
      </w:pPr>
      <w:r w:rsidRPr="00147E8C">
        <w:rPr>
          <w:color w:val="000000" w:themeColor="text1"/>
        </w:rPr>
        <w:t>Markel, E., Gettliffe, E., Jones, L., Miller, E., Kim, L.(2016b) The</w:t>
      </w:r>
      <w:r w:rsidRPr="00147E8C">
        <w:rPr>
          <w:i/>
          <w:iCs/>
          <w:color w:val="000000" w:themeColor="text1"/>
        </w:rPr>
        <w:t xml:space="preserve"> social norms factor: how gendered social norms influence how we empower women in markets systems development.</w:t>
      </w:r>
      <w:r w:rsidRPr="00147E8C">
        <w:rPr>
          <w:color w:val="000000" w:themeColor="text1"/>
        </w:rPr>
        <w:t xml:space="preserve"> London: </w:t>
      </w:r>
      <w:r w:rsidRPr="00147E8C">
        <w:rPr>
          <w:color w:val="000000" w:themeColor="text1"/>
          <w:lang w:val="en-US"/>
        </w:rPr>
        <w:t xml:space="preserve">The BEAM Exchange. </w:t>
      </w:r>
    </w:p>
    <w:p w14:paraId="2B651B4E" w14:textId="77777777" w:rsidR="00A96CF7" w:rsidRPr="00147E8C" w:rsidRDefault="00A96CF7" w:rsidP="00A96CF7">
      <w:pPr>
        <w:pStyle w:val="NormalWeb"/>
        <w:spacing w:line="276" w:lineRule="auto"/>
        <w:rPr>
          <w:color w:val="000000" w:themeColor="text1"/>
        </w:rPr>
      </w:pPr>
      <w:r w:rsidRPr="00F2014E">
        <w:rPr>
          <w:color w:val="000000" w:themeColor="text1"/>
        </w:rPr>
        <w:t xml:space="preserve">Martínez Franzoni, J.  (2008) </w:t>
      </w:r>
      <w:r w:rsidRPr="00F2014E">
        <w:rPr>
          <w:i/>
          <w:color w:val="000000" w:themeColor="text1"/>
        </w:rPr>
        <w:t>The political and social economy of care: Nicaragua research report 1</w:t>
      </w:r>
      <w:r w:rsidRPr="00F2014E">
        <w:rPr>
          <w:color w:val="000000" w:themeColor="text1"/>
        </w:rPr>
        <w:t>. Geneva: UNRISD.</w:t>
      </w:r>
      <w:r w:rsidRPr="00147E8C">
        <w:rPr>
          <w:color w:val="000000" w:themeColor="text1"/>
        </w:rPr>
        <w:t xml:space="preserve"> </w:t>
      </w:r>
    </w:p>
    <w:p w14:paraId="60D54637" w14:textId="77777777" w:rsidR="00A96CF7" w:rsidRPr="00147E8C" w:rsidRDefault="00A96CF7" w:rsidP="00A96CF7">
      <w:pPr>
        <w:spacing w:line="276" w:lineRule="auto"/>
        <w:rPr>
          <w:color w:val="000000" w:themeColor="text1"/>
        </w:rPr>
      </w:pPr>
      <w:r w:rsidRPr="00147E8C">
        <w:rPr>
          <w:color w:val="000000" w:themeColor="text1"/>
        </w:rPr>
        <w:t xml:space="preserve">Mason, K. (2005) ‘Measuring women’s empowerment: learning from cross-national research’ in Narayan, D. (ed.) </w:t>
      </w:r>
      <w:r w:rsidRPr="00147E8C">
        <w:rPr>
          <w:i/>
          <w:color w:val="000000" w:themeColor="text1"/>
        </w:rPr>
        <w:t>Measuring empowerment: cross-disciplinary perspectives</w:t>
      </w:r>
      <w:r w:rsidRPr="00147E8C">
        <w:rPr>
          <w:color w:val="000000" w:themeColor="text1"/>
        </w:rPr>
        <w:t xml:space="preserve">. Washington DC: World Bank, pp. 89-103. </w:t>
      </w:r>
    </w:p>
    <w:p w14:paraId="70F3A5BC" w14:textId="77777777" w:rsidR="00A96CF7" w:rsidRPr="00147E8C" w:rsidRDefault="00A96CF7" w:rsidP="00A96CF7">
      <w:pPr>
        <w:spacing w:line="276" w:lineRule="auto"/>
        <w:rPr>
          <w:color w:val="000000" w:themeColor="text1"/>
        </w:rPr>
      </w:pPr>
      <w:r w:rsidRPr="00147E8C">
        <w:rPr>
          <w:color w:val="000000" w:themeColor="text1"/>
        </w:rPr>
        <w:t xml:space="preserve"> </w:t>
      </w:r>
    </w:p>
    <w:p w14:paraId="4E2A23DE" w14:textId="77777777" w:rsidR="00A96CF7" w:rsidRPr="00147E8C" w:rsidRDefault="00A96CF7" w:rsidP="00A96CF7">
      <w:pPr>
        <w:spacing w:line="276" w:lineRule="auto"/>
        <w:rPr>
          <w:color w:val="000000" w:themeColor="text1"/>
          <w:lang w:val="en-US"/>
        </w:rPr>
      </w:pPr>
      <w:r w:rsidRPr="00147E8C">
        <w:rPr>
          <w:color w:val="000000" w:themeColor="text1"/>
        </w:rPr>
        <w:t xml:space="preserve">Maxwell, J.A. (2005) </w:t>
      </w:r>
      <w:r w:rsidRPr="00147E8C">
        <w:rPr>
          <w:i/>
          <w:iCs/>
          <w:color w:val="000000" w:themeColor="text1"/>
        </w:rPr>
        <w:t>Qualitative research design: An interactive approach</w:t>
      </w:r>
      <w:r w:rsidRPr="00147E8C">
        <w:rPr>
          <w:color w:val="000000" w:themeColor="text1"/>
        </w:rPr>
        <w:t xml:space="preserve">, 2nd edn. </w:t>
      </w:r>
      <w:r w:rsidRPr="00147E8C">
        <w:rPr>
          <w:color w:val="000000" w:themeColor="text1"/>
          <w:lang w:val="en-US"/>
        </w:rPr>
        <w:t>Thousand Oak: Sage.</w:t>
      </w:r>
    </w:p>
    <w:p w14:paraId="41AEDE2E" w14:textId="77777777" w:rsidR="00A96CF7" w:rsidRPr="00147E8C" w:rsidRDefault="00A96CF7" w:rsidP="00A96CF7">
      <w:pPr>
        <w:spacing w:line="276" w:lineRule="auto"/>
        <w:rPr>
          <w:color w:val="000000" w:themeColor="text1"/>
          <w:lang w:val="en-US"/>
        </w:rPr>
      </w:pPr>
    </w:p>
    <w:p w14:paraId="6C8E5F14" w14:textId="77777777" w:rsidR="00A96CF7" w:rsidRPr="00147E8C" w:rsidRDefault="00A96CF7" w:rsidP="00A96CF7">
      <w:pPr>
        <w:spacing w:line="276" w:lineRule="auto"/>
        <w:rPr>
          <w:color w:val="000000" w:themeColor="text1"/>
        </w:rPr>
      </w:pPr>
      <w:r w:rsidRPr="00147E8C">
        <w:rPr>
          <w:color w:val="000000" w:themeColor="text1"/>
        </w:rPr>
        <w:t>Mehra, R. and M. Hill Rojas. 2008. Women, Food Security and Agriculture in a Global Marketplace. International Center for Research on Women (ICRW).</w:t>
      </w:r>
    </w:p>
    <w:p w14:paraId="2CE27056" w14:textId="77777777" w:rsidR="00A96CF7" w:rsidRPr="00147E8C" w:rsidRDefault="00A96CF7" w:rsidP="00A96CF7">
      <w:pPr>
        <w:spacing w:line="276" w:lineRule="auto"/>
        <w:rPr>
          <w:color w:val="000000" w:themeColor="text1"/>
          <w:lang w:val="en-US"/>
        </w:rPr>
      </w:pPr>
    </w:p>
    <w:p w14:paraId="05FC66A4" w14:textId="77777777" w:rsidR="00A96CF7" w:rsidRPr="00147E8C" w:rsidRDefault="00A96CF7" w:rsidP="00A96CF7">
      <w:pPr>
        <w:spacing w:line="276" w:lineRule="auto"/>
        <w:rPr>
          <w:color w:val="000000" w:themeColor="text1"/>
          <w:lang w:val="en-US"/>
        </w:rPr>
      </w:pPr>
      <w:r w:rsidRPr="00147E8C">
        <w:rPr>
          <w:color w:val="000000" w:themeColor="text1"/>
        </w:rPr>
        <w:t xml:space="preserve">Merriam, S.B. (1998) </w:t>
      </w:r>
      <w:r w:rsidRPr="00147E8C">
        <w:rPr>
          <w:i/>
          <w:iCs/>
          <w:color w:val="000000" w:themeColor="text1"/>
        </w:rPr>
        <w:t>Qualitative research and case study application in education</w:t>
      </w:r>
      <w:r w:rsidRPr="00147E8C">
        <w:rPr>
          <w:color w:val="000000" w:themeColor="text1"/>
        </w:rPr>
        <w:t xml:space="preserve">. </w:t>
      </w:r>
      <w:r w:rsidRPr="00147E8C">
        <w:rPr>
          <w:color w:val="000000" w:themeColor="text1"/>
          <w:lang w:val="en-US"/>
        </w:rPr>
        <w:t>San Francisco: Jossey Bass.</w:t>
      </w:r>
    </w:p>
    <w:p w14:paraId="3EFA5B6C" w14:textId="77777777" w:rsidR="00A96CF7" w:rsidRPr="00147E8C" w:rsidRDefault="00A96CF7" w:rsidP="00A96CF7">
      <w:pPr>
        <w:spacing w:line="276" w:lineRule="auto"/>
        <w:rPr>
          <w:color w:val="000000" w:themeColor="text1"/>
          <w:lang w:val="en-US"/>
        </w:rPr>
      </w:pPr>
    </w:p>
    <w:p w14:paraId="259220C4" w14:textId="77777777" w:rsidR="00A96CF7" w:rsidRPr="00147E8C" w:rsidRDefault="00A96CF7" w:rsidP="00A96CF7">
      <w:pPr>
        <w:spacing w:line="276" w:lineRule="auto"/>
        <w:rPr>
          <w:color w:val="000000" w:themeColor="text1"/>
          <w:lang w:val="en-US"/>
        </w:rPr>
      </w:pPr>
      <w:r w:rsidRPr="00147E8C">
        <w:rPr>
          <w:color w:val="000000" w:themeColor="text1"/>
        </w:rPr>
        <w:t xml:space="preserve">Mies, M. (1983). </w:t>
      </w:r>
      <w:r w:rsidRPr="00147E8C">
        <w:rPr>
          <w:i/>
          <w:color w:val="000000" w:themeColor="text1"/>
        </w:rPr>
        <w:t>Towards a Methodology for Feminist Research. In Bowles, &amp; Duelli, K.</w:t>
      </w:r>
      <w:r w:rsidRPr="00147E8C">
        <w:rPr>
          <w:color w:val="000000" w:themeColor="text1"/>
        </w:rPr>
        <w:t xml:space="preserve"> (Eds.), </w:t>
      </w:r>
      <w:r w:rsidRPr="00147E8C">
        <w:rPr>
          <w:i/>
          <w:iCs/>
          <w:color w:val="000000" w:themeColor="text1"/>
        </w:rPr>
        <w:t>Theories of women studies</w:t>
      </w:r>
      <w:r w:rsidRPr="00147E8C">
        <w:rPr>
          <w:color w:val="000000" w:themeColor="text1"/>
        </w:rPr>
        <w:t>. London: Routledge and Kegan Paul.</w:t>
      </w:r>
    </w:p>
    <w:p w14:paraId="71FFD392" w14:textId="77777777" w:rsidR="00A96CF7" w:rsidRPr="00147E8C" w:rsidRDefault="00A96CF7" w:rsidP="00A96CF7">
      <w:pPr>
        <w:spacing w:line="276" w:lineRule="auto"/>
        <w:rPr>
          <w:color w:val="000000" w:themeColor="text1"/>
        </w:rPr>
      </w:pPr>
    </w:p>
    <w:p w14:paraId="7E64761B" w14:textId="77777777" w:rsidR="00A96CF7" w:rsidRPr="00147E8C" w:rsidRDefault="00A96CF7" w:rsidP="00A96CF7">
      <w:pPr>
        <w:pStyle w:val="NormalWeb"/>
        <w:spacing w:before="0" w:beforeAutospacing="0" w:after="0" w:afterAutospacing="0" w:line="276" w:lineRule="auto"/>
        <w:rPr>
          <w:color w:val="000000" w:themeColor="text1"/>
        </w:rPr>
      </w:pPr>
    </w:p>
    <w:p w14:paraId="6F13E391" w14:textId="77777777" w:rsidR="00A96CF7" w:rsidRPr="00147E8C" w:rsidRDefault="00A96CF7" w:rsidP="00A96CF7">
      <w:pPr>
        <w:pStyle w:val="NormalWeb"/>
        <w:spacing w:before="0" w:beforeAutospacing="0" w:after="0" w:afterAutospacing="0" w:line="276" w:lineRule="auto"/>
        <w:rPr>
          <w:color w:val="000000" w:themeColor="text1"/>
        </w:rPr>
      </w:pPr>
      <w:r w:rsidRPr="00147E8C">
        <w:rPr>
          <w:color w:val="000000" w:themeColor="text1"/>
        </w:rPr>
        <w:t xml:space="preserve">Millen, D (1997) </w:t>
      </w:r>
      <w:r w:rsidRPr="00147E8C">
        <w:rPr>
          <w:i/>
          <w:color w:val="000000" w:themeColor="text1"/>
        </w:rPr>
        <w:t>Some methodological and epistemological issues raised by doing feminist research on non-feminist women,</w:t>
      </w:r>
      <w:r w:rsidRPr="00147E8C">
        <w:rPr>
          <w:color w:val="000000" w:themeColor="text1"/>
        </w:rPr>
        <w:t xml:space="preserve"> Sociological Research Online, 2(3) </w:t>
      </w:r>
    </w:p>
    <w:p w14:paraId="690E11F5" w14:textId="77777777" w:rsidR="00A96CF7" w:rsidRPr="00147E8C" w:rsidRDefault="00A96CF7" w:rsidP="00A96CF7">
      <w:pPr>
        <w:spacing w:line="276" w:lineRule="auto"/>
        <w:rPr>
          <w:color w:val="000000" w:themeColor="text1"/>
          <w:lang w:val="en-US"/>
        </w:rPr>
      </w:pPr>
    </w:p>
    <w:p w14:paraId="5BD3CD94" w14:textId="77777777" w:rsidR="00A96CF7" w:rsidRPr="00147E8C" w:rsidRDefault="00A96CF7" w:rsidP="00A96CF7">
      <w:pPr>
        <w:spacing w:line="276" w:lineRule="auto"/>
        <w:rPr>
          <w:color w:val="000000" w:themeColor="text1"/>
          <w:lang w:val="en-US"/>
        </w:rPr>
      </w:pPr>
      <w:r w:rsidRPr="00147E8C">
        <w:rPr>
          <w:color w:val="000000" w:themeColor="text1"/>
        </w:rPr>
        <w:t xml:space="preserve">Milligan, C., A. Bingley and A. Gatrell (2005) ‘"Healing and feeling": the place of emotions in later life’ in Davidson, J., Bondi, L. and Smith, M. (eds) </w:t>
      </w:r>
      <w:r w:rsidRPr="00147E8C">
        <w:rPr>
          <w:i/>
          <w:color w:val="000000" w:themeColor="text1"/>
        </w:rPr>
        <w:t xml:space="preserve">Emotional Geographies. </w:t>
      </w:r>
      <w:r w:rsidRPr="00147E8C">
        <w:rPr>
          <w:color w:val="000000" w:themeColor="text1"/>
        </w:rPr>
        <w:t xml:space="preserve">Farnham: </w:t>
      </w:r>
      <w:r w:rsidRPr="00147E8C">
        <w:rPr>
          <w:color w:val="000000" w:themeColor="text1"/>
          <w:lang w:val="en-US"/>
        </w:rPr>
        <w:t xml:space="preserve">Aldershot, Ashgate Publishing, pp. 49 - 62. </w:t>
      </w:r>
    </w:p>
    <w:p w14:paraId="67827DFB" w14:textId="77777777" w:rsidR="00A96CF7" w:rsidRPr="00147E8C" w:rsidRDefault="00A96CF7" w:rsidP="00A96CF7">
      <w:pPr>
        <w:spacing w:line="276" w:lineRule="auto"/>
        <w:rPr>
          <w:color w:val="000000" w:themeColor="text1"/>
          <w:lang w:val="en-US"/>
        </w:rPr>
      </w:pPr>
    </w:p>
    <w:p w14:paraId="1427F083" w14:textId="77777777" w:rsidR="00A96CF7" w:rsidRPr="00147E8C" w:rsidRDefault="00A96CF7" w:rsidP="00A96CF7">
      <w:pPr>
        <w:spacing w:line="276" w:lineRule="auto"/>
        <w:rPr>
          <w:color w:val="000000" w:themeColor="text1"/>
          <w:lang w:val="en-US"/>
        </w:rPr>
      </w:pPr>
      <w:r w:rsidRPr="00147E8C">
        <w:rPr>
          <w:color w:val="000000" w:themeColor="text1"/>
        </w:rPr>
        <w:t xml:space="preserve">Molyneux, M. (1979) ‘Beyond the domestic labour debate’, </w:t>
      </w:r>
      <w:r w:rsidRPr="00147E8C">
        <w:rPr>
          <w:i/>
          <w:iCs/>
          <w:color w:val="000000" w:themeColor="text1"/>
          <w:lang w:val="en-US"/>
        </w:rPr>
        <w:t>New Left Review</w:t>
      </w:r>
      <w:r w:rsidRPr="00147E8C">
        <w:rPr>
          <w:iCs/>
          <w:color w:val="000000" w:themeColor="text1"/>
          <w:lang w:val="en-US"/>
        </w:rPr>
        <w:t>, 1</w:t>
      </w:r>
      <w:r w:rsidRPr="00147E8C">
        <w:rPr>
          <w:color w:val="000000" w:themeColor="text1"/>
          <w:lang w:val="en-US"/>
        </w:rPr>
        <w:t xml:space="preserve"> (116), pp. 3-27.</w:t>
      </w:r>
    </w:p>
    <w:p w14:paraId="5B427B66"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Molyneux, M. (1985) ‘Mobilization without emancipation: Women’s interests, the state, and revolution in Nicaragua’, </w:t>
      </w:r>
      <w:r w:rsidRPr="00147E8C">
        <w:rPr>
          <w:i/>
          <w:iCs/>
          <w:color w:val="000000" w:themeColor="text1"/>
        </w:rPr>
        <w:t xml:space="preserve">Feminist Studies </w:t>
      </w:r>
      <w:r w:rsidRPr="00147E8C">
        <w:rPr>
          <w:color w:val="000000" w:themeColor="text1"/>
        </w:rPr>
        <w:t xml:space="preserve">2, pp. 227-254. </w:t>
      </w:r>
    </w:p>
    <w:p w14:paraId="2084DF88" w14:textId="77777777" w:rsidR="00A96CF7" w:rsidRPr="00147E8C" w:rsidRDefault="00A96CF7" w:rsidP="00A96CF7">
      <w:pPr>
        <w:spacing w:line="276" w:lineRule="auto"/>
        <w:rPr>
          <w:color w:val="000000" w:themeColor="text1"/>
        </w:rPr>
      </w:pPr>
      <w:r w:rsidRPr="00147E8C">
        <w:rPr>
          <w:color w:val="000000" w:themeColor="text1"/>
        </w:rPr>
        <w:t xml:space="preserve">Molyneux, M. (1986) ‘Mobilization with emancipation? Women's interests, state, and revolution,’ in Fagen, R.R., Deore, C. and Coraggio, J.L. (eds.), </w:t>
      </w:r>
      <w:r w:rsidRPr="00147E8C">
        <w:rPr>
          <w:i/>
          <w:color w:val="000000" w:themeColor="text1"/>
        </w:rPr>
        <w:t>Transition and development: problems of third world socialism</w:t>
      </w:r>
      <w:r w:rsidRPr="00147E8C">
        <w:rPr>
          <w:color w:val="000000" w:themeColor="text1"/>
        </w:rPr>
        <w:t xml:space="preserve">. New York: Monthly Review Press.  pp. 280-302. </w:t>
      </w:r>
    </w:p>
    <w:p w14:paraId="24803854" w14:textId="77777777" w:rsidR="00A96CF7" w:rsidRPr="00147E8C" w:rsidRDefault="00A96CF7" w:rsidP="00A96CF7">
      <w:pPr>
        <w:spacing w:line="276" w:lineRule="auto"/>
        <w:rPr>
          <w:color w:val="000000" w:themeColor="text1"/>
        </w:rPr>
      </w:pPr>
    </w:p>
    <w:p w14:paraId="65FDB2C6" w14:textId="77777777" w:rsidR="00A96CF7" w:rsidRPr="00147E8C" w:rsidRDefault="00A96CF7" w:rsidP="00A96CF7">
      <w:pPr>
        <w:spacing w:line="276" w:lineRule="auto"/>
        <w:rPr>
          <w:color w:val="000000" w:themeColor="text1"/>
        </w:rPr>
      </w:pPr>
      <w:r w:rsidRPr="00147E8C">
        <w:rPr>
          <w:color w:val="000000" w:themeColor="text1"/>
        </w:rPr>
        <w:t xml:space="preserve">Molyneux, M. (2006) ‘Mothers at the service of the new poverty agenda: Progresa/ Oportunidades, Mexico conditional transfer programme’, </w:t>
      </w:r>
      <w:r w:rsidRPr="00147E8C">
        <w:rPr>
          <w:i/>
          <w:color w:val="000000" w:themeColor="text1"/>
        </w:rPr>
        <w:t>Social Policy and Administration</w:t>
      </w:r>
      <w:r w:rsidRPr="00147E8C">
        <w:rPr>
          <w:color w:val="000000" w:themeColor="text1"/>
        </w:rPr>
        <w:t>, 40 (4), pp. 425-49.</w:t>
      </w:r>
    </w:p>
    <w:p w14:paraId="50C041FA"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Molyneux, M. (2007) </w:t>
      </w:r>
      <w:r w:rsidRPr="00147E8C">
        <w:rPr>
          <w:i/>
          <w:color w:val="000000" w:themeColor="text1"/>
        </w:rPr>
        <w:t xml:space="preserve">Change and continuity in social protection in Latin America: Mothers at the service of the state? </w:t>
      </w:r>
      <w:r w:rsidRPr="00147E8C">
        <w:rPr>
          <w:color w:val="000000" w:themeColor="text1"/>
        </w:rPr>
        <w:t>Programme on Gender and Development, Paper No. 1. Geneva: United Nations Research Institute for Social Development (UNRISD).</w:t>
      </w:r>
    </w:p>
    <w:p w14:paraId="7AAFEACF" w14:textId="77777777" w:rsidR="00A96CF7" w:rsidRPr="00147E8C" w:rsidRDefault="00A96CF7" w:rsidP="00A96CF7">
      <w:pPr>
        <w:pStyle w:val="NormalWeb"/>
        <w:spacing w:line="276" w:lineRule="auto"/>
        <w:rPr>
          <w:color w:val="000000" w:themeColor="text1"/>
          <w:lang w:val="en-US"/>
        </w:rPr>
      </w:pPr>
      <w:r w:rsidRPr="00147E8C">
        <w:rPr>
          <w:color w:val="000000" w:themeColor="text1"/>
        </w:rPr>
        <w:t xml:space="preserve">Molyneux, M. (2008) ‘The “neoliberal turn” and the new social policy in Latin America: How neoliberal, how new?’, </w:t>
      </w:r>
      <w:r w:rsidRPr="00147E8C">
        <w:rPr>
          <w:i/>
          <w:iCs/>
          <w:color w:val="000000" w:themeColor="text1"/>
          <w:lang w:val="en-US"/>
        </w:rPr>
        <w:t xml:space="preserve">Development and Change </w:t>
      </w:r>
      <w:r w:rsidRPr="00147E8C">
        <w:rPr>
          <w:color w:val="000000" w:themeColor="text1"/>
          <w:lang w:val="en-US"/>
        </w:rPr>
        <w:t>39, pp. 775-97.</w:t>
      </w:r>
    </w:p>
    <w:p w14:paraId="49D002FB"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Montenegro, S. (2000) </w:t>
      </w:r>
      <w:r w:rsidRPr="00147E8C">
        <w:rPr>
          <w:i/>
          <w:color w:val="000000" w:themeColor="text1"/>
          <w:lang w:val="es-NI"/>
        </w:rPr>
        <w:t>La cultura sexual en Nicaragua</w:t>
      </w:r>
      <w:r w:rsidRPr="00147E8C">
        <w:rPr>
          <w:color w:val="000000" w:themeColor="text1"/>
          <w:lang w:val="es-NI"/>
        </w:rPr>
        <w:t>. [Sexual culture in Nicaragua] (CINCO, Managua).</w:t>
      </w:r>
    </w:p>
    <w:p w14:paraId="4C0F33B8" w14:textId="77777777" w:rsidR="00A96CF7" w:rsidRPr="00147E8C" w:rsidRDefault="00A96CF7" w:rsidP="00A96CF7">
      <w:pPr>
        <w:spacing w:line="276" w:lineRule="auto"/>
        <w:rPr>
          <w:color w:val="000000" w:themeColor="text1"/>
          <w:lang w:val="es-NI"/>
        </w:rPr>
      </w:pPr>
    </w:p>
    <w:p w14:paraId="7E400031"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Montenegro, S. (2001) ‘Nicaragua’s sexual culture: a loveless legacy’, </w:t>
      </w:r>
      <w:r w:rsidRPr="00147E8C">
        <w:rPr>
          <w:i/>
          <w:color w:val="000000" w:themeColor="text1"/>
          <w:lang w:val="en-US"/>
        </w:rPr>
        <w:t>Envío</w:t>
      </w:r>
      <w:r w:rsidRPr="00147E8C">
        <w:rPr>
          <w:color w:val="000000" w:themeColor="text1"/>
          <w:lang w:val="en-US"/>
        </w:rPr>
        <w:t xml:space="preserve"> [Online], 240 (July 2011). Available from</w:t>
      </w:r>
      <w:r w:rsidRPr="00F645CE">
        <w:rPr>
          <w:color w:val="000000" w:themeColor="text1"/>
          <w:lang w:val="en-US"/>
        </w:rPr>
        <w:t xml:space="preserve">: </w:t>
      </w:r>
      <w:hyperlink r:id="rId60" w:history="1">
        <w:r w:rsidRPr="00F645CE">
          <w:rPr>
            <w:rStyle w:val="Hyperlink"/>
            <w:rFonts w:eastAsiaTheme="majorEastAsia"/>
            <w:color w:val="000000" w:themeColor="text1"/>
            <w:u w:val="none"/>
          </w:rPr>
          <w:t>http://www.envio.org.ni/articulo/1515</w:t>
        </w:r>
      </w:hyperlink>
      <w:r w:rsidRPr="00147E8C">
        <w:rPr>
          <w:color w:val="000000" w:themeColor="text1"/>
        </w:rPr>
        <w:t xml:space="preserve"> [Accessed 31st May 2017]. </w:t>
      </w:r>
    </w:p>
    <w:p w14:paraId="78545CA5" w14:textId="77777777" w:rsidR="00A96CF7" w:rsidRPr="00147E8C" w:rsidRDefault="00A96CF7" w:rsidP="00A96CF7">
      <w:pPr>
        <w:spacing w:line="276" w:lineRule="auto"/>
        <w:rPr>
          <w:color w:val="000000" w:themeColor="text1"/>
          <w:lang w:val="en-US"/>
        </w:rPr>
      </w:pPr>
    </w:p>
    <w:p w14:paraId="57732817" w14:textId="77777777" w:rsidR="00A96CF7" w:rsidRPr="00147E8C" w:rsidRDefault="00A96CF7" w:rsidP="00A96CF7">
      <w:pPr>
        <w:spacing w:line="276" w:lineRule="auto"/>
        <w:rPr>
          <w:color w:val="000000" w:themeColor="text1"/>
          <w:lang w:val="es-NI"/>
        </w:rPr>
      </w:pPr>
      <w:r w:rsidRPr="00147E8C">
        <w:rPr>
          <w:color w:val="000000" w:themeColor="text1"/>
          <w:lang w:val="es-NI"/>
        </w:rPr>
        <w:t>Montoya, O. (1998</w:t>
      </w:r>
      <w:r w:rsidRPr="00147E8C">
        <w:rPr>
          <w:i/>
          <w:color w:val="000000" w:themeColor="text1"/>
          <w:lang w:val="es-NI"/>
        </w:rPr>
        <w:t>)  Nadando contra corriente: buscando pistas para prevenir la violencia masculina en las relaciones de pareja</w:t>
      </w:r>
      <w:r w:rsidRPr="00147E8C">
        <w:rPr>
          <w:color w:val="000000" w:themeColor="text1"/>
          <w:lang w:val="es-NI"/>
        </w:rPr>
        <w:t xml:space="preserve">. Managua: Puntos de Encuentro. </w:t>
      </w:r>
    </w:p>
    <w:p w14:paraId="77D5E7D3" w14:textId="77777777" w:rsidR="00A96CF7" w:rsidRPr="00147E8C" w:rsidRDefault="00A96CF7" w:rsidP="00A96CF7">
      <w:pPr>
        <w:spacing w:line="276" w:lineRule="auto"/>
        <w:rPr>
          <w:color w:val="000000" w:themeColor="text1"/>
          <w:lang w:val="es-NI"/>
        </w:rPr>
      </w:pPr>
    </w:p>
    <w:p w14:paraId="642B71F3" w14:textId="77777777" w:rsidR="00A96CF7" w:rsidRPr="00147E8C" w:rsidRDefault="00A96CF7" w:rsidP="00A96CF7">
      <w:pPr>
        <w:spacing w:line="276" w:lineRule="auto"/>
        <w:rPr>
          <w:color w:val="000000" w:themeColor="text1"/>
          <w:lang w:val="en-US"/>
        </w:rPr>
      </w:pPr>
      <w:r w:rsidRPr="00147E8C">
        <w:rPr>
          <w:color w:val="000000" w:themeColor="text1"/>
          <w:lang w:val="es-NI"/>
        </w:rPr>
        <w:lastRenderedPageBreak/>
        <w:t xml:space="preserve">Montoya, O. (2001) </w:t>
      </w:r>
      <w:r w:rsidRPr="00147E8C">
        <w:rPr>
          <w:i/>
          <w:color w:val="000000" w:themeColor="text1"/>
          <w:lang w:val="es-NI"/>
        </w:rPr>
        <w:t>Educación reproductiva y paternidad responsable en Nicaragua.</w:t>
      </w:r>
      <w:r w:rsidRPr="00147E8C">
        <w:rPr>
          <w:color w:val="000000" w:themeColor="text1"/>
          <w:lang w:val="es-NI"/>
        </w:rPr>
        <w:t xml:space="preserve"> </w:t>
      </w:r>
      <w:r w:rsidRPr="00147E8C">
        <w:rPr>
          <w:color w:val="000000" w:themeColor="text1"/>
          <w:lang w:val="en-US"/>
        </w:rPr>
        <w:t>México: CEPAL.</w:t>
      </w:r>
    </w:p>
    <w:p w14:paraId="71BF717C" w14:textId="77777777" w:rsidR="00A96CF7" w:rsidRPr="00147E8C" w:rsidRDefault="00A96CF7" w:rsidP="00A96CF7">
      <w:pPr>
        <w:spacing w:line="276" w:lineRule="auto"/>
        <w:rPr>
          <w:color w:val="000000" w:themeColor="text1"/>
          <w:lang w:val="en-US"/>
        </w:rPr>
      </w:pPr>
    </w:p>
    <w:p w14:paraId="587185B3" w14:textId="77777777" w:rsidR="00A96CF7" w:rsidRPr="00147E8C" w:rsidRDefault="00A96CF7" w:rsidP="00A96CF7">
      <w:pPr>
        <w:spacing w:line="276" w:lineRule="auto"/>
        <w:rPr>
          <w:color w:val="000000" w:themeColor="text1"/>
        </w:rPr>
      </w:pPr>
      <w:r w:rsidRPr="00147E8C">
        <w:rPr>
          <w:color w:val="000000" w:themeColor="text1"/>
        </w:rPr>
        <w:t xml:space="preserve">Morrison, A., and Orlando, M.B. (1999) ‘Social and economic costs of domestic violence: Chile and Nicaragua’, in Morrison, A. and Biehl, M.L (eds.) </w:t>
      </w:r>
      <w:r w:rsidRPr="00147E8C">
        <w:rPr>
          <w:i/>
          <w:color w:val="000000" w:themeColor="text1"/>
        </w:rPr>
        <w:t>Too Close to Home: Violence in the Americas</w:t>
      </w:r>
      <w:r w:rsidRPr="00147E8C">
        <w:rPr>
          <w:color w:val="000000" w:themeColor="text1"/>
        </w:rPr>
        <w:t xml:space="preserve">. Washington D.C.: Inter-American Development Bank, pp.51-80. </w:t>
      </w:r>
    </w:p>
    <w:p w14:paraId="16231459" w14:textId="77777777" w:rsidR="00A96CF7" w:rsidRPr="00147E8C" w:rsidRDefault="00A96CF7" w:rsidP="00A96CF7">
      <w:pPr>
        <w:spacing w:line="276" w:lineRule="auto"/>
        <w:rPr>
          <w:color w:val="000000" w:themeColor="text1"/>
        </w:rPr>
      </w:pPr>
    </w:p>
    <w:p w14:paraId="5AD05885" w14:textId="77777777" w:rsidR="00A96CF7" w:rsidRPr="00147E8C" w:rsidRDefault="00A96CF7" w:rsidP="00A96CF7">
      <w:pPr>
        <w:spacing w:line="276" w:lineRule="auto"/>
        <w:rPr>
          <w:color w:val="000000" w:themeColor="text1"/>
          <w:lang w:val="en-US"/>
        </w:rPr>
      </w:pPr>
      <w:r w:rsidRPr="00147E8C">
        <w:rPr>
          <w:color w:val="000000" w:themeColor="text1"/>
        </w:rPr>
        <w:t xml:space="preserve">Mosedale, S. (2005) ‘Assessing women's empowerment: towards a conceptual framework’, </w:t>
      </w:r>
      <w:r w:rsidRPr="00147E8C">
        <w:rPr>
          <w:i/>
          <w:iCs/>
          <w:color w:val="000000" w:themeColor="text1"/>
          <w:lang w:val="en-US"/>
        </w:rPr>
        <w:t>Journal of International Development</w:t>
      </w:r>
      <w:r w:rsidRPr="00147E8C">
        <w:rPr>
          <w:color w:val="000000" w:themeColor="text1"/>
          <w:lang w:val="en-US"/>
        </w:rPr>
        <w:t>, 17 (2), pp.243-257.</w:t>
      </w:r>
    </w:p>
    <w:p w14:paraId="05E0DD62" w14:textId="77777777" w:rsidR="00A96CF7" w:rsidRPr="00147E8C" w:rsidRDefault="00A96CF7" w:rsidP="00A96CF7">
      <w:pPr>
        <w:spacing w:line="276" w:lineRule="auto"/>
        <w:rPr>
          <w:color w:val="000000" w:themeColor="text1"/>
        </w:rPr>
      </w:pPr>
    </w:p>
    <w:p w14:paraId="1E999DC5" w14:textId="77777777" w:rsidR="00A96CF7" w:rsidRPr="00147E8C" w:rsidRDefault="00A96CF7" w:rsidP="00A96CF7">
      <w:pPr>
        <w:spacing w:line="276" w:lineRule="auto"/>
        <w:rPr>
          <w:color w:val="000000" w:themeColor="text1"/>
          <w:lang w:val="en-US"/>
        </w:rPr>
      </w:pPr>
      <w:r w:rsidRPr="00147E8C">
        <w:rPr>
          <w:color w:val="000000" w:themeColor="text1"/>
        </w:rPr>
        <w:t>Moser, C. (1989) ‘Gender planning in the third world: meeting practical and strategic gender needs’, </w:t>
      </w:r>
      <w:r w:rsidRPr="00147E8C">
        <w:rPr>
          <w:i/>
          <w:iCs/>
          <w:color w:val="000000" w:themeColor="text1"/>
          <w:lang w:val="en-US"/>
        </w:rPr>
        <w:t>World Development</w:t>
      </w:r>
      <w:r w:rsidRPr="00147E8C">
        <w:rPr>
          <w:color w:val="000000" w:themeColor="text1"/>
          <w:lang w:val="en-US"/>
        </w:rPr>
        <w:t>, 17 (11), pp.1799-1825.</w:t>
      </w:r>
    </w:p>
    <w:p w14:paraId="064645A4" w14:textId="77777777" w:rsidR="00A96CF7" w:rsidRPr="00147E8C" w:rsidRDefault="00A96CF7" w:rsidP="00A96CF7">
      <w:pPr>
        <w:spacing w:line="276" w:lineRule="auto"/>
        <w:rPr>
          <w:color w:val="000000" w:themeColor="text1"/>
        </w:rPr>
      </w:pPr>
    </w:p>
    <w:p w14:paraId="50EA6B76" w14:textId="77777777" w:rsidR="00A96CF7" w:rsidRPr="00147E8C" w:rsidRDefault="00A96CF7" w:rsidP="00A96CF7">
      <w:pPr>
        <w:spacing w:line="276" w:lineRule="auto"/>
        <w:rPr>
          <w:color w:val="000000" w:themeColor="text1"/>
          <w:lang w:val="en-US"/>
        </w:rPr>
      </w:pPr>
      <w:r w:rsidRPr="00147E8C">
        <w:rPr>
          <w:color w:val="000000" w:themeColor="text1"/>
        </w:rPr>
        <w:t>Mosse, D (1993), Authority, Gender and Knowledge</w:t>
      </w:r>
    </w:p>
    <w:p w14:paraId="4C296143" w14:textId="77777777" w:rsidR="00A96CF7" w:rsidRPr="00147E8C" w:rsidRDefault="00A96CF7" w:rsidP="00A96CF7">
      <w:pPr>
        <w:spacing w:line="276" w:lineRule="auto"/>
        <w:rPr>
          <w:color w:val="000000" w:themeColor="text1"/>
        </w:rPr>
      </w:pPr>
    </w:p>
    <w:p w14:paraId="6A85278C" w14:textId="77777777" w:rsidR="00A96CF7" w:rsidRPr="00147E8C" w:rsidRDefault="00A96CF7" w:rsidP="00A96CF7">
      <w:pPr>
        <w:spacing w:line="276" w:lineRule="auto"/>
        <w:rPr>
          <w:color w:val="000000" w:themeColor="text1"/>
        </w:rPr>
      </w:pPr>
      <w:r w:rsidRPr="00147E8C">
        <w:rPr>
          <w:color w:val="000000" w:themeColor="text1"/>
        </w:rPr>
        <w:t xml:space="preserve">Mullender, A. and Ward, D. (1991) </w:t>
      </w:r>
      <w:r w:rsidRPr="00147E8C">
        <w:rPr>
          <w:i/>
          <w:color w:val="000000" w:themeColor="text1"/>
        </w:rPr>
        <w:t>Self-directed group work: users take action for empowerment</w:t>
      </w:r>
      <w:r w:rsidRPr="00147E8C">
        <w:rPr>
          <w:color w:val="000000" w:themeColor="text1"/>
        </w:rPr>
        <w:t>. London: Whiting and Birch.</w:t>
      </w:r>
    </w:p>
    <w:p w14:paraId="114B0865" w14:textId="77777777" w:rsidR="00A96CF7" w:rsidRPr="00147E8C" w:rsidRDefault="00A96CF7" w:rsidP="00A96CF7">
      <w:pPr>
        <w:pStyle w:val="NormalWeb"/>
        <w:spacing w:line="276" w:lineRule="auto"/>
        <w:rPr>
          <w:color w:val="000000" w:themeColor="text1"/>
          <w:lang w:val="es-NI"/>
        </w:rPr>
      </w:pPr>
      <w:r w:rsidRPr="00147E8C">
        <w:rPr>
          <w:color w:val="000000" w:themeColor="text1"/>
        </w:rPr>
        <w:t xml:space="preserve">Munoz Boudet, A.M., Petesch, P. Turk, C., and Thumala, A. (2012) </w:t>
      </w:r>
      <w:r w:rsidRPr="00147E8C">
        <w:rPr>
          <w:i/>
          <w:iCs/>
          <w:color w:val="000000" w:themeColor="text1"/>
        </w:rPr>
        <w:t>On norms and agency. Conversations about gender equ</w:t>
      </w:r>
      <w:r w:rsidRPr="00147E8C">
        <w:rPr>
          <w:color w:val="000000" w:themeColor="text1"/>
        </w:rPr>
        <w:t xml:space="preserve">ality </w:t>
      </w:r>
      <w:r w:rsidRPr="00147E8C">
        <w:rPr>
          <w:i/>
          <w:iCs/>
          <w:color w:val="000000" w:themeColor="text1"/>
        </w:rPr>
        <w:t>with women and men in 20 countries</w:t>
      </w:r>
      <w:r w:rsidRPr="00147E8C">
        <w:rPr>
          <w:color w:val="000000" w:themeColor="text1"/>
        </w:rPr>
        <w:t xml:space="preserve">. </w:t>
      </w:r>
      <w:r w:rsidRPr="00147E8C">
        <w:rPr>
          <w:color w:val="000000" w:themeColor="text1"/>
          <w:lang w:val="es-NI"/>
        </w:rPr>
        <w:t xml:space="preserve">Washington, DC: World Bank. </w:t>
      </w:r>
    </w:p>
    <w:p w14:paraId="068DB8B4" w14:textId="77777777" w:rsidR="00A96CF7" w:rsidRPr="00147E8C" w:rsidRDefault="00A96CF7" w:rsidP="00A96CF7">
      <w:pPr>
        <w:spacing w:line="276" w:lineRule="auto"/>
        <w:rPr>
          <w:color w:val="000000" w:themeColor="text1"/>
          <w:lang w:val="es-NI"/>
        </w:rPr>
      </w:pPr>
      <w:r w:rsidRPr="00147E8C">
        <w:rPr>
          <w:rStyle w:val="nlmstring-name"/>
          <w:color w:val="000000" w:themeColor="text1"/>
          <w:lang w:val="es-NI"/>
        </w:rPr>
        <w:t>Murguialday C.</w:t>
      </w:r>
      <w:r w:rsidRPr="00147E8C">
        <w:rPr>
          <w:color w:val="000000" w:themeColor="text1"/>
          <w:lang w:val="es-NI"/>
        </w:rPr>
        <w:t xml:space="preserve"> (</w:t>
      </w:r>
      <w:r w:rsidRPr="00147E8C">
        <w:rPr>
          <w:rStyle w:val="nlmyear"/>
          <w:color w:val="000000" w:themeColor="text1"/>
          <w:lang w:val="es-NI"/>
        </w:rPr>
        <w:t>1990)</w:t>
      </w:r>
      <w:r w:rsidRPr="00147E8C">
        <w:rPr>
          <w:rStyle w:val="apple-converted-space"/>
          <w:rFonts w:eastAsiaTheme="majorEastAsia"/>
          <w:color w:val="000000" w:themeColor="text1"/>
          <w:lang w:val="es-NI"/>
        </w:rPr>
        <w:t> </w:t>
      </w:r>
      <w:r w:rsidRPr="00147E8C">
        <w:rPr>
          <w:i/>
          <w:color w:val="000000" w:themeColor="text1"/>
          <w:lang w:val="es-NI"/>
        </w:rPr>
        <w:t>Nicaragua, revolución y feminismo (1977–89</w:t>
      </w:r>
      <w:r w:rsidRPr="00147E8C">
        <w:rPr>
          <w:color w:val="000000" w:themeColor="text1"/>
          <w:lang w:val="es-NI"/>
        </w:rPr>
        <w:t xml:space="preserve">). Madrid: </w:t>
      </w:r>
      <w:r w:rsidRPr="00147E8C">
        <w:rPr>
          <w:rStyle w:val="nlmpublisher-name"/>
          <w:color w:val="000000" w:themeColor="text1"/>
          <w:lang w:val="es-NI"/>
        </w:rPr>
        <w:t>Editorial Revolución</w:t>
      </w:r>
      <w:r w:rsidRPr="00147E8C">
        <w:rPr>
          <w:color w:val="000000" w:themeColor="text1"/>
          <w:lang w:val="es-NI"/>
        </w:rPr>
        <w:t>.</w:t>
      </w:r>
    </w:p>
    <w:p w14:paraId="05F372BD" w14:textId="77777777" w:rsidR="00A96CF7" w:rsidRPr="00147E8C" w:rsidRDefault="00A96CF7" w:rsidP="00A96CF7">
      <w:pPr>
        <w:spacing w:line="276" w:lineRule="auto"/>
        <w:rPr>
          <w:color w:val="000000" w:themeColor="text1"/>
          <w:lang w:val="es-NI"/>
        </w:rPr>
      </w:pPr>
    </w:p>
    <w:p w14:paraId="6785699D" w14:textId="77777777" w:rsidR="00A96CF7" w:rsidRPr="00147E8C" w:rsidRDefault="00A96CF7" w:rsidP="00A96CF7">
      <w:pPr>
        <w:spacing w:line="276" w:lineRule="auto"/>
        <w:rPr>
          <w:color w:val="000000" w:themeColor="text1"/>
          <w:lang w:val="en-US"/>
        </w:rPr>
      </w:pPr>
      <w:r w:rsidRPr="00147E8C">
        <w:rPr>
          <w:color w:val="000000" w:themeColor="text1"/>
          <w:lang w:val="en-US"/>
        </w:rPr>
        <w:t>Murray, D., Raynolds, L.T. and Taylor, P.L. (2003</w:t>
      </w:r>
      <w:r w:rsidRPr="00147E8C">
        <w:rPr>
          <w:i/>
          <w:color w:val="000000" w:themeColor="text1"/>
          <w:lang w:val="en-US"/>
        </w:rPr>
        <w:t xml:space="preserve">) One cup at a time: poverty alleviation and fair trade coffee in Latin America </w:t>
      </w:r>
      <w:r w:rsidRPr="00147E8C">
        <w:rPr>
          <w:color w:val="000000" w:themeColor="text1"/>
          <w:lang w:val="en-US"/>
        </w:rPr>
        <w:t>[Online]. Fort Collins: Fair Trade Research Group, Colorado State University. Available from: http://welcome2.libarts.colostate.edu/centers/cfat/wp-content/uploads/2009/09/One-Cup-at-a-Time.pdf [Accessed 16th June 2017].</w:t>
      </w:r>
    </w:p>
    <w:p w14:paraId="0431ABA4" w14:textId="77777777" w:rsidR="00A96CF7" w:rsidRPr="00147E8C" w:rsidRDefault="00A96CF7" w:rsidP="00A96CF7">
      <w:pPr>
        <w:spacing w:line="276" w:lineRule="auto"/>
        <w:rPr>
          <w:color w:val="000000" w:themeColor="text1"/>
          <w:lang w:val="en-US"/>
        </w:rPr>
      </w:pPr>
    </w:p>
    <w:p w14:paraId="009272DF" w14:textId="77777777" w:rsidR="00A96CF7" w:rsidRPr="00147E8C" w:rsidRDefault="00A96CF7" w:rsidP="00A96CF7">
      <w:pPr>
        <w:pStyle w:val="p1"/>
        <w:spacing w:line="276" w:lineRule="auto"/>
        <w:rPr>
          <w:rFonts w:ascii="Times New Roman" w:hAnsi="Times New Roman" w:cs="Times New Roman"/>
          <w:color w:val="000000" w:themeColor="text1"/>
          <w:sz w:val="24"/>
          <w:szCs w:val="24"/>
        </w:rPr>
      </w:pPr>
      <w:r w:rsidRPr="00147E8C">
        <w:rPr>
          <w:rFonts w:ascii="Times New Roman" w:hAnsi="Times New Roman" w:cs="Times New Roman"/>
          <w:color w:val="000000" w:themeColor="text1"/>
          <w:sz w:val="24"/>
          <w:szCs w:val="24"/>
        </w:rPr>
        <w:t xml:space="preserve">Murray, D. L., Raynolds, L. T., and Taylor, P. L. (2006) ‘The future of Fair Trade coffee: dilemmas facing Latin America’s small-scale producers’, </w:t>
      </w:r>
      <w:r w:rsidRPr="00147E8C">
        <w:rPr>
          <w:rFonts w:ascii="Times New Roman" w:hAnsi="Times New Roman" w:cs="Times New Roman"/>
          <w:i/>
          <w:color w:val="000000" w:themeColor="text1"/>
          <w:sz w:val="24"/>
          <w:szCs w:val="24"/>
        </w:rPr>
        <w:t>Development in Practice</w:t>
      </w:r>
      <w:r w:rsidRPr="00147E8C">
        <w:rPr>
          <w:rFonts w:ascii="Times New Roman" w:hAnsi="Times New Roman" w:cs="Times New Roman"/>
          <w:color w:val="000000" w:themeColor="text1"/>
          <w:sz w:val="24"/>
          <w:szCs w:val="24"/>
        </w:rPr>
        <w:t>, 16 (2), pp. 179–92.</w:t>
      </w:r>
    </w:p>
    <w:p w14:paraId="0D4D82A5" w14:textId="77777777" w:rsidR="00A96CF7" w:rsidRPr="00147E8C" w:rsidRDefault="00A96CF7" w:rsidP="00A96CF7">
      <w:pPr>
        <w:spacing w:line="276" w:lineRule="auto"/>
        <w:rPr>
          <w:color w:val="000000" w:themeColor="text1"/>
        </w:rPr>
      </w:pPr>
    </w:p>
    <w:p w14:paraId="7199BF2B" w14:textId="77777777" w:rsidR="00A96CF7" w:rsidRPr="00147E8C" w:rsidRDefault="00A96CF7" w:rsidP="00A96CF7">
      <w:pPr>
        <w:spacing w:line="276" w:lineRule="auto"/>
        <w:rPr>
          <w:color w:val="000000" w:themeColor="text1"/>
        </w:rPr>
      </w:pPr>
      <w:r w:rsidRPr="00147E8C">
        <w:rPr>
          <w:color w:val="000000" w:themeColor="text1"/>
        </w:rPr>
        <w:t xml:space="preserve">Narayan, D. (2005) </w:t>
      </w:r>
      <w:r w:rsidRPr="00147E8C">
        <w:rPr>
          <w:i/>
          <w:color w:val="000000" w:themeColor="text1"/>
        </w:rPr>
        <w:t xml:space="preserve">Measuring empowerment: cross-disciplinary perspectives. </w:t>
      </w:r>
      <w:r w:rsidRPr="00147E8C">
        <w:rPr>
          <w:color w:val="000000" w:themeColor="text1"/>
        </w:rPr>
        <w:t xml:space="preserve">Washington DC: World Bank. </w:t>
      </w:r>
    </w:p>
    <w:p w14:paraId="3247C80D" w14:textId="77777777" w:rsidR="00A96CF7" w:rsidRPr="00147E8C" w:rsidRDefault="00A96CF7" w:rsidP="00A96CF7">
      <w:pPr>
        <w:spacing w:line="276" w:lineRule="auto"/>
        <w:rPr>
          <w:color w:val="000000" w:themeColor="text1"/>
        </w:rPr>
      </w:pPr>
    </w:p>
    <w:p w14:paraId="06D25A7E" w14:textId="77777777" w:rsidR="00A96CF7" w:rsidRPr="00147E8C" w:rsidRDefault="00A96CF7" w:rsidP="00A96CF7">
      <w:pPr>
        <w:spacing w:line="276" w:lineRule="auto"/>
        <w:rPr>
          <w:color w:val="000000" w:themeColor="text1"/>
        </w:rPr>
      </w:pPr>
      <w:r w:rsidRPr="00147E8C">
        <w:rPr>
          <w:color w:val="000000" w:themeColor="text1"/>
        </w:rPr>
        <w:t xml:space="preserve">Nelson, V., and Pound, B. (2009) </w:t>
      </w:r>
      <w:r w:rsidRPr="00147E8C">
        <w:rPr>
          <w:i/>
          <w:color w:val="000000" w:themeColor="text1"/>
        </w:rPr>
        <w:t xml:space="preserve">The last ten years: a comprehensive review of the literature on the impact of Fairtrade. </w:t>
      </w:r>
      <w:r w:rsidRPr="00147E8C">
        <w:rPr>
          <w:color w:val="000000" w:themeColor="text1"/>
        </w:rPr>
        <w:t>London: Fairtrade Foundation.</w:t>
      </w:r>
    </w:p>
    <w:p w14:paraId="4EE636FD" w14:textId="77777777" w:rsidR="00A96CF7" w:rsidRPr="00147E8C" w:rsidRDefault="00A96CF7" w:rsidP="00A96CF7">
      <w:pPr>
        <w:spacing w:line="276" w:lineRule="auto"/>
        <w:rPr>
          <w:color w:val="000000" w:themeColor="text1"/>
        </w:rPr>
      </w:pPr>
    </w:p>
    <w:p w14:paraId="70D86FFC" w14:textId="77777777" w:rsidR="00A96CF7" w:rsidRPr="00147E8C" w:rsidRDefault="00A96CF7" w:rsidP="00A96CF7">
      <w:pPr>
        <w:spacing w:line="276" w:lineRule="auto"/>
        <w:rPr>
          <w:color w:val="000000" w:themeColor="text1"/>
        </w:rPr>
      </w:pPr>
      <w:r w:rsidRPr="00147E8C">
        <w:rPr>
          <w:color w:val="000000" w:themeColor="text1"/>
        </w:rPr>
        <w:t>Neumann, Pamela J (2013) ‘</w:t>
      </w:r>
      <w:r w:rsidRPr="00147E8C">
        <w:rPr>
          <w:bCs/>
          <w:iCs/>
          <w:color w:val="000000" w:themeColor="text1"/>
        </w:rPr>
        <w:t xml:space="preserve">The gendered burden of development in Nicaragua’, </w:t>
      </w:r>
      <w:r w:rsidRPr="00147E8C">
        <w:rPr>
          <w:bCs/>
          <w:i/>
          <w:iCs/>
          <w:color w:val="000000" w:themeColor="text1"/>
        </w:rPr>
        <w:t>G</w:t>
      </w:r>
      <w:r w:rsidRPr="00147E8C">
        <w:rPr>
          <w:i/>
          <w:color w:val="000000" w:themeColor="text1"/>
        </w:rPr>
        <w:t>ender &amp; Society</w:t>
      </w:r>
      <w:r w:rsidRPr="00147E8C">
        <w:rPr>
          <w:color w:val="000000" w:themeColor="text1"/>
        </w:rPr>
        <w:t xml:space="preserve">, 27 (6), pp.799-820. </w:t>
      </w:r>
    </w:p>
    <w:p w14:paraId="3A4CFBDA" w14:textId="77777777" w:rsidR="00A96CF7" w:rsidRPr="00D0315F" w:rsidRDefault="00A96CF7" w:rsidP="00A96CF7">
      <w:pPr>
        <w:pStyle w:val="NormalWeb"/>
        <w:spacing w:line="276" w:lineRule="auto"/>
        <w:rPr>
          <w:color w:val="000000" w:themeColor="text1"/>
        </w:rPr>
      </w:pPr>
      <w:r w:rsidRPr="00D0315F">
        <w:rPr>
          <w:color w:val="000000" w:themeColor="text1"/>
        </w:rPr>
        <w:lastRenderedPageBreak/>
        <w:t xml:space="preserve">New Encyclopedia [no date] </w:t>
      </w:r>
      <w:r w:rsidRPr="00D0315F">
        <w:rPr>
          <w:i/>
          <w:color w:val="000000" w:themeColor="text1"/>
        </w:rPr>
        <w:t>Sandinista National Liberation Front</w:t>
      </w:r>
      <w:r w:rsidRPr="00D0315F">
        <w:rPr>
          <w:color w:val="000000" w:themeColor="text1"/>
        </w:rPr>
        <w:t xml:space="preserve"> [Online]. Available from: </w:t>
      </w:r>
      <w:hyperlink r:id="rId61" w:history="1">
        <w:r w:rsidRPr="00D0315F">
          <w:rPr>
            <w:rStyle w:val="Hyperlink"/>
            <w:color w:val="000000" w:themeColor="text1"/>
            <w:u w:val="none"/>
          </w:rPr>
          <w:t>http://www.newworldencyclopedia.org/entry/Sandinista_National_Liberation_Front</w:t>
        </w:r>
      </w:hyperlink>
      <w:r w:rsidRPr="00D0315F">
        <w:rPr>
          <w:color w:val="000000" w:themeColor="text1"/>
        </w:rPr>
        <w:t xml:space="preserve"> [Accessed 2nd July 2017]. </w:t>
      </w:r>
    </w:p>
    <w:p w14:paraId="3666A3DA" w14:textId="77777777" w:rsidR="00A96CF7" w:rsidRPr="00D0315F" w:rsidRDefault="00A96CF7" w:rsidP="00A96CF7">
      <w:pPr>
        <w:pStyle w:val="p1"/>
        <w:spacing w:line="276" w:lineRule="auto"/>
        <w:rPr>
          <w:rFonts w:ascii="Times New Roman" w:hAnsi="Times New Roman" w:cs="Times New Roman"/>
          <w:color w:val="000000" w:themeColor="text1"/>
          <w:sz w:val="24"/>
          <w:szCs w:val="24"/>
        </w:rPr>
      </w:pPr>
      <w:r w:rsidRPr="00D0315F">
        <w:rPr>
          <w:rFonts w:ascii="Times New Roman" w:hAnsi="Times New Roman" w:cs="Times New Roman"/>
          <w:color w:val="000000" w:themeColor="text1"/>
          <w:sz w:val="24"/>
          <w:szCs w:val="24"/>
        </w:rPr>
        <w:t xml:space="preserve">Nicholls, A., and C. Opal (2005) </w:t>
      </w:r>
      <w:r w:rsidRPr="00D0315F">
        <w:rPr>
          <w:rFonts w:ascii="Times New Roman" w:hAnsi="Times New Roman" w:cs="Times New Roman"/>
          <w:i/>
          <w:color w:val="000000" w:themeColor="text1"/>
          <w:sz w:val="24"/>
          <w:szCs w:val="24"/>
        </w:rPr>
        <w:t>Fair Trade- market driven ethical consumption</w:t>
      </w:r>
      <w:r w:rsidRPr="00D0315F">
        <w:rPr>
          <w:rFonts w:ascii="Times New Roman" w:hAnsi="Times New Roman" w:cs="Times New Roman"/>
          <w:color w:val="000000" w:themeColor="text1"/>
          <w:sz w:val="24"/>
          <w:szCs w:val="24"/>
        </w:rPr>
        <w:t>. London, Sage.</w:t>
      </w:r>
    </w:p>
    <w:p w14:paraId="1AA8AAE1" w14:textId="77777777" w:rsidR="00A96CF7" w:rsidRPr="00D0315F" w:rsidRDefault="00A96CF7" w:rsidP="00A96CF7">
      <w:pPr>
        <w:pStyle w:val="p1"/>
        <w:spacing w:line="276" w:lineRule="auto"/>
        <w:rPr>
          <w:rFonts w:ascii="Times New Roman" w:hAnsi="Times New Roman" w:cs="Times New Roman"/>
          <w:color w:val="000000" w:themeColor="text1"/>
          <w:sz w:val="24"/>
          <w:szCs w:val="24"/>
        </w:rPr>
      </w:pPr>
    </w:p>
    <w:p w14:paraId="53B0348E" w14:textId="77777777" w:rsidR="00A96CF7" w:rsidRPr="00D0315F" w:rsidRDefault="00A96CF7" w:rsidP="00A96CF7">
      <w:pPr>
        <w:pStyle w:val="NormalWeb"/>
        <w:spacing w:beforeAutospacing="0" w:afterAutospacing="0" w:line="276" w:lineRule="auto"/>
        <w:rPr>
          <w:color w:val="000000" w:themeColor="text1"/>
          <w:lang w:val="es-NI"/>
        </w:rPr>
      </w:pPr>
      <w:r w:rsidRPr="00D0315F">
        <w:rPr>
          <w:color w:val="000000" w:themeColor="text1"/>
        </w:rPr>
        <w:t>Nitlapan-</w:t>
      </w:r>
      <w:r w:rsidRPr="00D0315F">
        <w:rPr>
          <w:color w:val="000000" w:themeColor="text1"/>
          <w:lang w:val="es-NI"/>
        </w:rPr>
        <w:t xml:space="preserve">Revista Envío (1987) </w:t>
      </w:r>
      <w:r w:rsidRPr="00D0315F">
        <w:rPr>
          <w:i/>
          <w:color w:val="000000" w:themeColor="text1"/>
          <w:lang w:val="es-NI"/>
        </w:rPr>
        <w:t>Movimiento cooperativo: los campesinos dan un nuevo giro</w:t>
      </w:r>
      <w:r w:rsidRPr="00D0315F">
        <w:rPr>
          <w:color w:val="000000" w:themeColor="text1"/>
          <w:lang w:val="es-NI"/>
        </w:rPr>
        <w:t xml:space="preserve"> [Online] Available from: </w:t>
      </w:r>
      <w:hyperlink r:id="rId62" w:history="1">
        <w:r w:rsidRPr="00D0315F">
          <w:rPr>
            <w:color w:val="000000" w:themeColor="text1"/>
            <w:lang w:val="es-NI"/>
          </w:rPr>
          <w:t>http://www.envio.org.ni/articulo/524</w:t>
        </w:r>
      </w:hyperlink>
      <w:r w:rsidRPr="00D0315F">
        <w:rPr>
          <w:color w:val="000000" w:themeColor="text1"/>
          <w:lang w:val="es-NI"/>
        </w:rPr>
        <w:t xml:space="preserve"> [Accessed: 12 April 2018].</w:t>
      </w:r>
    </w:p>
    <w:p w14:paraId="29DD1BFB" w14:textId="77777777" w:rsidR="00A96CF7" w:rsidRPr="00D0315F" w:rsidRDefault="00A96CF7" w:rsidP="00A96CF7">
      <w:pPr>
        <w:pStyle w:val="p1"/>
        <w:spacing w:line="276" w:lineRule="auto"/>
        <w:rPr>
          <w:rFonts w:ascii="Times New Roman" w:hAnsi="Times New Roman" w:cs="Times New Roman"/>
          <w:color w:val="000000" w:themeColor="text1"/>
          <w:sz w:val="24"/>
          <w:szCs w:val="24"/>
        </w:rPr>
      </w:pPr>
    </w:p>
    <w:p w14:paraId="22873158" w14:textId="77777777" w:rsidR="00A96CF7" w:rsidRPr="00D0315F" w:rsidRDefault="00A96CF7" w:rsidP="00A96CF7">
      <w:pPr>
        <w:spacing w:line="276" w:lineRule="auto"/>
        <w:rPr>
          <w:color w:val="000000" w:themeColor="text1"/>
          <w:lang w:val="en-US"/>
        </w:rPr>
      </w:pPr>
      <w:r w:rsidRPr="00D0315F">
        <w:rPr>
          <w:color w:val="000000" w:themeColor="text1"/>
        </w:rPr>
        <w:t xml:space="preserve">Nussbaum, M. (2000) </w:t>
      </w:r>
      <w:r w:rsidRPr="00D0315F">
        <w:rPr>
          <w:i/>
          <w:color w:val="000000" w:themeColor="text1"/>
        </w:rPr>
        <w:t>Women and human development: the capabilities approach</w:t>
      </w:r>
      <w:r w:rsidRPr="00D0315F">
        <w:rPr>
          <w:color w:val="000000" w:themeColor="text1"/>
        </w:rPr>
        <w:t xml:space="preserve">. </w:t>
      </w:r>
      <w:r w:rsidRPr="00D0315F">
        <w:rPr>
          <w:color w:val="000000" w:themeColor="text1"/>
          <w:lang w:val="en-US"/>
        </w:rPr>
        <w:t>New York: Cambridge Press.</w:t>
      </w:r>
    </w:p>
    <w:p w14:paraId="377CC98C" w14:textId="77777777" w:rsidR="00A96CF7" w:rsidRPr="00D0315F" w:rsidRDefault="00A96CF7" w:rsidP="00A96CF7">
      <w:pPr>
        <w:spacing w:line="276" w:lineRule="auto"/>
        <w:rPr>
          <w:color w:val="000000" w:themeColor="text1"/>
          <w:lang w:val="en-US"/>
        </w:rPr>
      </w:pPr>
    </w:p>
    <w:p w14:paraId="494CCBC3" w14:textId="77777777" w:rsidR="00A96CF7" w:rsidRPr="00D0315F" w:rsidRDefault="00A96CF7" w:rsidP="00A96CF7">
      <w:pPr>
        <w:spacing w:line="276" w:lineRule="auto"/>
        <w:rPr>
          <w:color w:val="000000" w:themeColor="text1"/>
        </w:rPr>
      </w:pPr>
      <w:r w:rsidRPr="00D0315F">
        <w:rPr>
          <w:color w:val="000000" w:themeColor="text1"/>
        </w:rPr>
        <w:t xml:space="preserve">Nussbaum, M. (2003) ‘Capabilities as fundamental entitlements: Sen and social justice’, </w:t>
      </w:r>
      <w:r w:rsidRPr="00D0315F">
        <w:rPr>
          <w:i/>
          <w:color w:val="000000" w:themeColor="text1"/>
        </w:rPr>
        <w:t>Feminist Economics</w:t>
      </w:r>
      <w:r w:rsidRPr="00D0315F">
        <w:rPr>
          <w:color w:val="000000" w:themeColor="text1"/>
        </w:rPr>
        <w:t>, 9 (2-3), pp. 33-59.</w:t>
      </w:r>
    </w:p>
    <w:p w14:paraId="2231D1C2" w14:textId="77777777" w:rsidR="00A96CF7" w:rsidRPr="00D0315F" w:rsidRDefault="00A96CF7" w:rsidP="00A96CF7">
      <w:pPr>
        <w:spacing w:line="276" w:lineRule="auto"/>
        <w:rPr>
          <w:color w:val="000000" w:themeColor="text1"/>
        </w:rPr>
      </w:pPr>
    </w:p>
    <w:p w14:paraId="6C48B1C0" w14:textId="77777777" w:rsidR="00A96CF7" w:rsidRPr="00D0315F" w:rsidRDefault="00A96CF7" w:rsidP="00A96CF7">
      <w:pPr>
        <w:spacing w:line="276" w:lineRule="auto"/>
        <w:rPr>
          <w:color w:val="000000" w:themeColor="text1"/>
        </w:rPr>
      </w:pPr>
      <w:r w:rsidRPr="00D0315F">
        <w:rPr>
          <w:color w:val="000000" w:themeColor="text1"/>
        </w:rPr>
        <w:t xml:space="preserve">Organization for Economic Cooperation and Development, OECD (2002) ‘Economically active population’, </w:t>
      </w:r>
      <w:r w:rsidRPr="00D0315F">
        <w:rPr>
          <w:i/>
          <w:color w:val="000000" w:themeColor="text1"/>
        </w:rPr>
        <w:t xml:space="preserve">Glossary of Statistical Terms </w:t>
      </w:r>
      <w:r w:rsidRPr="00D0315F">
        <w:rPr>
          <w:color w:val="000000" w:themeColor="text1"/>
        </w:rPr>
        <w:t>[Online].</w:t>
      </w:r>
      <w:r w:rsidRPr="00D0315F">
        <w:rPr>
          <w:i/>
          <w:color w:val="000000" w:themeColor="text1"/>
        </w:rPr>
        <w:t xml:space="preserve"> </w:t>
      </w:r>
      <w:r w:rsidRPr="00D0315F">
        <w:rPr>
          <w:color w:val="000000" w:themeColor="text1"/>
        </w:rPr>
        <w:t xml:space="preserve">Available from: </w:t>
      </w:r>
      <w:hyperlink r:id="rId63" w:history="1">
        <w:r w:rsidRPr="00D0315F">
          <w:rPr>
            <w:rStyle w:val="Hyperlink"/>
            <w:rFonts w:eastAsiaTheme="majorEastAsia"/>
            <w:color w:val="000000" w:themeColor="text1"/>
            <w:u w:val="none"/>
          </w:rPr>
          <w:t>http://stats.oecd.org/glossary/detail.asp?ID=730</w:t>
        </w:r>
      </w:hyperlink>
      <w:r w:rsidRPr="00D0315F">
        <w:rPr>
          <w:color w:val="000000" w:themeColor="text1"/>
        </w:rPr>
        <w:t xml:space="preserve"> [Accessed 5th April 2017]. </w:t>
      </w:r>
    </w:p>
    <w:p w14:paraId="3BD80E62" w14:textId="77777777" w:rsidR="00A96CF7" w:rsidRPr="00D0315F" w:rsidRDefault="00A96CF7" w:rsidP="00A96CF7">
      <w:pPr>
        <w:spacing w:line="276" w:lineRule="auto"/>
        <w:rPr>
          <w:color w:val="000000" w:themeColor="text1"/>
        </w:rPr>
      </w:pPr>
    </w:p>
    <w:p w14:paraId="6AAC9459" w14:textId="77777777" w:rsidR="00A96CF7" w:rsidRPr="00147E8C" w:rsidRDefault="00A96CF7" w:rsidP="00A96CF7">
      <w:pPr>
        <w:spacing w:line="276" w:lineRule="auto"/>
        <w:rPr>
          <w:color w:val="000000" w:themeColor="text1"/>
          <w:lang w:val="en-US"/>
        </w:rPr>
      </w:pPr>
      <w:r w:rsidRPr="00147E8C">
        <w:rPr>
          <w:color w:val="000000" w:themeColor="text1"/>
        </w:rPr>
        <w:t xml:space="preserve">Paluck, E.L., Ball, E., Poynton, C. and Siedloff, S. (2010) </w:t>
      </w:r>
      <w:r w:rsidRPr="00147E8C">
        <w:rPr>
          <w:i/>
          <w:color w:val="000000" w:themeColor="text1"/>
        </w:rPr>
        <w:t>Social norms marketing aimed at gender based violence: a literature review and critical assessment</w:t>
      </w:r>
      <w:r w:rsidRPr="00147E8C">
        <w:rPr>
          <w:color w:val="000000" w:themeColor="text1"/>
        </w:rPr>
        <w:t xml:space="preserve">. </w:t>
      </w:r>
      <w:r w:rsidRPr="00147E8C">
        <w:rPr>
          <w:color w:val="000000" w:themeColor="text1"/>
          <w:lang w:val="en-US"/>
        </w:rPr>
        <w:t>New York: International Rescue Committee.</w:t>
      </w:r>
    </w:p>
    <w:p w14:paraId="79C416DC" w14:textId="77777777" w:rsidR="00A96CF7" w:rsidRPr="00147E8C" w:rsidRDefault="00A96CF7" w:rsidP="00A96CF7">
      <w:pPr>
        <w:spacing w:line="276" w:lineRule="auto"/>
        <w:rPr>
          <w:color w:val="000000" w:themeColor="text1"/>
        </w:rPr>
      </w:pPr>
    </w:p>
    <w:p w14:paraId="72ADF1C7" w14:textId="77777777" w:rsidR="00A96CF7" w:rsidRPr="00147E8C" w:rsidRDefault="00A96CF7" w:rsidP="00A96CF7">
      <w:pPr>
        <w:spacing w:line="276" w:lineRule="auto"/>
        <w:rPr>
          <w:color w:val="000000" w:themeColor="text1"/>
          <w:lang w:val="en-US"/>
        </w:rPr>
      </w:pPr>
      <w:r w:rsidRPr="00147E8C">
        <w:rPr>
          <w:color w:val="000000" w:themeColor="text1"/>
        </w:rPr>
        <w:t xml:space="preserve">Parpart, J. L. (2002) ‘Gender and empowerment: new thoughts, new approaches.’ in Desai, V. and Potter, R.B (eds.) </w:t>
      </w:r>
      <w:r w:rsidRPr="00147E8C">
        <w:rPr>
          <w:i/>
          <w:iCs/>
          <w:color w:val="000000" w:themeColor="text1"/>
        </w:rPr>
        <w:t>The companion to development studies</w:t>
      </w:r>
      <w:r w:rsidRPr="00147E8C">
        <w:rPr>
          <w:color w:val="000000" w:themeColor="text1"/>
        </w:rPr>
        <w:t xml:space="preserve">. </w:t>
      </w:r>
      <w:r w:rsidRPr="00147E8C">
        <w:rPr>
          <w:color w:val="000000" w:themeColor="text1"/>
          <w:lang w:val="en-US"/>
        </w:rPr>
        <w:t>New York: Oxford University Press.</w:t>
      </w:r>
      <w:r w:rsidRPr="00147E8C">
        <w:rPr>
          <w:color w:val="000000" w:themeColor="text1"/>
        </w:rPr>
        <w:t xml:space="preserve"> pp. 338–341</w:t>
      </w:r>
    </w:p>
    <w:p w14:paraId="162142E0" w14:textId="77777777" w:rsidR="00A96CF7" w:rsidRPr="00147E8C" w:rsidRDefault="00A96CF7" w:rsidP="00A96CF7">
      <w:pPr>
        <w:spacing w:line="276" w:lineRule="auto"/>
        <w:rPr>
          <w:color w:val="000000" w:themeColor="text1"/>
          <w:lang w:val="en-US"/>
        </w:rPr>
      </w:pPr>
    </w:p>
    <w:p w14:paraId="150F4E4A"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Parpart, J. L., Rai, S. M., and Staudt, K. (2002) </w:t>
      </w:r>
      <w:r w:rsidRPr="00147E8C">
        <w:rPr>
          <w:i/>
          <w:iCs/>
          <w:color w:val="000000" w:themeColor="text1"/>
          <w:lang w:val="en-US"/>
        </w:rPr>
        <w:t>Rethinking empowerment, gender and development in a global/local world</w:t>
      </w:r>
      <w:r w:rsidRPr="00147E8C">
        <w:rPr>
          <w:color w:val="000000" w:themeColor="text1"/>
          <w:lang w:val="en-US"/>
        </w:rPr>
        <w:t>. London: Routledge.</w:t>
      </w:r>
    </w:p>
    <w:p w14:paraId="073B283B" w14:textId="77777777" w:rsidR="00A96CF7" w:rsidRPr="00147E8C" w:rsidRDefault="00A96CF7" w:rsidP="00A96CF7">
      <w:pPr>
        <w:spacing w:line="276" w:lineRule="auto"/>
        <w:rPr>
          <w:color w:val="000000" w:themeColor="text1"/>
        </w:rPr>
      </w:pPr>
    </w:p>
    <w:p w14:paraId="03830D85" w14:textId="77777777" w:rsidR="00A96CF7" w:rsidRPr="00147E8C" w:rsidRDefault="00A96CF7" w:rsidP="00A96CF7">
      <w:pPr>
        <w:spacing w:line="276" w:lineRule="auto"/>
        <w:rPr>
          <w:color w:val="000000" w:themeColor="text1"/>
        </w:rPr>
      </w:pPr>
      <w:r w:rsidRPr="00147E8C">
        <w:rPr>
          <w:color w:val="000000" w:themeColor="text1"/>
        </w:rPr>
        <w:t xml:space="preserve">Parry, M.L., Canziani, O.F, Palutikof, J.P, van der Linden, P.J. and Hanson, C.E. (eds.) (2007) </w:t>
      </w:r>
      <w:r w:rsidRPr="00147E8C">
        <w:rPr>
          <w:i/>
          <w:iCs/>
          <w:color w:val="000000" w:themeColor="text1"/>
        </w:rPr>
        <w:t xml:space="preserve">Climate change 2007: impacts, adaptation and vulnerability. Contribution of Working Group II to the Fourth Assessment Report of the Intergovernmental Panel on Climate Change. </w:t>
      </w:r>
      <w:r w:rsidRPr="00147E8C">
        <w:rPr>
          <w:iCs/>
          <w:color w:val="000000" w:themeColor="text1"/>
        </w:rPr>
        <w:t xml:space="preserve">Cambridge: </w:t>
      </w:r>
      <w:r w:rsidRPr="00147E8C">
        <w:rPr>
          <w:color w:val="000000" w:themeColor="text1"/>
        </w:rPr>
        <w:t xml:space="preserve">Cambridge University Press, Cambridge, 976pp. </w:t>
      </w:r>
    </w:p>
    <w:p w14:paraId="55AA4FA0" w14:textId="77777777" w:rsidR="00A96CF7" w:rsidRPr="00147E8C" w:rsidRDefault="00A96CF7" w:rsidP="00A96CF7">
      <w:pPr>
        <w:spacing w:line="276" w:lineRule="auto"/>
        <w:rPr>
          <w:color w:val="000000" w:themeColor="text1"/>
        </w:rPr>
      </w:pPr>
    </w:p>
    <w:p w14:paraId="01BDA2B1" w14:textId="77777777" w:rsidR="00A96CF7" w:rsidRPr="00147E8C" w:rsidRDefault="00A96CF7" w:rsidP="00A96CF7">
      <w:pPr>
        <w:spacing w:line="276" w:lineRule="auto"/>
        <w:rPr>
          <w:color w:val="000000" w:themeColor="text1"/>
        </w:rPr>
      </w:pPr>
      <w:r w:rsidRPr="00147E8C">
        <w:rPr>
          <w:color w:val="000000" w:themeColor="text1"/>
        </w:rPr>
        <w:t xml:space="preserve">Pathways of Women´s Empowerment. (2011). </w:t>
      </w:r>
      <w:r w:rsidRPr="00147E8C">
        <w:rPr>
          <w:i/>
          <w:iCs/>
          <w:color w:val="000000" w:themeColor="text1"/>
        </w:rPr>
        <w:t>Empowerment: a journey not a destination</w:t>
      </w:r>
      <w:r w:rsidRPr="00147E8C">
        <w:rPr>
          <w:color w:val="000000" w:themeColor="text1"/>
        </w:rPr>
        <w:t xml:space="preserve">. [Online]. Brighton: Pathways of Women’s Empowerment, Institute of Development Studies (IDS). Available from: </w:t>
      </w:r>
      <w:r w:rsidRPr="00147E8C">
        <w:rPr>
          <w:color w:val="000000" w:themeColor="text1"/>
        </w:rPr>
        <w:lastRenderedPageBreak/>
        <w:t>https://www.ids.ac.uk/files/dmfile/SynthesisReport12DecR.pdf [Accessed 2nd August 2017].</w:t>
      </w:r>
    </w:p>
    <w:p w14:paraId="6317138D" w14:textId="77777777" w:rsidR="00A96CF7" w:rsidRPr="00147E8C" w:rsidRDefault="00A96CF7" w:rsidP="00A96CF7">
      <w:pPr>
        <w:spacing w:line="276" w:lineRule="auto"/>
        <w:rPr>
          <w:color w:val="000000" w:themeColor="text1"/>
        </w:rPr>
      </w:pPr>
    </w:p>
    <w:p w14:paraId="0755EB5C" w14:textId="77777777" w:rsidR="00A96CF7" w:rsidRPr="00147E8C" w:rsidRDefault="00A96CF7" w:rsidP="00A96CF7">
      <w:pPr>
        <w:spacing w:line="276" w:lineRule="auto"/>
        <w:rPr>
          <w:color w:val="000000" w:themeColor="text1"/>
          <w:lang w:val="en-US"/>
        </w:rPr>
      </w:pPr>
      <w:r w:rsidRPr="00147E8C">
        <w:rPr>
          <w:color w:val="000000" w:themeColor="text1"/>
        </w:rPr>
        <w:t xml:space="preserve">Patton, M, Q., (2001) </w:t>
      </w:r>
      <w:r w:rsidRPr="00147E8C">
        <w:rPr>
          <w:i/>
          <w:iCs/>
          <w:color w:val="000000" w:themeColor="text1"/>
        </w:rPr>
        <w:t xml:space="preserve">Qualitative research and evaluation methods, </w:t>
      </w:r>
      <w:r w:rsidRPr="00147E8C">
        <w:rPr>
          <w:color w:val="000000" w:themeColor="text1"/>
        </w:rPr>
        <w:t>3</w:t>
      </w:r>
      <w:r w:rsidRPr="00147E8C">
        <w:rPr>
          <w:color w:val="000000" w:themeColor="text1"/>
          <w:vertAlign w:val="superscript"/>
        </w:rPr>
        <w:t>rd</w:t>
      </w:r>
      <w:r w:rsidRPr="00147E8C">
        <w:rPr>
          <w:color w:val="000000" w:themeColor="text1"/>
        </w:rPr>
        <w:t xml:space="preserve"> (edn). </w:t>
      </w:r>
      <w:r w:rsidRPr="00147E8C">
        <w:rPr>
          <w:color w:val="000000" w:themeColor="text1"/>
          <w:lang w:val="en-US"/>
        </w:rPr>
        <w:t>Thousand Oaks: Sage.</w:t>
      </w:r>
    </w:p>
    <w:p w14:paraId="0632D874"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Paulson, S. (2016) </w:t>
      </w:r>
      <w:r w:rsidRPr="00147E8C">
        <w:rPr>
          <w:i/>
          <w:color w:val="000000" w:themeColor="text1"/>
        </w:rPr>
        <w:t>Masculinities and femininities, Latin America’s uneven development</w:t>
      </w:r>
      <w:r w:rsidRPr="00147E8C">
        <w:rPr>
          <w:color w:val="000000" w:themeColor="text1"/>
        </w:rPr>
        <w:t>. New York: Routledge.</w:t>
      </w:r>
    </w:p>
    <w:p w14:paraId="67A69E2C" w14:textId="77777777" w:rsidR="00A96CF7" w:rsidRPr="00147E8C" w:rsidRDefault="00A96CF7" w:rsidP="00A96CF7">
      <w:pPr>
        <w:spacing w:line="276" w:lineRule="auto"/>
        <w:rPr>
          <w:color w:val="000000" w:themeColor="text1"/>
          <w:lang w:val="en-US"/>
        </w:rPr>
      </w:pPr>
      <w:r w:rsidRPr="00147E8C">
        <w:rPr>
          <w:color w:val="000000" w:themeColor="text1"/>
        </w:rPr>
        <w:t xml:space="preserve">Pearse, R. and Connell, R. (2016) ‘Gender Norms and the Economy: Insights from Social research’, </w:t>
      </w:r>
      <w:r w:rsidRPr="00147E8C">
        <w:rPr>
          <w:i/>
          <w:iCs/>
          <w:color w:val="000000" w:themeColor="text1"/>
          <w:lang w:val="en-US"/>
        </w:rPr>
        <w:t>Feminist Economics</w:t>
      </w:r>
      <w:r w:rsidRPr="00147E8C">
        <w:rPr>
          <w:color w:val="000000" w:themeColor="text1"/>
          <w:lang w:val="en-US"/>
        </w:rPr>
        <w:t>, 22 (1), pp.30-53.</w:t>
      </w:r>
    </w:p>
    <w:p w14:paraId="7E0EFB7C" w14:textId="77777777" w:rsidR="00A96CF7" w:rsidRPr="00147E8C" w:rsidRDefault="00A96CF7" w:rsidP="00A96CF7">
      <w:pPr>
        <w:spacing w:line="276" w:lineRule="auto"/>
        <w:rPr>
          <w:color w:val="000000" w:themeColor="text1"/>
        </w:rPr>
      </w:pPr>
    </w:p>
    <w:p w14:paraId="1FD2CDC4" w14:textId="77777777" w:rsidR="00A96CF7" w:rsidRPr="00147E8C" w:rsidRDefault="00A96CF7" w:rsidP="00A96CF7">
      <w:pPr>
        <w:spacing w:line="276" w:lineRule="auto"/>
        <w:rPr>
          <w:color w:val="000000" w:themeColor="text1"/>
          <w:lang w:val="es-NI"/>
        </w:rPr>
      </w:pPr>
      <w:r w:rsidRPr="00147E8C">
        <w:rPr>
          <w:color w:val="000000" w:themeColor="text1"/>
        </w:rPr>
        <w:t>Pérez Orozco, A. (2003) ‘</w:t>
      </w:r>
      <w:r w:rsidRPr="00147E8C">
        <w:rPr>
          <w:iCs/>
          <w:color w:val="000000" w:themeColor="text1"/>
        </w:rPr>
        <w:t>From markets to the sustainability of life’</w:t>
      </w:r>
      <w:r w:rsidRPr="00147E8C">
        <w:rPr>
          <w:color w:val="000000" w:themeColor="text1"/>
        </w:rPr>
        <w:t xml:space="preserve">, </w:t>
      </w:r>
      <w:r w:rsidRPr="00147E8C">
        <w:rPr>
          <w:i/>
          <w:color w:val="000000" w:themeColor="text1"/>
        </w:rPr>
        <w:t>Gender and Power in the New Europe: the 5th European Feminist Research Conference</w:t>
      </w:r>
      <w:r w:rsidRPr="00147E8C">
        <w:rPr>
          <w:color w:val="000000" w:themeColor="text1"/>
        </w:rPr>
        <w:t xml:space="preserve">. </w:t>
      </w:r>
      <w:r w:rsidRPr="00147E8C">
        <w:rPr>
          <w:color w:val="000000" w:themeColor="text1"/>
          <w:lang w:val="es-NI"/>
        </w:rPr>
        <w:t xml:space="preserve">Sweden, August 20-24. Sweden: Lund University. </w:t>
      </w:r>
    </w:p>
    <w:p w14:paraId="752CACA5" w14:textId="77777777" w:rsidR="00A96CF7" w:rsidRPr="00147E8C" w:rsidRDefault="00A96CF7" w:rsidP="00A96CF7">
      <w:pPr>
        <w:spacing w:line="276" w:lineRule="auto"/>
        <w:rPr>
          <w:color w:val="000000" w:themeColor="text1"/>
          <w:lang w:val="es-NI"/>
        </w:rPr>
      </w:pPr>
    </w:p>
    <w:p w14:paraId="4DE82AFB" w14:textId="77777777" w:rsidR="00A96CF7" w:rsidRPr="00147E8C" w:rsidRDefault="00A96CF7" w:rsidP="00A96CF7">
      <w:pPr>
        <w:spacing w:line="276" w:lineRule="auto"/>
        <w:rPr>
          <w:color w:val="000000" w:themeColor="text1"/>
          <w:lang w:val="es-NI"/>
        </w:rPr>
      </w:pPr>
      <w:r w:rsidRPr="00147E8C">
        <w:rPr>
          <w:color w:val="000000" w:themeColor="text1"/>
          <w:lang w:val="es-NI"/>
        </w:rPr>
        <w:t xml:space="preserve">Pérez Orozco, A. (2014a) ‘Del trabajo doméstico al trabajo de cuidados’,  in Carrasco, C. (ed.), </w:t>
      </w:r>
      <w:r w:rsidRPr="00147E8C">
        <w:rPr>
          <w:i/>
          <w:iCs/>
          <w:color w:val="000000" w:themeColor="text1"/>
          <w:lang w:val="es-NI"/>
        </w:rPr>
        <w:t xml:space="preserve">Con voz propia: la economía feminista como apuesta teórica y política. </w:t>
      </w:r>
      <w:r w:rsidRPr="00147E8C">
        <w:rPr>
          <w:color w:val="000000" w:themeColor="text1"/>
          <w:lang w:val="es-NI"/>
        </w:rPr>
        <w:t>Torrejón de Ardoz: La Oveja Roja-Viento Sur, pp. 25-48.</w:t>
      </w:r>
    </w:p>
    <w:p w14:paraId="5EC5AE88" w14:textId="77777777" w:rsidR="00A96CF7" w:rsidRPr="00147E8C" w:rsidRDefault="00A96CF7" w:rsidP="00A96CF7">
      <w:pPr>
        <w:spacing w:line="276" w:lineRule="auto"/>
        <w:rPr>
          <w:color w:val="000000" w:themeColor="text1"/>
          <w:lang w:val="es-NI"/>
        </w:rPr>
      </w:pPr>
    </w:p>
    <w:p w14:paraId="60C57EF5" w14:textId="77777777" w:rsidR="00A96CF7" w:rsidRPr="00147E8C" w:rsidRDefault="00A96CF7" w:rsidP="00A96CF7">
      <w:pPr>
        <w:spacing w:line="276" w:lineRule="auto"/>
        <w:rPr>
          <w:color w:val="000000" w:themeColor="text1"/>
          <w:lang w:val="en-US"/>
        </w:rPr>
      </w:pPr>
      <w:r w:rsidRPr="00147E8C">
        <w:rPr>
          <w:color w:val="000000" w:themeColor="text1"/>
          <w:lang w:val="es-NI"/>
        </w:rPr>
        <w:t xml:space="preserve">Pérez Orozco, A. (2014b) </w:t>
      </w:r>
      <w:r w:rsidRPr="00147E8C">
        <w:rPr>
          <w:i/>
          <w:color w:val="000000" w:themeColor="text1"/>
          <w:lang w:val="es-NI"/>
        </w:rPr>
        <w:t>Subversión feminista de la economía: aportes para un debate sobre el conflicto capital-vida</w:t>
      </w:r>
      <w:r w:rsidRPr="00147E8C">
        <w:rPr>
          <w:color w:val="000000" w:themeColor="text1"/>
          <w:lang w:val="es-NI"/>
        </w:rPr>
        <w:t xml:space="preserve">. </w:t>
      </w:r>
      <w:r w:rsidRPr="00147E8C">
        <w:rPr>
          <w:color w:val="000000" w:themeColor="text1"/>
          <w:lang w:val="en-US"/>
        </w:rPr>
        <w:t>Madrid: Traficantes de Sueños.</w:t>
      </w:r>
    </w:p>
    <w:p w14:paraId="13A457E5" w14:textId="77777777" w:rsidR="00A96CF7" w:rsidRPr="00147E8C" w:rsidRDefault="00A96CF7" w:rsidP="00A96CF7">
      <w:pPr>
        <w:spacing w:line="276" w:lineRule="auto"/>
        <w:rPr>
          <w:color w:val="000000" w:themeColor="text1"/>
          <w:lang w:val="en-US"/>
        </w:rPr>
      </w:pPr>
    </w:p>
    <w:p w14:paraId="22CCAC55"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Picchio, A. (1992) </w:t>
      </w:r>
      <w:r w:rsidRPr="00147E8C">
        <w:rPr>
          <w:i/>
          <w:iCs/>
          <w:color w:val="000000" w:themeColor="text1"/>
          <w:lang w:val="en-US"/>
        </w:rPr>
        <w:t>Social reproduction: the political economy of the labour market.</w:t>
      </w:r>
      <w:r w:rsidRPr="00147E8C">
        <w:rPr>
          <w:color w:val="000000" w:themeColor="text1"/>
          <w:lang w:val="en-US"/>
        </w:rPr>
        <w:t xml:space="preserve"> London: Zed Books.</w:t>
      </w:r>
    </w:p>
    <w:p w14:paraId="20FBFEF0" w14:textId="77777777" w:rsidR="00A96CF7" w:rsidRPr="00147E8C" w:rsidRDefault="00A96CF7" w:rsidP="00A96CF7">
      <w:pPr>
        <w:spacing w:line="276" w:lineRule="auto"/>
        <w:rPr>
          <w:color w:val="000000" w:themeColor="text1"/>
          <w:lang w:val="en-US"/>
        </w:rPr>
      </w:pPr>
    </w:p>
    <w:p w14:paraId="7E7010A7" w14:textId="77777777" w:rsidR="00A96CF7" w:rsidRPr="00147E8C" w:rsidRDefault="00A96CF7" w:rsidP="00A96CF7">
      <w:pPr>
        <w:spacing w:line="276" w:lineRule="auto"/>
        <w:rPr>
          <w:color w:val="000000" w:themeColor="text1"/>
        </w:rPr>
      </w:pPr>
      <w:r w:rsidRPr="00147E8C">
        <w:rPr>
          <w:color w:val="000000" w:themeColor="text1"/>
        </w:rPr>
        <w:t xml:space="preserve">Pineda, J. (2000) ‘Partners in women-headed households; emerging masculinities?’, </w:t>
      </w:r>
      <w:r w:rsidRPr="00147E8C">
        <w:rPr>
          <w:i/>
          <w:iCs/>
          <w:color w:val="000000" w:themeColor="text1"/>
        </w:rPr>
        <w:t>European Journal of Development Research</w:t>
      </w:r>
      <w:r w:rsidRPr="00147E8C">
        <w:rPr>
          <w:color w:val="000000" w:themeColor="text1"/>
        </w:rPr>
        <w:t>, 12 (2), pp. 72-92.</w:t>
      </w:r>
    </w:p>
    <w:p w14:paraId="2C3BE436" w14:textId="77777777" w:rsidR="00A96CF7" w:rsidRPr="00147E8C" w:rsidRDefault="00A96CF7" w:rsidP="00A96CF7">
      <w:pPr>
        <w:spacing w:line="276" w:lineRule="auto"/>
        <w:rPr>
          <w:color w:val="000000" w:themeColor="text1"/>
        </w:rPr>
      </w:pPr>
    </w:p>
    <w:p w14:paraId="10AEA3BE" w14:textId="77777777" w:rsidR="00A96CF7" w:rsidRPr="00147E8C" w:rsidRDefault="00A96CF7" w:rsidP="00A96CF7">
      <w:pPr>
        <w:spacing w:line="276" w:lineRule="auto"/>
        <w:rPr>
          <w:rFonts w:eastAsiaTheme="minorHAnsi"/>
          <w:color w:val="000000" w:themeColor="text1"/>
          <w:lang w:val="en-US"/>
        </w:rPr>
      </w:pPr>
      <w:r w:rsidRPr="00147E8C">
        <w:rPr>
          <w:rFonts w:eastAsiaTheme="minorHAnsi"/>
          <w:color w:val="000000" w:themeColor="text1"/>
          <w:lang w:val="en-US"/>
        </w:rPr>
        <w:t>Podems, D. (2007). ‘Feminist Evaluation and Gender Approaches:</w:t>
      </w:r>
    </w:p>
    <w:p w14:paraId="16CC6560" w14:textId="77777777" w:rsidR="00A96CF7" w:rsidRPr="00147E8C" w:rsidRDefault="00A96CF7" w:rsidP="00A96CF7">
      <w:pPr>
        <w:spacing w:line="276" w:lineRule="auto"/>
        <w:rPr>
          <w:rFonts w:eastAsiaTheme="minorHAnsi"/>
          <w:color w:val="000000" w:themeColor="text1"/>
          <w:lang w:val="en-US"/>
        </w:rPr>
      </w:pPr>
      <w:r w:rsidRPr="00147E8C">
        <w:rPr>
          <w:rFonts w:eastAsiaTheme="minorHAnsi"/>
          <w:color w:val="000000" w:themeColor="text1"/>
          <w:lang w:val="en-US"/>
        </w:rPr>
        <w:t xml:space="preserve">There’s a Difference?’ </w:t>
      </w:r>
      <w:r w:rsidRPr="00147E8C">
        <w:rPr>
          <w:rFonts w:eastAsiaTheme="minorHAnsi"/>
          <w:i/>
          <w:color w:val="000000" w:themeColor="text1"/>
          <w:lang w:val="en-US"/>
        </w:rPr>
        <w:t>Journal of MultiDisciplinary Evaluation</w:t>
      </w:r>
      <w:r w:rsidRPr="00147E8C">
        <w:rPr>
          <w:rFonts w:eastAsiaTheme="minorHAnsi"/>
          <w:color w:val="000000" w:themeColor="text1"/>
          <w:lang w:val="en-US"/>
        </w:rPr>
        <w:t>, Volume 6, Number 14. pp.1-17.</w:t>
      </w:r>
    </w:p>
    <w:p w14:paraId="3A59D3F0" w14:textId="77777777" w:rsidR="00A96CF7" w:rsidRPr="00147E8C" w:rsidRDefault="00A96CF7" w:rsidP="00A96CF7">
      <w:pPr>
        <w:spacing w:line="276" w:lineRule="auto"/>
        <w:rPr>
          <w:color w:val="000000" w:themeColor="text1"/>
        </w:rPr>
      </w:pPr>
    </w:p>
    <w:p w14:paraId="232483A4" w14:textId="77777777" w:rsidR="00A96CF7" w:rsidRPr="00147E8C" w:rsidRDefault="00A96CF7" w:rsidP="00A96CF7">
      <w:pPr>
        <w:spacing w:line="276" w:lineRule="auto"/>
        <w:rPr>
          <w:color w:val="000000" w:themeColor="text1"/>
          <w:lang w:val="en-US"/>
        </w:rPr>
      </w:pPr>
      <w:r w:rsidRPr="00147E8C">
        <w:rPr>
          <w:color w:val="000000" w:themeColor="text1"/>
        </w:rPr>
        <w:t xml:space="preserve">Portocarrero, A. (2013) ‘Service is not servitude: links between capitalism and feminist liberal conceptions of pleasure. Case studies from Nicaragua’, </w:t>
      </w:r>
      <w:r w:rsidRPr="00147E8C">
        <w:rPr>
          <w:i/>
          <w:iCs/>
          <w:color w:val="000000" w:themeColor="text1"/>
        </w:rPr>
        <w:t>International Journal of Politics, Culture, and Society</w:t>
      </w:r>
      <w:r w:rsidRPr="00147E8C">
        <w:rPr>
          <w:color w:val="000000" w:themeColor="text1"/>
          <w:lang w:val="en-US"/>
        </w:rPr>
        <w:t xml:space="preserve"> (27), pp. 221-239. </w:t>
      </w:r>
    </w:p>
    <w:p w14:paraId="4ADB022B" w14:textId="77777777" w:rsidR="00A96CF7" w:rsidRPr="00147E8C" w:rsidRDefault="00A96CF7" w:rsidP="00A96CF7">
      <w:pPr>
        <w:spacing w:line="276" w:lineRule="auto"/>
        <w:rPr>
          <w:color w:val="000000" w:themeColor="text1"/>
          <w:lang w:val="en-US"/>
        </w:rPr>
      </w:pPr>
    </w:p>
    <w:p w14:paraId="4EEF126C" w14:textId="77777777" w:rsidR="00A96CF7" w:rsidRPr="00147E8C" w:rsidRDefault="00A96CF7" w:rsidP="00A96CF7">
      <w:pPr>
        <w:shd w:val="clear" w:color="auto" w:fill="FFFFFF"/>
        <w:spacing w:line="276" w:lineRule="auto"/>
        <w:rPr>
          <w:color w:val="000000" w:themeColor="text1"/>
          <w:lang w:val="en-US" w:eastAsia="es-NI"/>
        </w:rPr>
      </w:pPr>
      <w:r w:rsidRPr="00147E8C">
        <w:rPr>
          <w:color w:val="000000" w:themeColor="text1"/>
          <w:lang w:val="en-US" w:eastAsia="es-NI"/>
        </w:rPr>
        <w:t>Prosser, J., and Loxley, A. (2008) </w:t>
      </w:r>
      <w:r w:rsidRPr="00147E8C">
        <w:rPr>
          <w:i/>
          <w:iCs/>
          <w:color w:val="000000" w:themeColor="text1"/>
          <w:lang w:val="en-US" w:eastAsia="es-NI"/>
        </w:rPr>
        <w:t>Introducing Visual Methods.</w:t>
      </w:r>
      <w:r w:rsidRPr="00147E8C">
        <w:rPr>
          <w:color w:val="000000" w:themeColor="text1"/>
          <w:lang w:val="en-US" w:eastAsia="es-NI"/>
        </w:rPr>
        <w:t>  NCRM Review Papers. Unpublished.</w:t>
      </w:r>
    </w:p>
    <w:p w14:paraId="44A29B2A" w14:textId="77777777" w:rsidR="00A96CF7" w:rsidRPr="00147E8C" w:rsidRDefault="00A96CF7" w:rsidP="00A96CF7">
      <w:pPr>
        <w:shd w:val="clear" w:color="auto" w:fill="FFFFFF"/>
        <w:spacing w:line="276" w:lineRule="auto"/>
        <w:rPr>
          <w:color w:val="000000" w:themeColor="text1"/>
          <w:lang w:val="en-US" w:eastAsia="es-NI"/>
        </w:rPr>
      </w:pPr>
    </w:p>
    <w:p w14:paraId="2D27839C" w14:textId="77777777" w:rsidR="00A96CF7" w:rsidRPr="00147E8C" w:rsidRDefault="00A96CF7" w:rsidP="00A96CF7">
      <w:pPr>
        <w:shd w:val="clear" w:color="auto" w:fill="FFFFFF"/>
        <w:spacing w:line="276" w:lineRule="auto"/>
        <w:rPr>
          <w:color w:val="000000" w:themeColor="text1"/>
          <w:lang w:val="en-US" w:eastAsia="es-NI"/>
        </w:rPr>
      </w:pPr>
      <w:r w:rsidRPr="00147E8C">
        <w:rPr>
          <w:color w:val="000000" w:themeColor="text1"/>
          <w:lang w:val="en-US" w:eastAsia="es-NI"/>
        </w:rPr>
        <w:t xml:space="preserve">Putnam (2015) </w:t>
      </w:r>
      <w:r w:rsidRPr="00147E8C">
        <w:rPr>
          <w:i/>
          <w:color w:val="000000" w:themeColor="text1"/>
          <w:lang w:val="en-US" w:eastAsia="es-NI"/>
        </w:rPr>
        <w:t>Women, Cooperatives, Risk, and Power: A Case Study of Gendered Livelihoods in San Ramon, Nicaragua</w:t>
      </w:r>
      <w:r w:rsidRPr="00147E8C">
        <w:rPr>
          <w:color w:val="000000" w:themeColor="text1"/>
          <w:lang w:val="en-US" w:eastAsia="es-NI"/>
        </w:rPr>
        <w:t>. p.9. Unpublished raw data.</w:t>
      </w:r>
    </w:p>
    <w:p w14:paraId="5FF0B9FB" w14:textId="77777777" w:rsidR="00A96CF7" w:rsidRPr="00147E8C" w:rsidRDefault="00A96CF7" w:rsidP="00A96CF7">
      <w:pPr>
        <w:shd w:val="clear" w:color="auto" w:fill="FFFFFF"/>
        <w:spacing w:line="276" w:lineRule="auto"/>
        <w:rPr>
          <w:color w:val="000000" w:themeColor="text1"/>
          <w:lang w:val="en-US" w:eastAsia="es-NI"/>
        </w:rPr>
      </w:pPr>
    </w:p>
    <w:p w14:paraId="311BC8DF" w14:textId="77777777" w:rsidR="00A96CF7" w:rsidRPr="00147E8C" w:rsidRDefault="00A96CF7" w:rsidP="00A96CF7">
      <w:pPr>
        <w:shd w:val="clear" w:color="auto" w:fill="FFFFFF"/>
        <w:spacing w:line="276" w:lineRule="auto"/>
        <w:rPr>
          <w:rStyle w:val="Hyperlink"/>
          <w:rFonts w:eastAsiaTheme="majorEastAsia"/>
          <w:color w:val="000000" w:themeColor="text1"/>
          <w:lang w:eastAsia="es-NI"/>
        </w:rPr>
      </w:pPr>
      <w:r w:rsidRPr="00147E8C">
        <w:rPr>
          <w:color w:val="000000" w:themeColor="text1"/>
          <w:lang w:eastAsia="es-NI"/>
        </w:rPr>
        <w:lastRenderedPageBreak/>
        <w:t>Quisumbing, Agnes R., ed. 2003. Household decisions, gender, and development: a synthesis of recent research. Washington, D.C.: International Food Policy Research Institute (IFPR</w:t>
      </w:r>
      <w:r w:rsidRPr="00D0315F">
        <w:rPr>
          <w:color w:val="000000" w:themeColor="text1"/>
          <w:lang w:eastAsia="es-NI"/>
        </w:rPr>
        <w:t>I). </w:t>
      </w:r>
      <w:hyperlink r:id="rId64" w:tgtFrame="_blank" w:history="1">
        <w:r w:rsidRPr="00D0315F">
          <w:rPr>
            <w:rStyle w:val="Hyperlink"/>
            <w:rFonts w:eastAsiaTheme="majorEastAsia"/>
            <w:color w:val="000000" w:themeColor="text1"/>
            <w:u w:val="none"/>
            <w:lang w:eastAsia="es-NI"/>
          </w:rPr>
          <w:t>http://ebrary.ifpri.org/cdm/ref/collection/p15738coll2/id/129647</w:t>
        </w:r>
      </w:hyperlink>
    </w:p>
    <w:p w14:paraId="11F5E210" w14:textId="77777777" w:rsidR="00A96CF7" w:rsidRPr="00147E8C" w:rsidRDefault="00A96CF7" w:rsidP="00A96CF7">
      <w:pPr>
        <w:shd w:val="clear" w:color="auto" w:fill="FFFFFF"/>
        <w:spacing w:line="276" w:lineRule="auto"/>
        <w:rPr>
          <w:rStyle w:val="Hyperlink"/>
          <w:rFonts w:eastAsiaTheme="majorEastAsia"/>
          <w:color w:val="000000" w:themeColor="text1"/>
          <w:lang w:eastAsia="es-NI"/>
        </w:rPr>
      </w:pPr>
    </w:p>
    <w:p w14:paraId="20EE4B7E" w14:textId="77777777" w:rsidR="00A96CF7" w:rsidRPr="00147E8C" w:rsidRDefault="00A96CF7" w:rsidP="00A96CF7">
      <w:pPr>
        <w:spacing w:line="276" w:lineRule="auto"/>
        <w:rPr>
          <w:i/>
          <w:color w:val="000000" w:themeColor="text1"/>
          <w:lang w:val="en-US"/>
        </w:rPr>
      </w:pPr>
      <w:r w:rsidRPr="00147E8C">
        <w:rPr>
          <w:color w:val="000000" w:themeColor="text1"/>
          <w:lang w:val="es-NI"/>
        </w:rPr>
        <w:t xml:space="preserve">Radio Primerisima Informe Pastran (2015) </w:t>
      </w:r>
      <w:r w:rsidRPr="00147E8C">
        <w:rPr>
          <w:i/>
          <w:color w:val="000000" w:themeColor="text1"/>
          <w:lang w:val="es-NI"/>
        </w:rPr>
        <w:t>Cooperativas cambian al país</w:t>
      </w:r>
      <w:r w:rsidRPr="00147E8C">
        <w:rPr>
          <w:color w:val="000000" w:themeColor="text1"/>
          <w:lang w:val="es-NI"/>
        </w:rPr>
        <w:t xml:space="preserve">. Available at: </w:t>
      </w:r>
      <w:r w:rsidRPr="00147E8C">
        <w:rPr>
          <w:color w:val="000000" w:themeColor="text1"/>
          <w:lang w:val="en-US"/>
        </w:rPr>
        <w:t>http://www.radiolaprimerisima.com/noticias/general/178208/cooperativas-cambian-al-pais/ [Accessed 4</w:t>
      </w:r>
      <w:r w:rsidRPr="00147E8C">
        <w:rPr>
          <w:color w:val="000000" w:themeColor="text1"/>
          <w:vertAlign w:val="superscript"/>
          <w:lang w:val="en-US"/>
        </w:rPr>
        <w:t>th</w:t>
      </w:r>
      <w:r w:rsidRPr="00147E8C">
        <w:rPr>
          <w:color w:val="000000" w:themeColor="text1"/>
          <w:lang w:val="en-US"/>
        </w:rPr>
        <w:t xml:space="preserve"> April 2018].</w:t>
      </w:r>
    </w:p>
    <w:p w14:paraId="70D2E5C8" w14:textId="77777777" w:rsidR="00A96CF7" w:rsidRPr="00147E8C" w:rsidRDefault="00A96CF7" w:rsidP="00A96CF7">
      <w:pPr>
        <w:spacing w:line="276" w:lineRule="auto"/>
        <w:rPr>
          <w:color w:val="000000" w:themeColor="text1"/>
        </w:rPr>
      </w:pPr>
    </w:p>
    <w:p w14:paraId="65C60EA8" w14:textId="77777777" w:rsidR="00A96CF7" w:rsidRPr="00147E8C" w:rsidRDefault="00A96CF7" w:rsidP="00A96CF7">
      <w:pPr>
        <w:spacing w:line="276" w:lineRule="auto"/>
        <w:rPr>
          <w:color w:val="000000" w:themeColor="text1"/>
        </w:rPr>
      </w:pPr>
      <w:r w:rsidRPr="00147E8C">
        <w:rPr>
          <w:color w:val="000000" w:themeColor="text1"/>
        </w:rPr>
        <w:t>Rai, S., Hoskyns C., and Thomas, D. (2011</w:t>
      </w:r>
      <w:r w:rsidRPr="00147E8C">
        <w:rPr>
          <w:i/>
          <w:color w:val="000000" w:themeColor="text1"/>
        </w:rPr>
        <w:t>), Depletion and social reproduction</w:t>
      </w:r>
      <w:r w:rsidRPr="00147E8C">
        <w:rPr>
          <w:color w:val="000000" w:themeColor="text1"/>
        </w:rPr>
        <w:t>. CSGR Working Paper 274/11. Warwick: Centre for the Study of Globalisation and Regionalisation, Department of Politics and International Studies, University of Warwick.</w:t>
      </w:r>
    </w:p>
    <w:p w14:paraId="7A2D3D89" w14:textId="77777777" w:rsidR="00A96CF7" w:rsidRPr="00147E8C" w:rsidRDefault="00A96CF7" w:rsidP="00A96CF7">
      <w:pPr>
        <w:spacing w:line="276" w:lineRule="auto"/>
        <w:rPr>
          <w:color w:val="000000" w:themeColor="text1"/>
        </w:rPr>
      </w:pPr>
    </w:p>
    <w:p w14:paraId="349EB04C" w14:textId="77777777" w:rsidR="00A96CF7" w:rsidRPr="00D0315F" w:rsidRDefault="00A96CF7" w:rsidP="00A96CF7">
      <w:pPr>
        <w:spacing w:line="276" w:lineRule="auto"/>
        <w:rPr>
          <w:color w:val="000000" w:themeColor="text1"/>
        </w:rPr>
      </w:pPr>
      <w:r w:rsidRPr="00147E8C">
        <w:rPr>
          <w:color w:val="000000" w:themeColor="text1"/>
        </w:rPr>
        <w:t xml:space="preserve">Rai, S.; Hoskyns, C. and Thomas, D. (2012) ‘Depletion: the costs of unpaid domestic work’, </w:t>
      </w:r>
      <w:r w:rsidRPr="00147E8C">
        <w:rPr>
          <w:i/>
          <w:iCs/>
          <w:color w:val="000000" w:themeColor="text1"/>
        </w:rPr>
        <w:t>E-International Relations</w:t>
      </w:r>
      <w:r w:rsidRPr="00147E8C">
        <w:rPr>
          <w:color w:val="000000" w:themeColor="text1"/>
        </w:rPr>
        <w:t xml:space="preserve"> [Online]. Available from: </w:t>
      </w:r>
      <w:hyperlink r:id="rId65" w:history="1">
        <w:r w:rsidRPr="00D0315F">
          <w:rPr>
            <w:rStyle w:val="Hyperlink"/>
            <w:rFonts w:eastAsiaTheme="majorEastAsia"/>
            <w:color w:val="000000" w:themeColor="text1"/>
            <w:u w:val="none"/>
          </w:rPr>
          <w:t>http://www.er.info/2012/03/19/depletion-the-costs-of-unpaid-domestic-work/</w:t>
        </w:r>
      </w:hyperlink>
      <w:r w:rsidRPr="00D0315F">
        <w:rPr>
          <w:color w:val="000000" w:themeColor="text1"/>
        </w:rPr>
        <w:t xml:space="preserve"> [Accessed 19th June 2014]. </w:t>
      </w:r>
    </w:p>
    <w:p w14:paraId="46DE3371" w14:textId="77777777" w:rsidR="00A96CF7" w:rsidRPr="00D0315F" w:rsidRDefault="00A96CF7" w:rsidP="00A96CF7">
      <w:pPr>
        <w:spacing w:line="276" w:lineRule="auto"/>
        <w:rPr>
          <w:color w:val="000000" w:themeColor="text1"/>
        </w:rPr>
      </w:pPr>
    </w:p>
    <w:p w14:paraId="55685C1A" w14:textId="77777777" w:rsidR="00A96CF7" w:rsidRPr="00D0315F" w:rsidRDefault="00A96CF7" w:rsidP="00A96CF7">
      <w:pPr>
        <w:spacing w:line="276" w:lineRule="auto"/>
        <w:rPr>
          <w:color w:val="000000" w:themeColor="text1"/>
        </w:rPr>
      </w:pPr>
      <w:r w:rsidRPr="00D0315F">
        <w:rPr>
          <w:color w:val="000000" w:themeColor="text1"/>
        </w:rPr>
        <w:t xml:space="preserve">Rai, S., Hoskyns, C., and Thomas, D. (2014) ‘Depletion’, </w:t>
      </w:r>
      <w:r w:rsidRPr="00D0315F">
        <w:rPr>
          <w:i/>
          <w:iCs/>
          <w:color w:val="000000" w:themeColor="text1"/>
        </w:rPr>
        <w:t>International Feminist Journal of Politics</w:t>
      </w:r>
      <w:r w:rsidRPr="00D0315F">
        <w:rPr>
          <w:color w:val="000000" w:themeColor="text1"/>
        </w:rPr>
        <w:t xml:space="preserve">, 16 (1), pp. 86-105. </w:t>
      </w:r>
    </w:p>
    <w:p w14:paraId="1FA23A6C" w14:textId="77777777" w:rsidR="00A96CF7" w:rsidRPr="00D0315F" w:rsidRDefault="00A96CF7" w:rsidP="00A96CF7">
      <w:pPr>
        <w:spacing w:line="276" w:lineRule="auto"/>
        <w:rPr>
          <w:color w:val="000000" w:themeColor="text1"/>
        </w:rPr>
      </w:pPr>
    </w:p>
    <w:p w14:paraId="2DA80712" w14:textId="77777777" w:rsidR="00A96CF7" w:rsidRPr="00D0315F" w:rsidRDefault="00A96CF7" w:rsidP="00A96CF7">
      <w:pPr>
        <w:spacing w:line="276" w:lineRule="auto"/>
        <w:rPr>
          <w:color w:val="000000" w:themeColor="text1"/>
        </w:rPr>
      </w:pPr>
      <w:r w:rsidRPr="00D0315F">
        <w:rPr>
          <w:color w:val="000000" w:themeColor="text1"/>
        </w:rPr>
        <w:t>Rai, S., Papart, J. Staudt, K. (2007) ‘(</w:t>
      </w:r>
      <w:r w:rsidRPr="00D0315F">
        <w:rPr>
          <w:iCs/>
          <w:color w:val="000000" w:themeColor="text1"/>
        </w:rPr>
        <w:t>Re) defining empowerment, measuring survival’</w:t>
      </w:r>
      <w:r w:rsidRPr="00D0315F">
        <w:rPr>
          <w:i/>
          <w:iCs/>
          <w:color w:val="000000" w:themeColor="text1"/>
        </w:rPr>
        <w:t xml:space="preserve">, </w:t>
      </w:r>
      <w:r w:rsidRPr="00D0315F">
        <w:rPr>
          <w:i/>
          <w:color w:val="000000" w:themeColor="text1"/>
        </w:rPr>
        <w:t xml:space="preserve">Workshop on Empowerment: Obstacles, Flaws, Achievements </w:t>
      </w:r>
      <w:r w:rsidRPr="00D0315F">
        <w:rPr>
          <w:color w:val="000000" w:themeColor="text1"/>
        </w:rPr>
        <w:t>[Online]. 3-5</w:t>
      </w:r>
      <w:r w:rsidRPr="00D0315F">
        <w:rPr>
          <w:color w:val="000000" w:themeColor="text1"/>
          <w:vertAlign w:val="superscript"/>
        </w:rPr>
        <w:t xml:space="preserve">t </w:t>
      </w:r>
      <w:r w:rsidRPr="00D0315F">
        <w:rPr>
          <w:color w:val="000000" w:themeColor="text1"/>
        </w:rPr>
        <w:t xml:space="preserve">May, Carleton University, Ottawa. Warwick: University of Warwick. Available from: </w:t>
      </w:r>
      <w:hyperlink r:id="rId66" w:history="1">
        <w:r w:rsidRPr="00D0315F">
          <w:rPr>
            <w:rStyle w:val="Hyperlink"/>
            <w:rFonts w:eastAsiaTheme="majorEastAsia"/>
            <w:color w:val="000000" w:themeColor="text1"/>
            <w:u w:val="none"/>
          </w:rPr>
          <w:t>http://www.ethicsofempowerment.org/papers/RaiEmpowerment.pdf</w:t>
        </w:r>
      </w:hyperlink>
      <w:r w:rsidRPr="00D0315F">
        <w:rPr>
          <w:color w:val="000000" w:themeColor="text1"/>
        </w:rPr>
        <w:t xml:space="preserve"> [Accessed 10th March 2017]. </w:t>
      </w:r>
    </w:p>
    <w:p w14:paraId="2223FC1B" w14:textId="77777777" w:rsidR="00A96CF7" w:rsidRPr="00D0315F" w:rsidRDefault="00A96CF7" w:rsidP="00A96CF7">
      <w:pPr>
        <w:spacing w:line="276" w:lineRule="auto"/>
        <w:rPr>
          <w:color w:val="000000" w:themeColor="text1"/>
        </w:rPr>
      </w:pPr>
    </w:p>
    <w:p w14:paraId="598B64FC" w14:textId="77777777" w:rsidR="00A96CF7" w:rsidRPr="00D0315F" w:rsidRDefault="00A96CF7" w:rsidP="00A96CF7">
      <w:pPr>
        <w:spacing w:line="276" w:lineRule="auto"/>
        <w:rPr>
          <w:i/>
          <w:color w:val="000000" w:themeColor="text1"/>
          <w:lang w:val="en-US"/>
        </w:rPr>
      </w:pPr>
      <w:r w:rsidRPr="00D0315F">
        <w:rPr>
          <w:color w:val="000000" w:themeColor="text1"/>
          <w:lang w:val="en-US"/>
        </w:rPr>
        <w:t xml:space="preserve">Rai, Shirin M., Catherine Hoskyns, and Dania Thomas (2010) </w:t>
      </w:r>
      <w:r w:rsidRPr="00D0315F">
        <w:rPr>
          <w:i/>
          <w:color w:val="000000" w:themeColor="text1"/>
          <w:lang w:val="en-US"/>
        </w:rPr>
        <w:t>Depletion and Social</w:t>
      </w:r>
    </w:p>
    <w:p w14:paraId="53966EB0" w14:textId="29FF43C9" w:rsidR="00A96CF7" w:rsidRPr="00C40083" w:rsidRDefault="00A96CF7" w:rsidP="00A96CF7">
      <w:pPr>
        <w:spacing w:line="276" w:lineRule="auto"/>
        <w:rPr>
          <w:color w:val="000000" w:themeColor="text1"/>
          <w:lang w:val="en-US"/>
        </w:rPr>
      </w:pPr>
      <w:r w:rsidRPr="00D0315F">
        <w:rPr>
          <w:i/>
          <w:color w:val="000000" w:themeColor="text1"/>
          <w:lang w:val="en-US"/>
        </w:rPr>
        <w:t>Reproduction</w:t>
      </w:r>
      <w:r w:rsidRPr="00D0315F">
        <w:rPr>
          <w:color w:val="000000" w:themeColor="text1"/>
          <w:lang w:val="en-US"/>
        </w:rPr>
        <w:t>, CSGR Working Paper 274/11, Centre for the Study of Globalisation and</w:t>
      </w:r>
      <w:r w:rsidR="00C40083">
        <w:rPr>
          <w:color w:val="000000" w:themeColor="text1"/>
          <w:lang w:val="en-US"/>
        </w:rPr>
        <w:t xml:space="preserve"> </w:t>
      </w:r>
      <w:r w:rsidRPr="00D0315F">
        <w:rPr>
          <w:color w:val="000000" w:themeColor="text1"/>
          <w:lang w:val="en-US"/>
        </w:rPr>
        <w:t>Regionalisation Department of Politics and International Studies University of Warwick</w:t>
      </w:r>
      <w:r w:rsidR="00C40083">
        <w:rPr>
          <w:color w:val="000000" w:themeColor="text1"/>
          <w:lang w:val="en-US"/>
        </w:rPr>
        <w:t>.</w:t>
      </w:r>
    </w:p>
    <w:p w14:paraId="4D213193" w14:textId="77777777" w:rsidR="00A96CF7" w:rsidRPr="00D0315F" w:rsidRDefault="00A96CF7" w:rsidP="00A96CF7">
      <w:pPr>
        <w:spacing w:line="276" w:lineRule="auto"/>
        <w:rPr>
          <w:color w:val="000000" w:themeColor="text1"/>
        </w:rPr>
      </w:pPr>
    </w:p>
    <w:p w14:paraId="0D77B3DD" w14:textId="77777777" w:rsidR="00A96CF7" w:rsidRPr="00147E8C" w:rsidRDefault="00A96CF7" w:rsidP="00A96CF7">
      <w:pPr>
        <w:spacing w:line="276" w:lineRule="auto"/>
        <w:rPr>
          <w:color w:val="000000" w:themeColor="text1"/>
        </w:rPr>
      </w:pPr>
      <w:r w:rsidRPr="00147E8C">
        <w:rPr>
          <w:color w:val="000000" w:themeColor="text1"/>
        </w:rPr>
        <w:t xml:space="preserve">Ramazanoglu, C. (1989). </w:t>
      </w:r>
      <w:r w:rsidRPr="00147E8C">
        <w:rPr>
          <w:i/>
          <w:color w:val="000000" w:themeColor="text1"/>
        </w:rPr>
        <w:t>‘Improving on sociology: problems in taking a feminist standpoint’.</w:t>
      </w:r>
      <w:r w:rsidRPr="00147E8C">
        <w:rPr>
          <w:color w:val="000000" w:themeColor="text1"/>
        </w:rPr>
        <w:t xml:space="preserve"> Sociology 23: 427-442.</w:t>
      </w:r>
    </w:p>
    <w:p w14:paraId="443BE87F" w14:textId="77777777" w:rsidR="00A96CF7" w:rsidRPr="00147E8C" w:rsidRDefault="00A96CF7" w:rsidP="00A96CF7">
      <w:pPr>
        <w:spacing w:line="276" w:lineRule="auto"/>
        <w:rPr>
          <w:color w:val="000000" w:themeColor="text1"/>
        </w:rPr>
      </w:pPr>
    </w:p>
    <w:p w14:paraId="16199205" w14:textId="42175F71" w:rsidR="00A96CF7" w:rsidRPr="00147E8C" w:rsidRDefault="00A96CF7" w:rsidP="00A96CF7">
      <w:pPr>
        <w:spacing w:line="276" w:lineRule="auto"/>
        <w:rPr>
          <w:color w:val="000000" w:themeColor="text1"/>
        </w:rPr>
      </w:pPr>
      <w:r w:rsidRPr="00147E8C">
        <w:rPr>
          <w:color w:val="000000" w:themeColor="text1"/>
        </w:rPr>
        <w:t>Randall, D. C. (2005) ‘An exploration of opportunities for the growth of the Fair Trade</w:t>
      </w:r>
      <w:r w:rsidR="00426335">
        <w:rPr>
          <w:color w:val="000000" w:themeColor="text1"/>
        </w:rPr>
        <w:t xml:space="preserve"> </w:t>
      </w:r>
      <w:r w:rsidRPr="00147E8C">
        <w:rPr>
          <w:color w:val="000000" w:themeColor="text1"/>
        </w:rPr>
        <w:t xml:space="preserve">market: three cases of craft organizations’, </w:t>
      </w:r>
      <w:r w:rsidRPr="00147E8C">
        <w:rPr>
          <w:i/>
          <w:color w:val="000000" w:themeColor="text1"/>
        </w:rPr>
        <w:t>Journal of Business Ethics</w:t>
      </w:r>
      <w:r w:rsidRPr="00147E8C">
        <w:rPr>
          <w:color w:val="000000" w:themeColor="text1"/>
        </w:rPr>
        <w:t xml:space="preserve"> 56, pp. 55 – 67.</w:t>
      </w:r>
    </w:p>
    <w:p w14:paraId="6E0399FD" w14:textId="77777777" w:rsidR="00A96CF7" w:rsidRPr="00147E8C" w:rsidRDefault="00A96CF7" w:rsidP="00A96CF7">
      <w:pPr>
        <w:spacing w:line="276" w:lineRule="auto"/>
        <w:rPr>
          <w:color w:val="000000" w:themeColor="text1"/>
        </w:rPr>
      </w:pPr>
    </w:p>
    <w:p w14:paraId="1B376664" w14:textId="77777777" w:rsidR="00A96CF7" w:rsidRPr="00147E8C" w:rsidRDefault="00A96CF7" w:rsidP="00A96CF7">
      <w:pPr>
        <w:spacing w:line="276" w:lineRule="auto"/>
        <w:rPr>
          <w:color w:val="000000" w:themeColor="text1"/>
        </w:rPr>
      </w:pPr>
      <w:r w:rsidRPr="00147E8C">
        <w:rPr>
          <w:color w:val="000000" w:themeColor="text1"/>
        </w:rPr>
        <w:t xml:space="preserve">Ransom, D. (2001) </w:t>
      </w:r>
      <w:r w:rsidRPr="00147E8C">
        <w:rPr>
          <w:i/>
          <w:color w:val="000000" w:themeColor="text1"/>
        </w:rPr>
        <w:t>The no-nonsense guide to Fair Trade</w:t>
      </w:r>
      <w:r w:rsidRPr="00147E8C">
        <w:rPr>
          <w:color w:val="000000" w:themeColor="text1"/>
        </w:rPr>
        <w:t>. London: New internationalist publications Ltd.</w:t>
      </w:r>
    </w:p>
    <w:p w14:paraId="375FB7F6" w14:textId="77777777" w:rsidR="00A96CF7" w:rsidRPr="00147E8C" w:rsidRDefault="00A96CF7" w:rsidP="00A96CF7">
      <w:pPr>
        <w:pStyle w:val="NormalWeb"/>
        <w:spacing w:line="276" w:lineRule="auto"/>
        <w:rPr>
          <w:bCs/>
          <w:color w:val="000000" w:themeColor="text1"/>
        </w:rPr>
      </w:pPr>
      <w:r w:rsidRPr="00147E8C">
        <w:rPr>
          <w:bCs/>
          <w:color w:val="000000" w:themeColor="text1"/>
        </w:rPr>
        <w:lastRenderedPageBreak/>
        <w:t xml:space="preserve">Razavi, S. (2007) </w:t>
      </w:r>
      <w:r w:rsidRPr="00147E8C">
        <w:rPr>
          <w:bCs/>
          <w:i/>
          <w:color w:val="000000" w:themeColor="text1"/>
        </w:rPr>
        <w:t>The political and social economy of care in a development context: contextual issues, research questions, and policy option</w:t>
      </w:r>
      <w:r w:rsidRPr="00147E8C">
        <w:rPr>
          <w:bCs/>
          <w:color w:val="000000" w:themeColor="text1"/>
        </w:rPr>
        <w:t xml:space="preserve">s. Geneva: United Nations Research Institute for Social Development. </w:t>
      </w:r>
    </w:p>
    <w:p w14:paraId="6E212398" w14:textId="1FFD7F08" w:rsidR="00A96CF7" w:rsidRPr="00147E8C" w:rsidRDefault="00A96CF7" w:rsidP="00A96CF7">
      <w:pPr>
        <w:pStyle w:val="NormalWeb"/>
        <w:spacing w:line="276" w:lineRule="auto"/>
        <w:rPr>
          <w:bCs/>
          <w:color w:val="000000" w:themeColor="text1"/>
        </w:rPr>
      </w:pPr>
      <w:r w:rsidRPr="00147E8C">
        <w:rPr>
          <w:bCs/>
          <w:color w:val="000000" w:themeColor="text1"/>
        </w:rPr>
        <w:t>Razavi, S. (2007) ‘The Political and Social Economy of Care in a Development Context: Conceptual Issues, Research Questions and Policy Options’, Gender and Development Programme, Paper 3, Geneva: United Nations Research I</w:t>
      </w:r>
      <w:r w:rsidR="00426335">
        <w:rPr>
          <w:bCs/>
          <w:color w:val="000000" w:themeColor="text1"/>
        </w:rPr>
        <w:t>nstitute for Social Development.</w:t>
      </w:r>
    </w:p>
    <w:p w14:paraId="085F6626" w14:textId="77777777" w:rsidR="00A96CF7" w:rsidRPr="00D0315F" w:rsidRDefault="00A96CF7" w:rsidP="00A96CF7">
      <w:pPr>
        <w:pStyle w:val="NormalWeb"/>
        <w:spacing w:line="276" w:lineRule="auto"/>
        <w:rPr>
          <w:bCs/>
          <w:color w:val="000000" w:themeColor="text1"/>
        </w:rPr>
      </w:pPr>
      <w:r w:rsidRPr="00147E8C">
        <w:rPr>
          <w:bCs/>
          <w:color w:val="000000" w:themeColor="text1"/>
        </w:rPr>
        <w:t xml:space="preserve">Razavi, S (2009). </w:t>
      </w:r>
      <w:r w:rsidRPr="00147E8C">
        <w:rPr>
          <w:bCs/>
          <w:i/>
          <w:color w:val="000000" w:themeColor="text1"/>
        </w:rPr>
        <w:t>Key policy initiatives on equal sharing of responsibilities between women and men, including in the context of HIV/AIDS, Fifty-third session.</w:t>
      </w:r>
      <w:r w:rsidRPr="00147E8C">
        <w:rPr>
          <w:bCs/>
          <w:color w:val="000000" w:themeColor="text1"/>
        </w:rPr>
        <w:t xml:space="preserve"> New York, 2 – 13 March. Available from: </w:t>
      </w:r>
      <w:hyperlink r:id="rId67" w:history="1">
        <w:r w:rsidRPr="00D0315F">
          <w:rPr>
            <w:rStyle w:val="Hyperlink"/>
            <w:bCs/>
            <w:color w:val="000000" w:themeColor="text1"/>
            <w:u w:val="none"/>
          </w:rPr>
          <w:t>http://www.un.org/womenwatch/daw/csw/csw53/panels/keypolicy/Razavi.pdf</w:t>
        </w:r>
      </w:hyperlink>
      <w:r w:rsidRPr="00D0315F">
        <w:rPr>
          <w:bCs/>
          <w:color w:val="000000" w:themeColor="text1"/>
        </w:rPr>
        <w:t xml:space="preserve">  [Accessed 5th September 2015]. </w:t>
      </w:r>
    </w:p>
    <w:p w14:paraId="4EDE70E2" w14:textId="77777777" w:rsidR="00A96CF7" w:rsidRPr="00D0315F" w:rsidRDefault="00A96CF7" w:rsidP="00A96CF7">
      <w:pPr>
        <w:spacing w:line="276" w:lineRule="auto"/>
        <w:rPr>
          <w:color w:val="000000" w:themeColor="text1"/>
        </w:rPr>
      </w:pPr>
      <w:r w:rsidRPr="00D0315F">
        <w:rPr>
          <w:color w:val="000000" w:themeColor="text1"/>
        </w:rPr>
        <w:t xml:space="preserve">Raymond, L., Weldon, L., Kelly, D., Arriaga, X. and Clark, A.M. (2013) ‘Making change: norms and informal institutions as solutions to “intractable” global problems’, </w:t>
      </w:r>
      <w:r w:rsidRPr="00D0315F">
        <w:rPr>
          <w:i/>
          <w:iCs/>
          <w:color w:val="000000" w:themeColor="text1"/>
        </w:rPr>
        <w:t>Political Research Quarterly</w:t>
      </w:r>
      <w:r w:rsidRPr="00D0315F">
        <w:rPr>
          <w:color w:val="000000" w:themeColor="text1"/>
        </w:rPr>
        <w:t xml:space="preserve"> [Online], 20 (10), pp.1-15. Available from: </w:t>
      </w:r>
      <w:hyperlink r:id="rId68" w:history="1">
        <w:r w:rsidRPr="00D0315F">
          <w:rPr>
            <w:rStyle w:val="Hyperlink"/>
            <w:rFonts w:eastAsiaTheme="majorEastAsia"/>
            <w:color w:val="000000" w:themeColor="text1"/>
            <w:u w:val="none"/>
          </w:rPr>
          <w:t>http://journals.sagepub.com/doi/abs/10.1177/1065912913510786</w:t>
        </w:r>
      </w:hyperlink>
      <w:r w:rsidRPr="00D0315F">
        <w:rPr>
          <w:color w:val="000000" w:themeColor="text1"/>
        </w:rPr>
        <w:t xml:space="preserve"> [Accessed 2nd July 2017]. </w:t>
      </w:r>
    </w:p>
    <w:p w14:paraId="469D66F7" w14:textId="77777777" w:rsidR="00A96CF7" w:rsidRPr="00D0315F" w:rsidRDefault="00A96CF7" w:rsidP="00A96CF7">
      <w:pPr>
        <w:spacing w:line="276" w:lineRule="auto"/>
        <w:rPr>
          <w:color w:val="000000" w:themeColor="text1"/>
        </w:rPr>
      </w:pPr>
    </w:p>
    <w:p w14:paraId="1F83FBE8" w14:textId="77777777" w:rsidR="00A96CF7" w:rsidRPr="00D0315F" w:rsidRDefault="00A96CF7" w:rsidP="00A96CF7">
      <w:pPr>
        <w:spacing w:line="276" w:lineRule="auto"/>
        <w:rPr>
          <w:i/>
          <w:color w:val="000000" w:themeColor="text1"/>
        </w:rPr>
      </w:pPr>
      <w:r w:rsidRPr="00D0315F">
        <w:rPr>
          <w:color w:val="000000" w:themeColor="text1"/>
        </w:rPr>
        <w:t xml:space="preserve">Raynolds, L. T. (2002) </w:t>
      </w:r>
      <w:r w:rsidRPr="00D0315F">
        <w:rPr>
          <w:i/>
          <w:color w:val="000000" w:themeColor="text1"/>
        </w:rPr>
        <w:t>Poverty alleviation through participation in Fair Trade coffee</w:t>
      </w:r>
    </w:p>
    <w:p w14:paraId="2563B585" w14:textId="77777777" w:rsidR="00A96CF7" w:rsidRPr="00147E8C" w:rsidRDefault="00A96CF7" w:rsidP="00A96CF7">
      <w:pPr>
        <w:spacing w:line="276" w:lineRule="auto"/>
        <w:rPr>
          <w:color w:val="000000" w:themeColor="text1"/>
        </w:rPr>
      </w:pPr>
      <w:r w:rsidRPr="00D0315F">
        <w:rPr>
          <w:i/>
          <w:color w:val="000000" w:themeColor="text1"/>
        </w:rPr>
        <w:t>networks: existing research and critical issues</w:t>
      </w:r>
      <w:r w:rsidRPr="00D0315F">
        <w:rPr>
          <w:color w:val="000000" w:themeColor="text1"/>
        </w:rPr>
        <w:t xml:space="preserve">. [Online]. Available from: </w:t>
      </w:r>
      <w:r w:rsidRPr="00147E8C">
        <w:rPr>
          <w:color w:val="000000" w:themeColor="text1"/>
        </w:rPr>
        <w:t>http://www.eldis.org/ dbtw-wpd/exec/dbtwpcgi.exe [Accessed 14th August 2017].</w:t>
      </w:r>
    </w:p>
    <w:p w14:paraId="7D3778AB" w14:textId="77777777" w:rsidR="00A96CF7" w:rsidRPr="00147E8C" w:rsidRDefault="00A96CF7" w:rsidP="00A96CF7">
      <w:pPr>
        <w:spacing w:line="276" w:lineRule="auto"/>
        <w:rPr>
          <w:color w:val="000000" w:themeColor="text1"/>
        </w:rPr>
      </w:pPr>
    </w:p>
    <w:p w14:paraId="541D31A7" w14:textId="77777777" w:rsidR="00A96CF7" w:rsidRPr="00147E8C" w:rsidRDefault="00A96CF7" w:rsidP="00A96CF7">
      <w:pPr>
        <w:spacing w:line="276" w:lineRule="auto"/>
        <w:rPr>
          <w:color w:val="000000" w:themeColor="text1"/>
        </w:rPr>
      </w:pPr>
      <w:r w:rsidRPr="00147E8C">
        <w:rPr>
          <w:color w:val="000000" w:themeColor="text1"/>
        </w:rPr>
        <w:t>Raynolds, L.T., and Murray, D. (2007) ‘Fair Trade: contemporary challenges and future</w:t>
      </w:r>
    </w:p>
    <w:p w14:paraId="7F06C57B" w14:textId="77777777" w:rsidR="00A96CF7" w:rsidRPr="00147E8C" w:rsidRDefault="00A96CF7" w:rsidP="00A96CF7">
      <w:pPr>
        <w:spacing w:line="276" w:lineRule="auto"/>
        <w:rPr>
          <w:color w:val="000000" w:themeColor="text1"/>
        </w:rPr>
      </w:pPr>
      <w:r w:rsidRPr="00147E8C">
        <w:rPr>
          <w:color w:val="000000" w:themeColor="text1"/>
        </w:rPr>
        <w:t xml:space="preserve">prospects’, in: Raynolds, L., Murray, D. and Wilkinson, J. (eds) (2007). </w:t>
      </w:r>
      <w:r w:rsidRPr="00147E8C">
        <w:rPr>
          <w:i/>
          <w:color w:val="000000" w:themeColor="text1"/>
        </w:rPr>
        <w:t>Fair Trade: the challenges of transforming globalization</w:t>
      </w:r>
      <w:r w:rsidRPr="00147E8C">
        <w:rPr>
          <w:color w:val="000000" w:themeColor="text1"/>
        </w:rPr>
        <w:t>. London: Routledge, pp. 223–234.</w:t>
      </w:r>
    </w:p>
    <w:p w14:paraId="41D2FC84" w14:textId="77777777" w:rsidR="00A96CF7" w:rsidRPr="00147E8C" w:rsidRDefault="00A96CF7" w:rsidP="00A96CF7">
      <w:pPr>
        <w:spacing w:line="276" w:lineRule="auto"/>
        <w:rPr>
          <w:color w:val="000000" w:themeColor="text1"/>
        </w:rPr>
      </w:pPr>
    </w:p>
    <w:p w14:paraId="562E1F1B" w14:textId="77777777" w:rsidR="00A96CF7" w:rsidRPr="00147E8C" w:rsidRDefault="00A96CF7" w:rsidP="00A96CF7">
      <w:pPr>
        <w:spacing w:line="276" w:lineRule="auto"/>
        <w:rPr>
          <w:color w:val="000000" w:themeColor="text1"/>
        </w:rPr>
      </w:pPr>
      <w:r w:rsidRPr="00147E8C">
        <w:rPr>
          <w:color w:val="000000" w:themeColor="text1"/>
        </w:rPr>
        <w:t xml:space="preserve">Raynolds, L.T., Murray, D. and Wilkinson, J. (2007) </w:t>
      </w:r>
      <w:r w:rsidRPr="00147E8C">
        <w:rPr>
          <w:i/>
          <w:color w:val="000000" w:themeColor="text1"/>
        </w:rPr>
        <w:t>Fair Trade and the challenges of transforming globalization</w:t>
      </w:r>
      <w:r w:rsidRPr="00147E8C">
        <w:rPr>
          <w:color w:val="000000" w:themeColor="text1"/>
        </w:rPr>
        <w:t>. London: Routledge.</w:t>
      </w:r>
    </w:p>
    <w:p w14:paraId="426C2FC4" w14:textId="77777777" w:rsidR="00A96CF7" w:rsidRPr="00147E8C" w:rsidRDefault="00A96CF7" w:rsidP="00A96CF7">
      <w:pPr>
        <w:spacing w:line="276" w:lineRule="auto"/>
        <w:rPr>
          <w:color w:val="000000" w:themeColor="text1"/>
        </w:rPr>
      </w:pPr>
    </w:p>
    <w:p w14:paraId="4B714DB1" w14:textId="77777777" w:rsidR="00A96CF7" w:rsidRPr="00147E8C" w:rsidRDefault="00A96CF7" w:rsidP="00A96CF7">
      <w:pPr>
        <w:spacing w:line="276" w:lineRule="auto"/>
        <w:rPr>
          <w:color w:val="000000" w:themeColor="text1"/>
          <w:lang w:val="en-US"/>
        </w:rPr>
      </w:pPr>
      <w:r w:rsidRPr="00147E8C">
        <w:rPr>
          <w:color w:val="000000" w:themeColor="text1"/>
        </w:rPr>
        <w:t xml:space="preserve">Ravazi, S. (2007) </w:t>
      </w:r>
      <w:r w:rsidRPr="00147E8C">
        <w:rPr>
          <w:i/>
          <w:color w:val="000000" w:themeColor="text1"/>
        </w:rPr>
        <w:t>The political and social economy of care in a development context</w:t>
      </w:r>
      <w:r w:rsidRPr="00147E8C">
        <w:rPr>
          <w:color w:val="000000" w:themeColor="text1"/>
        </w:rPr>
        <w:t xml:space="preserve">. </w:t>
      </w:r>
      <w:r w:rsidRPr="00147E8C">
        <w:rPr>
          <w:color w:val="000000" w:themeColor="text1"/>
          <w:lang w:val="en-US"/>
        </w:rPr>
        <w:t>Gender and Development Programme Paper Number 3. Geneva: United Nations Research Institute for Social Development.</w:t>
      </w:r>
    </w:p>
    <w:p w14:paraId="54BE50D2" w14:textId="77777777" w:rsidR="00A96CF7" w:rsidRPr="00147E8C" w:rsidRDefault="00A96CF7" w:rsidP="00A96CF7">
      <w:pPr>
        <w:spacing w:line="276" w:lineRule="auto"/>
        <w:rPr>
          <w:color w:val="000000" w:themeColor="text1"/>
        </w:rPr>
      </w:pPr>
    </w:p>
    <w:p w14:paraId="242F7A1B" w14:textId="77777777" w:rsidR="00A96CF7" w:rsidRPr="00147E8C" w:rsidRDefault="00A96CF7" w:rsidP="00A96CF7">
      <w:pPr>
        <w:spacing w:line="276" w:lineRule="auto"/>
        <w:rPr>
          <w:color w:val="000000" w:themeColor="text1"/>
          <w:lang w:val="es-NI"/>
        </w:rPr>
      </w:pPr>
      <w:r w:rsidRPr="00147E8C">
        <w:rPr>
          <w:color w:val="000000" w:themeColor="text1"/>
        </w:rPr>
        <w:t>Razavi, S. (2009) ‘</w:t>
      </w:r>
      <w:r w:rsidRPr="00147E8C">
        <w:rPr>
          <w:bCs/>
          <w:color w:val="000000" w:themeColor="text1"/>
        </w:rPr>
        <w:t xml:space="preserve">Sharing care more equally in an unequal world’, </w:t>
      </w:r>
      <w:r w:rsidRPr="00147E8C">
        <w:rPr>
          <w:bCs/>
          <w:i/>
          <w:color w:val="000000" w:themeColor="text1"/>
        </w:rPr>
        <w:t xml:space="preserve">Interactive Expert Panel: </w:t>
      </w:r>
      <w:r w:rsidRPr="00147E8C">
        <w:rPr>
          <w:i/>
          <w:color w:val="000000" w:themeColor="text1"/>
        </w:rPr>
        <w:t>Key policy initiatives on equal sharing of responsibilities between women and men, including in the context of HIV/AIDS U</w:t>
      </w:r>
      <w:r w:rsidRPr="00147E8C">
        <w:rPr>
          <w:bCs/>
          <w:i/>
          <w:color w:val="000000" w:themeColor="text1"/>
        </w:rPr>
        <w:t>nited Nations</w:t>
      </w:r>
      <w:r w:rsidRPr="00147E8C">
        <w:rPr>
          <w:bCs/>
          <w:color w:val="000000" w:themeColor="text1"/>
        </w:rPr>
        <w:t xml:space="preserve">. </w:t>
      </w:r>
      <w:r w:rsidRPr="00147E8C">
        <w:rPr>
          <w:bCs/>
          <w:color w:val="000000" w:themeColor="text1"/>
          <w:lang w:val="es-NI"/>
        </w:rPr>
        <w:t>[Online]</w:t>
      </w:r>
      <w:r w:rsidRPr="00147E8C">
        <w:rPr>
          <w:b/>
          <w:bCs/>
          <w:color w:val="000000" w:themeColor="text1"/>
          <w:lang w:val="es-NI"/>
        </w:rPr>
        <w:t xml:space="preserve"> </w:t>
      </w:r>
      <w:r w:rsidRPr="00147E8C">
        <w:rPr>
          <w:bCs/>
          <w:color w:val="000000" w:themeColor="text1"/>
          <w:lang w:val="es-NI"/>
        </w:rPr>
        <w:t xml:space="preserve">Commission on the Status of Women </w:t>
      </w:r>
      <w:r w:rsidRPr="00147E8C">
        <w:rPr>
          <w:color w:val="000000" w:themeColor="text1"/>
          <w:lang w:val="es-NI"/>
        </w:rPr>
        <w:t xml:space="preserve">Revista Envio (1987) Movimiento cooperativo: los campesinos dan un nuevo giro [versión electrónica]. Available at: </w:t>
      </w:r>
      <w:hyperlink r:id="rId69" w:history="1">
        <w:r w:rsidRPr="00147E8C">
          <w:rPr>
            <w:color w:val="000000" w:themeColor="text1"/>
            <w:lang w:val="es-NI"/>
          </w:rPr>
          <w:t>http://www.envio.org.ni/articulo/524</w:t>
        </w:r>
      </w:hyperlink>
      <w:r w:rsidRPr="00147E8C">
        <w:rPr>
          <w:color w:val="000000" w:themeColor="text1"/>
        </w:rPr>
        <w:t xml:space="preserve"> </w:t>
      </w:r>
      <w:r w:rsidRPr="00147E8C">
        <w:rPr>
          <w:color w:val="000000" w:themeColor="text1"/>
          <w:lang w:val="es-NI"/>
        </w:rPr>
        <w:t>[Accessed 12th April 2018].</w:t>
      </w:r>
    </w:p>
    <w:p w14:paraId="4C6C3447" w14:textId="77777777" w:rsidR="00A96CF7" w:rsidRPr="00147E8C" w:rsidRDefault="00A96CF7" w:rsidP="00A96CF7">
      <w:pPr>
        <w:spacing w:line="276" w:lineRule="auto"/>
        <w:rPr>
          <w:color w:val="000000" w:themeColor="text1"/>
          <w:shd w:val="clear" w:color="auto" w:fill="FFFFFF"/>
          <w:lang w:val="es-NI"/>
        </w:rPr>
      </w:pPr>
    </w:p>
    <w:p w14:paraId="6E1E52CB" w14:textId="77777777" w:rsidR="00A96CF7" w:rsidRPr="00D0315F" w:rsidRDefault="00A96CF7" w:rsidP="00A96CF7">
      <w:pPr>
        <w:spacing w:line="276" w:lineRule="auto"/>
        <w:rPr>
          <w:color w:val="000000" w:themeColor="text1"/>
        </w:rPr>
      </w:pPr>
      <w:r w:rsidRPr="00147E8C">
        <w:rPr>
          <w:color w:val="000000" w:themeColor="text1"/>
          <w:shd w:val="clear" w:color="auto" w:fill="FFFFFF"/>
          <w:lang w:val="es-NI"/>
        </w:rPr>
        <w:lastRenderedPageBreak/>
        <w:t xml:space="preserve">Red Centroamericana de Mujeres Rurales, Indígenas y Campesinas, RECMURIC (2015). </w:t>
      </w:r>
      <w:r w:rsidRPr="00147E8C">
        <w:rPr>
          <w:i/>
          <w:color w:val="000000" w:themeColor="text1"/>
          <w:shd w:val="clear" w:color="auto" w:fill="FFFFFF"/>
          <w:lang w:val="es-NI"/>
        </w:rPr>
        <w:t>Tierra para nosotras: propuestas políticas de las mujeres rurales centroamericanas para el acceso a la tierra</w:t>
      </w:r>
      <w:r w:rsidRPr="00147E8C">
        <w:rPr>
          <w:color w:val="000000" w:themeColor="text1"/>
          <w:shd w:val="clear" w:color="auto" w:fill="FFFFFF"/>
          <w:lang w:val="es-NI"/>
        </w:rPr>
        <w:t xml:space="preserve">. </w:t>
      </w:r>
      <w:r w:rsidRPr="00147E8C">
        <w:rPr>
          <w:color w:val="000000" w:themeColor="text1"/>
          <w:shd w:val="clear" w:color="auto" w:fill="FFFFFF"/>
          <w:lang w:val="en-US"/>
        </w:rPr>
        <w:t xml:space="preserve">[Online]. Guatemala: RECMURIC. Available from:  </w:t>
      </w:r>
      <w:hyperlink r:id="rId70" w:history="1">
        <w:r w:rsidRPr="00D0315F">
          <w:rPr>
            <w:rStyle w:val="Hyperlink"/>
            <w:rFonts w:eastAsiaTheme="majorEastAsia"/>
            <w:color w:val="000000" w:themeColor="text1"/>
            <w:u w:val="none"/>
          </w:rPr>
          <w:t>https://oxfamintermon.s3.amazonaws.com/sites/default/files/documentos/files/informeTierraMujer.pdf</w:t>
        </w:r>
      </w:hyperlink>
      <w:r w:rsidRPr="00D0315F">
        <w:rPr>
          <w:color w:val="000000" w:themeColor="text1"/>
        </w:rPr>
        <w:t xml:space="preserve"> [Accessed 10th August 2017]. </w:t>
      </w:r>
    </w:p>
    <w:p w14:paraId="1C5B2F22" w14:textId="77777777" w:rsidR="00A96CF7" w:rsidRPr="00D0315F" w:rsidRDefault="00A96CF7" w:rsidP="00A96CF7">
      <w:pPr>
        <w:spacing w:line="276" w:lineRule="auto"/>
        <w:rPr>
          <w:color w:val="000000" w:themeColor="text1"/>
        </w:rPr>
      </w:pPr>
    </w:p>
    <w:p w14:paraId="712BE8B7" w14:textId="77777777" w:rsidR="00A96CF7" w:rsidRPr="00D0315F" w:rsidRDefault="00A96CF7" w:rsidP="00A96CF7">
      <w:pPr>
        <w:spacing w:line="276" w:lineRule="auto"/>
        <w:rPr>
          <w:i/>
          <w:color w:val="000000" w:themeColor="text1"/>
        </w:rPr>
      </w:pPr>
      <w:r w:rsidRPr="00D0315F">
        <w:rPr>
          <w:color w:val="000000" w:themeColor="text1"/>
        </w:rPr>
        <w:t xml:space="preserve">Redfern, A., and Snedker, P. (2002) </w:t>
      </w:r>
      <w:r w:rsidRPr="00D0315F">
        <w:rPr>
          <w:i/>
          <w:color w:val="000000" w:themeColor="text1"/>
        </w:rPr>
        <w:t>Creating market opportunities for small enterprises:</w:t>
      </w:r>
    </w:p>
    <w:p w14:paraId="3C8BAB9E" w14:textId="77777777" w:rsidR="00A96CF7" w:rsidRPr="00D0315F" w:rsidRDefault="00A96CF7" w:rsidP="00A96CF7">
      <w:pPr>
        <w:spacing w:line="276" w:lineRule="auto"/>
        <w:rPr>
          <w:color w:val="000000" w:themeColor="text1"/>
        </w:rPr>
      </w:pPr>
      <w:r w:rsidRPr="00D0315F">
        <w:rPr>
          <w:i/>
          <w:color w:val="000000" w:themeColor="text1"/>
        </w:rPr>
        <w:t>experiences of the Fair Trade moveme</w:t>
      </w:r>
      <w:r w:rsidRPr="00D0315F">
        <w:rPr>
          <w:color w:val="000000" w:themeColor="text1"/>
        </w:rPr>
        <w:t xml:space="preserve">nt. ILO, SEED Working Paper No. 30, Geneva. </w:t>
      </w:r>
    </w:p>
    <w:p w14:paraId="55439F0B" w14:textId="77777777" w:rsidR="00A96CF7" w:rsidRPr="00D0315F" w:rsidRDefault="00A96CF7" w:rsidP="00A96CF7">
      <w:pPr>
        <w:spacing w:line="276" w:lineRule="auto"/>
        <w:rPr>
          <w:color w:val="000000" w:themeColor="text1"/>
        </w:rPr>
      </w:pPr>
    </w:p>
    <w:p w14:paraId="1E395040" w14:textId="77777777" w:rsidR="00A96CF7" w:rsidRPr="00147E8C" w:rsidRDefault="00A96CF7" w:rsidP="00A96CF7">
      <w:pPr>
        <w:spacing w:line="276" w:lineRule="auto"/>
        <w:rPr>
          <w:b/>
          <w:color w:val="000000" w:themeColor="text1"/>
        </w:rPr>
      </w:pPr>
      <w:r w:rsidRPr="00D0315F">
        <w:rPr>
          <w:color w:val="000000" w:themeColor="text1"/>
        </w:rPr>
        <w:t>Reinecke, J. (2008)</w:t>
      </w:r>
      <w:r w:rsidRPr="00D0315F">
        <w:rPr>
          <w:b/>
          <w:color w:val="000000" w:themeColor="text1"/>
        </w:rPr>
        <w:t xml:space="preserve"> </w:t>
      </w:r>
      <w:r w:rsidRPr="00D0315F">
        <w:rPr>
          <w:color w:val="000000" w:themeColor="text1"/>
        </w:rPr>
        <w:t xml:space="preserve">‘Standard Setting for the "Certification Revolution" –The Production of Ethical Certainty’ </w:t>
      </w:r>
      <w:r w:rsidRPr="00D0315F">
        <w:rPr>
          <w:i/>
          <w:color w:val="000000" w:themeColor="text1"/>
        </w:rPr>
        <w:t>24th EGOS Colloquium, th</w:t>
      </w:r>
      <w:r w:rsidRPr="00147E8C">
        <w:rPr>
          <w:i/>
          <w:color w:val="000000" w:themeColor="text1"/>
        </w:rPr>
        <w:t xml:space="preserve">e Netherlands Sub-theme 45: Global Organizations and the Creative (De-)Construction of Expertise. </w:t>
      </w:r>
      <w:r w:rsidRPr="00147E8C">
        <w:rPr>
          <w:color w:val="000000" w:themeColor="text1"/>
        </w:rPr>
        <w:t>VU University of Amsterdam. July 10-12, 2008. VU University Amsterdam.</w:t>
      </w:r>
    </w:p>
    <w:p w14:paraId="17C86644" w14:textId="77777777" w:rsidR="00A96CF7" w:rsidRPr="00147E8C" w:rsidRDefault="00A96CF7" w:rsidP="00A96CF7">
      <w:pPr>
        <w:spacing w:line="276" w:lineRule="auto"/>
        <w:rPr>
          <w:color w:val="000000" w:themeColor="text1"/>
        </w:rPr>
      </w:pPr>
    </w:p>
    <w:p w14:paraId="7E080F53" w14:textId="77777777" w:rsidR="00A96CF7" w:rsidRPr="00147E8C" w:rsidRDefault="00A96CF7" w:rsidP="00A96CF7">
      <w:pPr>
        <w:spacing w:line="276" w:lineRule="auto"/>
        <w:rPr>
          <w:color w:val="000000" w:themeColor="text1"/>
        </w:rPr>
      </w:pPr>
      <w:r w:rsidRPr="00147E8C">
        <w:rPr>
          <w:color w:val="000000" w:themeColor="text1"/>
        </w:rPr>
        <w:t xml:space="preserve">Reinecke, J. (2010) ‘Beyond a subjective theory of value and towards a ‘fair price’: an organizational perspective on Fairtrade minimum price setting’, </w:t>
      </w:r>
      <w:r w:rsidRPr="00147E8C">
        <w:rPr>
          <w:i/>
          <w:iCs/>
          <w:color w:val="000000" w:themeColor="text1"/>
        </w:rPr>
        <w:t>Organization</w:t>
      </w:r>
      <w:r w:rsidRPr="00147E8C">
        <w:rPr>
          <w:color w:val="000000" w:themeColor="text1"/>
        </w:rPr>
        <w:t>, 17(5), pp.563-581.</w:t>
      </w:r>
    </w:p>
    <w:p w14:paraId="1640CE14" w14:textId="77777777" w:rsidR="00A96CF7" w:rsidRPr="00147E8C" w:rsidRDefault="00A96CF7" w:rsidP="00A96CF7">
      <w:pPr>
        <w:spacing w:line="276" w:lineRule="auto"/>
        <w:rPr>
          <w:color w:val="000000" w:themeColor="text1"/>
        </w:rPr>
      </w:pPr>
    </w:p>
    <w:p w14:paraId="4F2E9089" w14:textId="77777777" w:rsidR="00A96CF7" w:rsidRPr="00147E8C" w:rsidRDefault="00A96CF7" w:rsidP="00A96CF7">
      <w:pPr>
        <w:spacing w:line="276" w:lineRule="auto"/>
        <w:rPr>
          <w:color w:val="000000" w:themeColor="text1"/>
        </w:rPr>
      </w:pPr>
      <w:r w:rsidRPr="00147E8C">
        <w:rPr>
          <w:color w:val="000000" w:themeColor="text1"/>
        </w:rPr>
        <w:t xml:space="preserve">Reinharz, S. (1992) </w:t>
      </w:r>
      <w:r w:rsidRPr="00147E8C">
        <w:rPr>
          <w:i/>
          <w:iCs/>
          <w:color w:val="000000" w:themeColor="text1"/>
        </w:rPr>
        <w:t>Feminist methods in social research</w:t>
      </w:r>
      <w:r w:rsidRPr="00147E8C">
        <w:rPr>
          <w:color w:val="000000" w:themeColor="text1"/>
        </w:rPr>
        <w:t xml:space="preserve">. Oxford: Oxford University Press. </w:t>
      </w:r>
    </w:p>
    <w:p w14:paraId="486BA53F" w14:textId="77777777" w:rsidR="00A96CF7" w:rsidRPr="00147E8C" w:rsidRDefault="00A96CF7" w:rsidP="00A96CF7">
      <w:pPr>
        <w:spacing w:line="276" w:lineRule="auto"/>
        <w:rPr>
          <w:color w:val="000000" w:themeColor="text1"/>
        </w:rPr>
      </w:pPr>
    </w:p>
    <w:p w14:paraId="64AF34AE" w14:textId="77777777" w:rsidR="00A96CF7" w:rsidRPr="00147E8C" w:rsidRDefault="00A96CF7" w:rsidP="00A96CF7">
      <w:pPr>
        <w:spacing w:line="276" w:lineRule="auto"/>
        <w:rPr>
          <w:color w:val="000000" w:themeColor="text1"/>
        </w:rPr>
      </w:pPr>
      <w:r w:rsidRPr="00147E8C">
        <w:rPr>
          <w:color w:val="000000" w:themeColor="text1"/>
        </w:rPr>
        <w:t xml:space="preserve">Renard, M. C. (2002) ‘Fair Trade: quality, market and conventions’, </w:t>
      </w:r>
      <w:r w:rsidRPr="00147E8C">
        <w:rPr>
          <w:i/>
          <w:color w:val="000000" w:themeColor="text1"/>
        </w:rPr>
        <w:t>Journal of Rural Studies</w:t>
      </w:r>
      <w:r w:rsidRPr="00147E8C">
        <w:rPr>
          <w:color w:val="000000" w:themeColor="text1"/>
        </w:rPr>
        <w:t xml:space="preserve"> 19 (1), pp. 87– 96.</w:t>
      </w:r>
    </w:p>
    <w:p w14:paraId="3084EC66" w14:textId="77777777" w:rsidR="00A96CF7" w:rsidRPr="00D0315F" w:rsidRDefault="00A96CF7" w:rsidP="00A96CF7">
      <w:pPr>
        <w:pStyle w:val="NormalWeb"/>
        <w:spacing w:line="276" w:lineRule="auto"/>
        <w:rPr>
          <w:color w:val="000000" w:themeColor="text1"/>
        </w:rPr>
      </w:pPr>
      <w:r w:rsidRPr="00D0315F">
        <w:rPr>
          <w:color w:val="000000" w:themeColor="text1"/>
        </w:rPr>
        <w:t xml:space="preserve">Reuters (2009) </w:t>
      </w:r>
      <w:r w:rsidRPr="00D0315F">
        <w:rPr>
          <w:i/>
          <w:color w:val="000000" w:themeColor="text1"/>
        </w:rPr>
        <w:t xml:space="preserve">Nicaragua court opens way for Daniel Ortega re-election </w:t>
      </w:r>
      <w:r w:rsidRPr="00D0315F">
        <w:rPr>
          <w:color w:val="000000" w:themeColor="text1"/>
        </w:rPr>
        <w:t>[Online]. Available from:</w:t>
      </w:r>
      <w:hyperlink r:id="rId71" w:history="1">
        <w:r w:rsidRPr="00D0315F">
          <w:rPr>
            <w:rStyle w:val="Hyperlink"/>
            <w:color w:val="000000" w:themeColor="text1"/>
            <w:u w:val="none"/>
          </w:rPr>
          <w:t>http://www.reuters.com/article/oukwd-uk-nicaragua-ortega-idAFTRE59J11820091020</w:t>
        </w:r>
      </w:hyperlink>
      <w:r w:rsidRPr="00D0315F">
        <w:rPr>
          <w:color w:val="000000" w:themeColor="text1"/>
        </w:rPr>
        <w:t xml:space="preserve"> [Accessed 10th March 2017]. </w:t>
      </w:r>
    </w:p>
    <w:p w14:paraId="766DE230" w14:textId="77777777" w:rsidR="00A96CF7" w:rsidRPr="00D0315F" w:rsidRDefault="00A96CF7" w:rsidP="00A96CF7">
      <w:pPr>
        <w:pStyle w:val="NormalWeb"/>
        <w:spacing w:line="276" w:lineRule="auto"/>
        <w:rPr>
          <w:i/>
          <w:iCs/>
          <w:color w:val="000000" w:themeColor="text1"/>
          <w:lang w:val="en-US"/>
        </w:rPr>
      </w:pPr>
      <w:r w:rsidRPr="00D0315F">
        <w:rPr>
          <w:color w:val="000000" w:themeColor="text1"/>
        </w:rPr>
        <w:t xml:space="preserve">Rivis, A. and Sheeran, P. (2003) ‘Descriptive norms as an additional predictor in the theory of planned behaviour: a meta-analysis’, </w:t>
      </w:r>
      <w:r w:rsidRPr="00D0315F">
        <w:rPr>
          <w:i/>
          <w:iCs/>
          <w:color w:val="000000" w:themeColor="text1"/>
          <w:lang w:val="en-US"/>
        </w:rPr>
        <w:t xml:space="preserve">Current Psychology: A Journal for Diverse Perspectives on Diverse Psychological, </w:t>
      </w:r>
      <w:r w:rsidRPr="00D0315F">
        <w:rPr>
          <w:iCs/>
          <w:color w:val="000000" w:themeColor="text1"/>
          <w:lang w:val="en-US"/>
        </w:rPr>
        <w:t>22 (3), pp.218-233.</w:t>
      </w:r>
      <w:r w:rsidRPr="00D0315F">
        <w:rPr>
          <w:i/>
          <w:iCs/>
          <w:color w:val="000000" w:themeColor="text1"/>
          <w:lang w:val="en-US"/>
        </w:rPr>
        <w:t xml:space="preserve">   </w:t>
      </w:r>
    </w:p>
    <w:p w14:paraId="708B432C" w14:textId="77777777" w:rsidR="00A96CF7" w:rsidRPr="00D0315F" w:rsidRDefault="00A96CF7" w:rsidP="00A96CF7">
      <w:pPr>
        <w:spacing w:line="276" w:lineRule="auto"/>
        <w:rPr>
          <w:color w:val="000000" w:themeColor="text1"/>
          <w:lang w:val="en-US"/>
        </w:rPr>
      </w:pPr>
      <w:r>
        <w:rPr>
          <w:color w:val="000000" w:themeColor="text1"/>
          <w:lang w:val="en-US"/>
        </w:rPr>
        <w:t xml:space="preserve">Ronchi, </w:t>
      </w:r>
      <w:r w:rsidRPr="00D0315F">
        <w:rPr>
          <w:color w:val="000000" w:themeColor="text1"/>
          <w:lang w:val="en-US"/>
        </w:rPr>
        <w:t xml:space="preserve">L. (2002) </w:t>
      </w:r>
      <w:r w:rsidRPr="00D0315F">
        <w:rPr>
          <w:i/>
          <w:iCs/>
          <w:color w:val="000000" w:themeColor="text1"/>
          <w:lang w:val="en-US"/>
        </w:rPr>
        <w:t>The impact of Fair Trade on producers and the</w:t>
      </w:r>
      <w:r>
        <w:rPr>
          <w:i/>
          <w:iCs/>
          <w:color w:val="000000" w:themeColor="text1"/>
          <w:lang w:val="en-US"/>
        </w:rPr>
        <w:t xml:space="preserve">ir organizations: a case study </w:t>
      </w:r>
      <w:r w:rsidRPr="00D0315F">
        <w:rPr>
          <w:i/>
          <w:iCs/>
          <w:color w:val="000000" w:themeColor="text1"/>
          <w:lang w:val="en-US"/>
        </w:rPr>
        <w:t>with</w:t>
      </w:r>
      <w:r w:rsidRPr="00D0315F">
        <w:rPr>
          <w:i/>
          <w:color w:val="000000" w:themeColor="text1"/>
          <w:lang w:val="en-US"/>
        </w:rPr>
        <w:t xml:space="preserve"> </w:t>
      </w:r>
      <w:r w:rsidRPr="00D0315F">
        <w:rPr>
          <w:i/>
          <w:iCs/>
          <w:color w:val="000000" w:themeColor="text1"/>
          <w:lang w:val="en-US"/>
        </w:rPr>
        <w:t>Coocafé in Costa Rica</w:t>
      </w:r>
      <w:r w:rsidRPr="00D0315F">
        <w:rPr>
          <w:color w:val="000000" w:themeColor="text1"/>
          <w:lang w:val="en-US"/>
        </w:rPr>
        <w:t xml:space="preserve">. Working Paper. Brighton: Poverty Research Unit University of Sussex. </w:t>
      </w:r>
    </w:p>
    <w:p w14:paraId="299CD304" w14:textId="77777777" w:rsidR="00A96CF7" w:rsidRPr="00D0315F" w:rsidRDefault="00A96CF7" w:rsidP="00A96CF7">
      <w:pPr>
        <w:spacing w:line="276" w:lineRule="auto"/>
        <w:rPr>
          <w:color w:val="000000" w:themeColor="text1"/>
        </w:rPr>
      </w:pPr>
    </w:p>
    <w:p w14:paraId="005806D1" w14:textId="77777777" w:rsidR="00A96CF7" w:rsidRPr="00D0315F" w:rsidRDefault="00A96CF7" w:rsidP="00A96CF7">
      <w:pPr>
        <w:spacing w:line="276" w:lineRule="auto"/>
        <w:rPr>
          <w:color w:val="000000" w:themeColor="text1"/>
          <w:lang w:val="en-US"/>
        </w:rPr>
      </w:pPr>
      <w:r w:rsidRPr="00D0315F">
        <w:rPr>
          <w:color w:val="000000" w:themeColor="text1"/>
        </w:rPr>
        <w:t xml:space="preserve">Rowlands, J. (1977) </w:t>
      </w:r>
      <w:r w:rsidRPr="00D0315F">
        <w:rPr>
          <w:i/>
          <w:iCs/>
          <w:color w:val="000000" w:themeColor="text1"/>
        </w:rPr>
        <w:t>Questioning empowerment: working with women in Honduras</w:t>
      </w:r>
      <w:r w:rsidRPr="00D0315F">
        <w:rPr>
          <w:color w:val="000000" w:themeColor="text1"/>
        </w:rPr>
        <w:t xml:space="preserve">. </w:t>
      </w:r>
      <w:r w:rsidRPr="00D0315F">
        <w:rPr>
          <w:color w:val="000000" w:themeColor="text1"/>
          <w:lang w:val="en-US"/>
        </w:rPr>
        <w:t>Oxford: Humanities Press.</w:t>
      </w:r>
    </w:p>
    <w:p w14:paraId="4C0A228B" w14:textId="77777777" w:rsidR="00A96CF7" w:rsidRPr="00D0315F" w:rsidRDefault="00A96CF7" w:rsidP="00A96CF7">
      <w:pPr>
        <w:spacing w:line="276" w:lineRule="auto"/>
        <w:rPr>
          <w:color w:val="000000" w:themeColor="text1"/>
          <w:lang w:val="en-US"/>
        </w:rPr>
      </w:pPr>
    </w:p>
    <w:p w14:paraId="3BDC0531" w14:textId="77777777" w:rsidR="00A96CF7" w:rsidRPr="00D0315F" w:rsidRDefault="00A96CF7" w:rsidP="00A96CF7">
      <w:pPr>
        <w:spacing w:line="276" w:lineRule="auto"/>
        <w:rPr>
          <w:color w:val="000000" w:themeColor="text1"/>
        </w:rPr>
      </w:pPr>
      <w:r w:rsidRPr="00D0315F">
        <w:rPr>
          <w:color w:val="000000" w:themeColor="text1"/>
        </w:rPr>
        <w:t>Roddick, A. (2000) </w:t>
      </w:r>
      <w:r w:rsidRPr="00D0315F">
        <w:rPr>
          <w:i/>
          <w:iCs/>
          <w:color w:val="000000" w:themeColor="text1"/>
        </w:rPr>
        <w:t>Business as Unusual.</w:t>
      </w:r>
      <w:r w:rsidRPr="00D0315F">
        <w:rPr>
          <w:color w:val="000000" w:themeColor="text1"/>
        </w:rPr>
        <w:t> Thorsons: London.</w:t>
      </w:r>
    </w:p>
    <w:p w14:paraId="02BFF0BC" w14:textId="77777777" w:rsidR="00A96CF7" w:rsidRPr="00D0315F" w:rsidRDefault="00A96CF7" w:rsidP="00A96CF7">
      <w:pPr>
        <w:spacing w:line="276" w:lineRule="auto"/>
        <w:rPr>
          <w:color w:val="000000" w:themeColor="text1"/>
          <w:shd w:val="clear" w:color="auto" w:fill="FFFFFF"/>
          <w:lang w:val="en-US"/>
        </w:rPr>
      </w:pPr>
    </w:p>
    <w:p w14:paraId="18831E29" w14:textId="77777777" w:rsidR="00A96CF7" w:rsidRPr="00D0315F" w:rsidRDefault="00A96CF7" w:rsidP="00A96CF7">
      <w:pPr>
        <w:spacing w:line="276" w:lineRule="auto"/>
        <w:rPr>
          <w:color w:val="000000" w:themeColor="text1"/>
        </w:rPr>
      </w:pPr>
      <w:r w:rsidRPr="00D0315F">
        <w:rPr>
          <w:color w:val="000000" w:themeColor="text1"/>
        </w:rPr>
        <w:lastRenderedPageBreak/>
        <w:t xml:space="preserve">Ruben, R., &amp; Lerman, Z. (2005). </w:t>
      </w:r>
      <w:r w:rsidRPr="00D0315F">
        <w:rPr>
          <w:i/>
          <w:color w:val="000000" w:themeColor="text1"/>
        </w:rPr>
        <w:t>Why Nicaraguan Peasants Stay in Agricultural Production Cooperatives.</w:t>
      </w:r>
      <w:r w:rsidRPr="00D0315F">
        <w:rPr>
          <w:color w:val="000000" w:themeColor="text1"/>
        </w:rPr>
        <w:t> European Review of Latin American and Caribbean Studies, (78), 31–47</w:t>
      </w:r>
    </w:p>
    <w:p w14:paraId="7928D7C5" w14:textId="77777777" w:rsidR="00A96CF7" w:rsidRPr="00D0315F" w:rsidRDefault="00A96CF7" w:rsidP="00A96CF7">
      <w:pPr>
        <w:spacing w:line="276" w:lineRule="auto"/>
        <w:rPr>
          <w:color w:val="000000" w:themeColor="text1"/>
        </w:rPr>
      </w:pPr>
    </w:p>
    <w:p w14:paraId="2EEA9F59" w14:textId="06453ECE" w:rsidR="00A96CF7" w:rsidRPr="00D0315F" w:rsidRDefault="00A96CF7" w:rsidP="00A96CF7">
      <w:pPr>
        <w:spacing w:line="276" w:lineRule="auto"/>
        <w:rPr>
          <w:color w:val="000000" w:themeColor="text1"/>
        </w:rPr>
      </w:pPr>
      <w:r w:rsidRPr="00D0315F">
        <w:rPr>
          <w:color w:val="000000" w:themeColor="text1"/>
        </w:rPr>
        <w:t xml:space="preserve">Salazar, V. (2011) </w:t>
      </w:r>
      <w:r w:rsidRPr="00426335">
        <w:rPr>
          <w:i/>
          <w:color w:val="000000" w:themeColor="text1"/>
        </w:rPr>
        <w:t xml:space="preserve">Intimate Partner Violence in Nicaragua Studies on ending abuse, child growth, and contraception. </w:t>
      </w:r>
      <w:r w:rsidRPr="00426335">
        <w:rPr>
          <w:color w:val="000000" w:themeColor="text1"/>
        </w:rPr>
        <w:t xml:space="preserve">Available </w:t>
      </w:r>
      <w:r w:rsidR="00426335" w:rsidRPr="00426335">
        <w:rPr>
          <w:color w:val="000000" w:themeColor="text1"/>
        </w:rPr>
        <w:t>at</w:t>
      </w:r>
      <w:r w:rsidR="00426335" w:rsidRPr="00426335">
        <w:rPr>
          <w:i/>
          <w:color w:val="000000" w:themeColor="text1"/>
        </w:rPr>
        <w:t>:</w:t>
      </w:r>
      <w:r w:rsidRPr="00426335">
        <w:rPr>
          <w:color w:val="000000" w:themeColor="text1"/>
        </w:rPr>
        <w:t xml:space="preserve"> </w:t>
      </w:r>
      <w:r w:rsidRPr="00426335">
        <w:rPr>
          <w:rStyle w:val="Hyperlink"/>
          <w:rFonts w:eastAsiaTheme="majorEastAsia"/>
          <w:color w:val="000000" w:themeColor="text1"/>
          <w:u w:val="none"/>
        </w:rPr>
        <w:t>https://www.diva-portal.org/smash/get/diva2:413391/FULLTEXT01.pdf</w:t>
      </w:r>
      <w:r w:rsidRPr="00426335">
        <w:rPr>
          <w:color w:val="000000" w:themeColor="text1"/>
        </w:rPr>
        <w:t xml:space="preserve"> [Accessed </w:t>
      </w:r>
      <w:r w:rsidRPr="00D0315F">
        <w:rPr>
          <w:color w:val="000000" w:themeColor="text1"/>
        </w:rPr>
        <w:t>26th June 2018].</w:t>
      </w:r>
    </w:p>
    <w:p w14:paraId="79EFD9B1" w14:textId="77777777" w:rsidR="00A96CF7" w:rsidRPr="00D0315F" w:rsidRDefault="00A96CF7" w:rsidP="00A96CF7">
      <w:pPr>
        <w:spacing w:line="276" w:lineRule="auto"/>
        <w:rPr>
          <w:color w:val="000000" w:themeColor="text1"/>
        </w:rPr>
      </w:pPr>
    </w:p>
    <w:p w14:paraId="017F5CA2" w14:textId="77777777" w:rsidR="00A96CF7" w:rsidRPr="00147E8C" w:rsidRDefault="00A96CF7" w:rsidP="00A96CF7">
      <w:pPr>
        <w:spacing w:line="276" w:lineRule="auto"/>
        <w:rPr>
          <w:color w:val="000000" w:themeColor="text1"/>
          <w:lang w:val="en-US"/>
        </w:rPr>
      </w:pPr>
      <w:r w:rsidRPr="00D0315F">
        <w:rPr>
          <w:color w:val="000000" w:themeColor="text1"/>
        </w:rPr>
        <w:t>Samarasinghe, V. (1997) ‘Counting women’s work: the intersection of time and space’ in</w:t>
      </w:r>
      <w:r w:rsidRPr="00147E8C">
        <w:rPr>
          <w:color w:val="000000" w:themeColor="text1"/>
        </w:rPr>
        <w:t xml:space="preserve"> Jones, J. P, Nast, H.J. and Roberts, S.M. (eds), </w:t>
      </w:r>
      <w:r w:rsidRPr="00147E8C">
        <w:rPr>
          <w:i/>
          <w:iCs/>
          <w:color w:val="000000" w:themeColor="text1"/>
        </w:rPr>
        <w:t>Threshold in Feminist geography: difference, methodology, representation</w:t>
      </w:r>
      <w:r w:rsidRPr="00147E8C">
        <w:rPr>
          <w:color w:val="000000" w:themeColor="text1"/>
        </w:rPr>
        <w:t xml:space="preserve">. </w:t>
      </w:r>
      <w:r w:rsidRPr="00147E8C">
        <w:rPr>
          <w:color w:val="000000" w:themeColor="text1"/>
          <w:lang w:val="en-US"/>
        </w:rPr>
        <w:t xml:space="preserve">New York: Rowman and Littlefield. pp. 129- 144. </w:t>
      </w:r>
    </w:p>
    <w:p w14:paraId="0E1153C0"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Sassen, S. (2000) ‘Women’s burden: counter geographies of globalization and the feminization of survival’, </w:t>
      </w:r>
      <w:r w:rsidRPr="00147E8C">
        <w:rPr>
          <w:i/>
          <w:iCs/>
          <w:color w:val="000000" w:themeColor="text1"/>
        </w:rPr>
        <w:t xml:space="preserve">Journal of International Affairs </w:t>
      </w:r>
      <w:r w:rsidRPr="00147E8C">
        <w:rPr>
          <w:color w:val="000000" w:themeColor="text1"/>
        </w:rPr>
        <w:t>53, pp.503-25.</w:t>
      </w:r>
    </w:p>
    <w:p w14:paraId="49C69643" w14:textId="77777777" w:rsidR="00A96CF7" w:rsidRPr="00147E8C" w:rsidRDefault="00A96CF7" w:rsidP="00A96CF7">
      <w:pPr>
        <w:spacing w:line="276" w:lineRule="auto"/>
        <w:rPr>
          <w:color w:val="000000" w:themeColor="text1"/>
          <w:lang w:val="en-US"/>
        </w:rPr>
      </w:pPr>
      <w:r w:rsidRPr="00147E8C">
        <w:rPr>
          <w:color w:val="000000" w:themeColor="text1"/>
          <w:lang w:val="en-US"/>
        </w:rPr>
        <w:t>Schultz, W., Nolan, J., Cialdini, R., Goldstein, N., Griskevicius, V. (2007). ‘</w:t>
      </w:r>
      <w:r w:rsidRPr="00147E8C">
        <w:rPr>
          <w:color w:val="000000" w:themeColor="text1"/>
        </w:rPr>
        <w:t xml:space="preserve">The constructive, destructive, and reconstructive power of social norms’, </w:t>
      </w:r>
      <w:r w:rsidRPr="00147E8C">
        <w:rPr>
          <w:i/>
          <w:iCs/>
          <w:color w:val="000000" w:themeColor="text1"/>
          <w:lang w:val="en-US"/>
        </w:rPr>
        <w:t xml:space="preserve">Psychological Science, </w:t>
      </w:r>
      <w:r w:rsidRPr="00147E8C">
        <w:rPr>
          <w:iCs/>
          <w:color w:val="000000" w:themeColor="text1"/>
          <w:lang w:val="en-US"/>
        </w:rPr>
        <w:t>18 (5),</w:t>
      </w:r>
      <w:r w:rsidRPr="00147E8C">
        <w:rPr>
          <w:i/>
          <w:iCs/>
          <w:color w:val="000000" w:themeColor="text1"/>
          <w:lang w:val="en-US"/>
        </w:rPr>
        <w:t xml:space="preserve"> </w:t>
      </w:r>
      <w:r w:rsidRPr="00147E8C">
        <w:rPr>
          <w:color w:val="000000" w:themeColor="text1"/>
          <w:lang w:val="en-US"/>
        </w:rPr>
        <w:t xml:space="preserve">pp. 429–434. </w:t>
      </w:r>
    </w:p>
    <w:p w14:paraId="627F5F71" w14:textId="77777777" w:rsidR="00A96CF7" w:rsidRPr="00147E8C" w:rsidRDefault="00A96CF7" w:rsidP="00A96CF7">
      <w:pPr>
        <w:spacing w:line="276" w:lineRule="auto"/>
        <w:rPr>
          <w:color w:val="000000" w:themeColor="text1"/>
          <w:lang w:val="en-US"/>
        </w:rPr>
      </w:pPr>
    </w:p>
    <w:p w14:paraId="4B7D6524" w14:textId="77777777" w:rsidR="00A96CF7" w:rsidRPr="00147E8C" w:rsidRDefault="00A96CF7" w:rsidP="00A96CF7">
      <w:pPr>
        <w:spacing w:line="276" w:lineRule="auto"/>
        <w:rPr>
          <w:color w:val="000000" w:themeColor="text1"/>
          <w:lang w:val="en-US"/>
        </w:rPr>
      </w:pPr>
      <w:r w:rsidRPr="00147E8C">
        <w:rPr>
          <w:color w:val="000000" w:themeColor="text1"/>
        </w:rPr>
        <w:t xml:space="preserve">Sen, A. (1999) </w:t>
      </w:r>
      <w:r w:rsidRPr="00147E8C">
        <w:rPr>
          <w:i/>
          <w:color w:val="000000" w:themeColor="text1"/>
        </w:rPr>
        <w:t>Development as freedom</w:t>
      </w:r>
      <w:r w:rsidRPr="00147E8C">
        <w:rPr>
          <w:color w:val="000000" w:themeColor="text1"/>
        </w:rPr>
        <w:t xml:space="preserve">. </w:t>
      </w:r>
      <w:r w:rsidRPr="00147E8C">
        <w:rPr>
          <w:color w:val="000000" w:themeColor="text1"/>
          <w:lang w:val="en-US"/>
        </w:rPr>
        <w:t xml:space="preserve">Oxford: Oxford University Press. </w:t>
      </w:r>
    </w:p>
    <w:p w14:paraId="249DEFEB" w14:textId="77777777" w:rsidR="00A96CF7" w:rsidRPr="00147E8C" w:rsidRDefault="00A96CF7" w:rsidP="00A96CF7">
      <w:pPr>
        <w:spacing w:line="276" w:lineRule="auto"/>
        <w:rPr>
          <w:color w:val="000000" w:themeColor="text1"/>
        </w:rPr>
      </w:pPr>
    </w:p>
    <w:p w14:paraId="5A09DC0B" w14:textId="77777777" w:rsidR="00A96CF7" w:rsidRPr="00147E8C" w:rsidRDefault="00A96CF7" w:rsidP="00A96CF7">
      <w:pPr>
        <w:spacing w:line="276" w:lineRule="auto"/>
        <w:rPr>
          <w:color w:val="000000" w:themeColor="text1"/>
        </w:rPr>
      </w:pPr>
      <w:r w:rsidRPr="00147E8C">
        <w:rPr>
          <w:color w:val="000000" w:themeColor="text1"/>
        </w:rPr>
        <w:t xml:space="preserve">Sen, A. (2002) </w:t>
      </w:r>
      <w:r w:rsidRPr="00147E8C">
        <w:rPr>
          <w:i/>
          <w:color w:val="000000" w:themeColor="text1"/>
        </w:rPr>
        <w:t>Rationality and Freedom</w:t>
      </w:r>
      <w:r w:rsidRPr="00147E8C">
        <w:rPr>
          <w:color w:val="000000" w:themeColor="text1"/>
        </w:rPr>
        <w:t>. Cambridge, MA: Harvard University Press.</w:t>
      </w:r>
    </w:p>
    <w:p w14:paraId="474B6B63" w14:textId="77777777" w:rsidR="00A96CF7" w:rsidRPr="00147E8C" w:rsidRDefault="00A96CF7" w:rsidP="00A96CF7">
      <w:pPr>
        <w:spacing w:line="276" w:lineRule="auto"/>
        <w:rPr>
          <w:color w:val="000000" w:themeColor="text1"/>
        </w:rPr>
      </w:pPr>
    </w:p>
    <w:p w14:paraId="33638331" w14:textId="77777777" w:rsidR="00A96CF7" w:rsidRPr="00147E8C" w:rsidRDefault="00A96CF7" w:rsidP="00A96CF7">
      <w:pPr>
        <w:spacing w:line="276" w:lineRule="auto"/>
        <w:rPr>
          <w:color w:val="000000" w:themeColor="text1"/>
          <w:shd w:val="clear" w:color="auto" w:fill="FFFFFF"/>
        </w:rPr>
      </w:pPr>
      <w:r w:rsidRPr="00147E8C">
        <w:rPr>
          <w:color w:val="000000" w:themeColor="text1"/>
        </w:rPr>
        <w:t xml:space="preserve">Sen, G. (1993) ‘Women’s empowerment and human rights: the challenge to policy’, in Graham-Smith, F. (eds) (1994) </w:t>
      </w:r>
      <w:r w:rsidRPr="00147E8C">
        <w:rPr>
          <w:i/>
          <w:color w:val="000000" w:themeColor="text1"/>
          <w:shd w:val="clear" w:color="auto" w:fill="FFFFFF"/>
        </w:rPr>
        <w:t>A report of the Population Summit of the world's scientific academies</w:t>
      </w:r>
      <w:r w:rsidRPr="00147E8C">
        <w:rPr>
          <w:color w:val="000000" w:themeColor="text1"/>
          <w:shd w:val="clear" w:color="auto" w:fill="FFFFFF"/>
        </w:rPr>
        <w:t xml:space="preserve">. London:  Royal Society, pp. 363-72. </w:t>
      </w:r>
    </w:p>
    <w:p w14:paraId="0BACBA8F" w14:textId="77777777" w:rsidR="00A96CF7" w:rsidRPr="00147E8C" w:rsidRDefault="00A96CF7" w:rsidP="00A96CF7">
      <w:pPr>
        <w:spacing w:line="276" w:lineRule="auto"/>
        <w:rPr>
          <w:color w:val="000000" w:themeColor="text1"/>
          <w:shd w:val="clear" w:color="auto" w:fill="FFFFFF"/>
        </w:rPr>
      </w:pPr>
    </w:p>
    <w:p w14:paraId="7C7DA58F" w14:textId="77777777" w:rsidR="00A96CF7" w:rsidRPr="00147E8C" w:rsidRDefault="00A96CF7" w:rsidP="00A96CF7">
      <w:pPr>
        <w:spacing w:line="276" w:lineRule="auto"/>
        <w:rPr>
          <w:color w:val="000000" w:themeColor="text1"/>
        </w:rPr>
      </w:pPr>
      <w:r w:rsidRPr="00147E8C">
        <w:rPr>
          <w:color w:val="000000" w:themeColor="text1"/>
        </w:rPr>
        <w:t xml:space="preserve">Sen, G., (1995) ‘Alternative economics from a gender perspective’, </w:t>
      </w:r>
      <w:r w:rsidRPr="00147E8C">
        <w:rPr>
          <w:i/>
          <w:color w:val="000000" w:themeColor="text1"/>
        </w:rPr>
        <w:t>Development</w:t>
      </w:r>
      <w:r w:rsidRPr="00147E8C">
        <w:rPr>
          <w:color w:val="000000" w:themeColor="text1"/>
        </w:rPr>
        <w:t xml:space="preserve">, 1, pp. 10-13. </w:t>
      </w:r>
    </w:p>
    <w:p w14:paraId="7B456631" w14:textId="77777777" w:rsidR="00A96CF7" w:rsidRPr="00147E8C" w:rsidRDefault="00A96CF7" w:rsidP="00A96CF7">
      <w:pPr>
        <w:spacing w:line="276" w:lineRule="auto"/>
        <w:rPr>
          <w:color w:val="000000" w:themeColor="text1"/>
        </w:rPr>
      </w:pPr>
    </w:p>
    <w:p w14:paraId="306E60C2" w14:textId="77777777" w:rsidR="00A96CF7" w:rsidRPr="00147E8C" w:rsidRDefault="00A96CF7" w:rsidP="00A96CF7">
      <w:pPr>
        <w:spacing w:line="276" w:lineRule="auto"/>
        <w:rPr>
          <w:color w:val="000000" w:themeColor="text1"/>
          <w:lang w:val="en-US"/>
        </w:rPr>
      </w:pPr>
      <w:r w:rsidRPr="00147E8C">
        <w:rPr>
          <w:color w:val="000000" w:themeColor="text1"/>
        </w:rPr>
        <w:t xml:space="preserve">Sen, G., Ostlin, P. and George, A. (2007) </w:t>
      </w:r>
      <w:r w:rsidRPr="00147E8C">
        <w:rPr>
          <w:i/>
          <w:iCs/>
          <w:color w:val="000000" w:themeColor="text1"/>
        </w:rPr>
        <w:t>Unequal, unfair, ineffective and inefficient. gender inequality in health: why it exists and how we can change it</w:t>
      </w:r>
      <w:r w:rsidRPr="00147E8C">
        <w:rPr>
          <w:color w:val="000000" w:themeColor="text1"/>
        </w:rPr>
        <w:t xml:space="preserve">. Final Report to the WHO Commission on Social Determinants of Health. </w:t>
      </w:r>
      <w:r w:rsidRPr="00147E8C">
        <w:rPr>
          <w:color w:val="000000" w:themeColor="text1"/>
          <w:lang w:val="en-US"/>
        </w:rPr>
        <w:t xml:space="preserve">Solna: Karolinska Institute. </w:t>
      </w:r>
    </w:p>
    <w:p w14:paraId="1582CF2A" w14:textId="77777777" w:rsidR="00A96CF7" w:rsidRPr="00147E8C" w:rsidRDefault="00A96CF7" w:rsidP="00A96CF7">
      <w:pPr>
        <w:spacing w:line="276" w:lineRule="auto"/>
        <w:rPr>
          <w:color w:val="000000" w:themeColor="text1"/>
        </w:rPr>
      </w:pPr>
    </w:p>
    <w:p w14:paraId="56524C2F" w14:textId="77777777" w:rsidR="00A96CF7" w:rsidRPr="00D0315F" w:rsidRDefault="00A96CF7" w:rsidP="00A96CF7">
      <w:pPr>
        <w:spacing w:line="276" w:lineRule="auto"/>
        <w:rPr>
          <w:color w:val="000000" w:themeColor="text1"/>
        </w:rPr>
      </w:pPr>
      <w:r w:rsidRPr="00147E8C">
        <w:rPr>
          <w:color w:val="000000" w:themeColor="text1"/>
        </w:rPr>
        <w:t xml:space="preserve">Sepulveda, M. (2013) </w:t>
      </w:r>
      <w:r w:rsidRPr="00147E8C">
        <w:rPr>
          <w:i/>
          <w:color w:val="000000" w:themeColor="text1"/>
        </w:rPr>
        <w:t xml:space="preserve">Report of the special rapporteur on extreme poverty and human rights: </w:t>
      </w:r>
      <w:r w:rsidRPr="00D0315F">
        <w:rPr>
          <w:i/>
          <w:color w:val="000000" w:themeColor="text1"/>
        </w:rPr>
        <w:t>unpaid care work and women's human rights</w:t>
      </w:r>
      <w:r w:rsidRPr="00D0315F">
        <w:rPr>
          <w:color w:val="000000" w:themeColor="text1"/>
        </w:rPr>
        <w:t>. [Online]. Available from SSRN: </w:t>
      </w:r>
      <w:hyperlink r:id="rId72" w:history="1">
        <w:r w:rsidRPr="00D0315F">
          <w:rPr>
            <w:rStyle w:val="Hyperlink"/>
            <w:rFonts w:eastAsiaTheme="majorEastAsia"/>
            <w:color w:val="000000" w:themeColor="text1"/>
            <w:u w:val="none"/>
          </w:rPr>
          <w:t>https://ssrn.com/abstract=2437791</w:t>
        </w:r>
      </w:hyperlink>
      <w:r w:rsidRPr="00D0315F">
        <w:rPr>
          <w:color w:val="000000" w:themeColor="text1"/>
        </w:rPr>
        <w:t>. [Accessed: 27th August 2017].</w:t>
      </w:r>
    </w:p>
    <w:p w14:paraId="2E417D51" w14:textId="77777777" w:rsidR="00A96CF7" w:rsidRPr="00D0315F" w:rsidRDefault="00A96CF7" w:rsidP="00A96CF7">
      <w:pPr>
        <w:spacing w:line="276" w:lineRule="auto"/>
        <w:rPr>
          <w:color w:val="000000" w:themeColor="text1"/>
          <w:lang w:val="en-US"/>
        </w:rPr>
      </w:pPr>
    </w:p>
    <w:p w14:paraId="217168E4" w14:textId="77777777" w:rsidR="00A96CF7" w:rsidRPr="00D0315F" w:rsidRDefault="00A96CF7" w:rsidP="00A96CF7">
      <w:pPr>
        <w:spacing w:line="276" w:lineRule="auto"/>
        <w:rPr>
          <w:color w:val="000000" w:themeColor="text1"/>
        </w:rPr>
      </w:pPr>
      <w:r w:rsidRPr="00D0315F">
        <w:rPr>
          <w:color w:val="000000" w:themeColor="text1"/>
        </w:rPr>
        <w:t xml:space="preserve">Shields, S. (2008). ‘Gender: an intersectionality perspective’, </w:t>
      </w:r>
      <w:r w:rsidRPr="00D0315F">
        <w:rPr>
          <w:i/>
          <w:iCs/>
          <w:color w:val="000000" w:themeColor="text1"/>
        </w:rPr>
        <w:t>Sex Roles</w:t>
      </w:r>
      <w:r w:rsidRPr="00D0315F">
        <w:rPr>
          <w:color w:val="000000" w:themeColor="text1"/>
        </w:rPr>
        <w:t>, 59 (5-6), pp.301-311.</w:t>
      </w:r>
    </w:p>
    <w:p w14:paraId="16D1ABDA" w14:textId="77777777" w:rsidR="00A96CF7" w:rsidRPr="00D0315F" w:rsidRDefault="00A96CF7" w:rsidP="00A96CF7">
      <w:pPr>
        <w:spacing w:line="276" w:lineRule="auto"/>
        <w:rPr>
          <w:color w:val="000000" w:themeColor="text1"/>
        </w:rPr>
      </w:pPr>
    </w:p>
    <w:p w14:paraId="04BA8671" w14:textId="77777777" w:rsidR="00A96CF7" w:rsidRPr="00D0315F" w:rsidRDefault="00A96CF7" w:rsidP="00A96CF7">
      <w:pPr>
        <w:spacing w:line="276" w:lineRule="auto"/>
        <w:rPr>
          <w:color w:val="000000" w:themeColor="text1"/>
        </w:rPr>
      </w:pPr>
      <w:r w:rsidRPr="00D0315F">
        <w:rPr>
          <w:color w:val="000000" w:themeColor="text1"/>
        </w:rPr>
        <w:lastRenderedPageBreak/>
        <w:t xml:space="preserve">Shreck, A. (2002) ‘Just bananas? Fair trade banana production in the Dominican Republic’, </w:t>
      </w:r>
      <w:r w:rsidRPr="00D0315F">
        <w:rPr>
          <w:i/>
          <w:color w:val="000000" w:themeColor="text1"/>
        </w:rPr>
        <w:t>International Journal of Sociology of Agriculture and Food</w:t>
      </w:r>
      <w:r w:rsidRPr="00D0315F">
        <w:rPr>
          <w:color w:val="000000" w:themeColor="text1"/>
        </w:rPr>
        <w:t>, 10 (2), pp.13–23.</w:t>
      </w:r>
    </w:p>
    <w:p w14:paraId="40185716" w14:textId="77777777" w:rsidR="00426335" w:rsidRDefault="00426335" w:rsidP="00A96CF7">
      <w:pPr>
        <w:spacing w:line="276" w:lineRule="auto"/>
        <w:rPr>
          <w:color w:val="000000" w:themeColor="text1"/>
        </w:rPr>
      </w:pPr>
    </w:p>
    <w:p w14:paraId="02C45207" w14:textId="29872161" w:rsidR="00A96CF7" w:rsidRPr="00D0315F" w:rsidRDefault="00A96CF7" w:rsidP="00A96CF7">
      <w:pPr>
        <w:spacing w:line="276" w:lineRule="auto"/>
        <w:rPr>
          <w:i/>
          <w:iCs/>
          <w:color w:val="000000" w:themeColor="text1"/>
          <w:lang w:val="es-NI"/>
        </w:rPr>
      </w:pPr>
      <w:r w:rsidRPr="00D0315F">
        <w:rPr>
          <w:color w:val="000000" w:themeColor="text1"/>
        </w:rPr>
        <w:t xml:space="preserve">Simon, B. L (1994) </w:t>
      </w:r>
      <w:r w:rsidRPr="00D0315F">
        <w:rPr>
          <w:i/>
          <w:iCs/>
          <w:color w:val="000000" w:themeColor="text1"/>
        </w:rPr>
        <w:t>The empowerment tradition in American social work: a history. </w:t>
      </w:r>
      <w:r w:rsidRPr="00D0315F">
        <w:rPr>
          <w:color w:val="000000" w:themeColor="text1"/>
          <w:lang w:val="es-NI"/>
        </w:rPr>
        <w:t>New York: Columbia University Press</w:t>
      </w:r>
    </w:p>
    <w:p w14:paraId="408B9A21" w14:textId="77777777" w:rsidR="00A96CF7" w:rsidRPr="00D0315F" w:rsidRDefault="00A96CF7" w:rsidP="00A96CF7">
      <w:pPr>
        <w:spacing w:line="276" w:lineRule="auto"/>
        <w:rPr>
          <w:color w:val="000000" w:themeColor="text1"/>
          <w:lang w:val="es-NI"/>
        </w:rPr>
      </w:pPr>
    </w:p>
    <w:p w14:paraId="46A4B7AF" w14:textId="09D11DB3" w:rsidR="00A96CF7" w:rsidRPr="00D0315F" w:rsidRDefault="00A96CF7" w:rsidP="00A96CF7">
      <w:pPr>
        <w:spacing w:line="276" w:lineRule="auto"/>
        <w:rPr>
          <w:color w:val="000000" w:themeColor="text1"/>
          <w:lang w:val="en-US"/>
        </w:rPr>
      </w:pPr>
      <w:r w:rsidRPr="00D0315F">
        <w:rPr>
          <w:color w:val="000000" w:themeColor="text1"/>
          <w:lang w:val="es-NI"/>
        </w:rPr>
        <w:t xml:space="preserve">Sistema Nacional para el Bienestar Social [No date] </w:t>
      </w:r>
      <w:r w:rsidRPr="00D0315F">
        <w:rPr>
          <w:i/>
          <w:color w:val="000000" w:themeColor="text1"/>
          <w:lang w:val="es-NI"/>
        </w:rPr>
        <w:t xml:space="preserve">Programa Amor </w:t>
      </w:r>
      <w:r w:rsidRPr="00D0315F">
        <w:rPr>
          <w:color w:val="000000" w:themeColor="text1"/>
          <w:lang w:val="es-NI"/>
        </w:rPr>
        <w:t xml:space="preserve">[Online]. Managua: Ministerio de la Familia, Adolescencia y Niñez. </w:t>
      </w:r>
      <w:r w:rsidRPr="00D0315F">
        <w:rPr>
          <w:color w:val="000000" w:themeColor="text1"/>
          <w:lang w:val="en-US"/>
        </w:rPr>
        <w:t xml:space="preserve">Available from:  </w:t>
      </w:r>
      <w:r w:rsidRPr="00D0315F">
        <w:rPr>
          <w:rStyle w:val="Hyperlink"/>
          <w:rFonts w:eastAsiaTheme="majorEastAsia"/>
          <w:color w:val="000000" w:themeColor="text1"/>
          <w:u w:val="none"/>
        </w:rPr>
        <w:t>http://www.mifamilia.gob.ni/?page_id=239 [Accessed: 16 July 2017</w:t>
      </w:r>
      <w:r w:rsidRPr="00D0315F">
        <w:rPr>
          <w:color w:val="000000" w:themeColor="text1"/>
          <w:lang w:val="en-US"/>
        </w:rPr>
        <w:t>].</w:t>
      </w:r>
    </w:p>
    <w:p w14:paraId="3827A14C" w14:textId="77777777" w:rsidR="00A96CF7" w:rsidRPr="00D0315F" w:rsidRDefault="00A96CF7" w:rsidP="00A96CF7">
      <w:pPr>
        <w:spacing w:line="276" w:lineRule="auto"/>
        <w:rPr>
          <w:color w:val="000000" w:themeColor="text1"/>
          <w:lang w:val="en-US"/>
        </w:rPr>
      </w:pPr>
    </w:p>
    <w:p w14:paraId="6363A996" w14:textId="77777777" w:rsidR="00A96CF7" w:rsidRPr="00D0315F" w:rsidRDefault="00A96CF7" w:rsidP="00A96CF7">
      <w:pPr>
        <w:spacing w:line="276" w:lineRule="auto"/>
        <w:rPr>
          <w:color w:val="000000" w:themeColor="text1"/>
          <w:lang w:val="en-US"/>
        </w:rPr>
      </w:pPr>
      <w:r w:rsidRPr="00D0315F">
        <w:rPr>
          <w:color w:val="000000" w:themeColor="text1"/>
        </w:rPr>
        <w:t xml:space="preserve">Skeggs, B. (1994) ‘Situating the production of feminist ethnography’, in Maynard, M. and Purvis, J. (eds.) </w:t>
      </w:r>
      <w:r w:rsidRPr="00D0315F">
        <w:rPr>
          <w:i/>
          <w:iCs/>
          <w:color w:val="000000" w:themeColor="text1"/>
        </w:rPr>
        <w:t xml:space="preserve">Researching women’s lives from a feminist perspective. </w:t>
      </w:r>
      <w:r w:rsidRPr="00D0315F">
        <w:rPr>
          <w:color w:val="000000" w:themeColor="text1"/>
          <w:lang w:val="en-US"/>
        </w:rPr>
        <w:t xml:space="preserve">London, England: Taylor &amp; Francis. </w:t>
      </w:r>
      <w:r w:rsidRPr="00D0315F">
        <w:rPr>
          <w:color w:val="000000" w:themeColor="text1"/>
        </w:rPr>
        <w:t>pp. 72–92</w:t>
      </w:r>
    </w:p>
    <w:p w14:paraId="016DDC8D" w14:textId="77777777" w:rsidR="00A96CF7" w:rsidRPr="00D0315F" w:rsidRDefault="00A96CF7" w:rsidP="00A96CF7">
      <w:pPr>
        <w:spacing w:line="276" w:lineRule="auto"/>
        <w:rPr>
          <w:color w:val="000000" w:themeColor="text1"/>
        </w:rPr>
      </w:pPr>
    </w:p>
    <w:p w14:paraId="6EB2C6C4" w14:textId="77777777" w:rsidR="00A96CF7" w:rsidRPr="00D0315F" w:rsidRDefault="00A96CF7" w:rsidP="00A96CF7">
      <w:pPr>
        <w:spacing w:line="276" w:lineRule="auto"/>
        <w:rPr>
          <w:color w:val="000000" w:themeColor="text1"/>
          <w:lang w:val="en-US"/>
        </w:rPr>
      </w:pPr>
      <w:r w:rsidRPr="00D0315F">
        <w:rPr>
          <w:color w:val="000000" w:themeColor="text1"/>
          <w:lang w:val="en-US"/>
        </w:rPr>
        <w:t xml:space="preserve">Smith, S., (2013) ‘Assessing the gender impacts of Fairtrade’, </w:t>
      </w:r>
      <w:r w:rsidRPr="00D0315F">
        <w:rPr>
          <w:i/>
          <w:iCs/>
          <w:color w:val="000000" w:themeColor="text1"/>
          <w:lang w:val="en-US"/>
        </w:rPr>
        <w:t>Social Enterprise Journal</w:t>
      </w:r>
      <w:r w:rsidRPr="00D0315F">
        <w:rPr>
          <w:color w:val="000000" w:themeColor="text1"/>
          <w:lang w:val="en-US"/>
        </w:rPr>
        <w:t xml:space="preserve"> 9, pp. 102–22.</w:t>
      </w:r>
    </w:p>
    <w:p w14:paraId="5B803A39" w14:textId="77777777" w:rsidR="00A96CF7" w:rsidRPr="00147E8C" w:rsidRDefault="00A96CF7" w:rsidP="00A96CF7">
      <w:pPr>
        <w:spacing w:line="276" w:lineRule="auto"/>
        <w:rPr>
          <w:color w:val="000000" w:themeColor="text1"/>
          <w:lang w:val="en-US"/>
        </w:rPr>
      </w:pPr>
    </w:p>
    <w:p w14:paraId="61468D2C" w14:textId="77777777" w:rsidR="00A96CF7" w:rsidRPr="00D0315F" w:rsidRDefault="00A96CF7" w:rsidP="00A96CF7">
      <w:pPr>
        <w:spacing w:line="276" w:lineRule="auto"/>
        <w:rPr>
          <w:color w:val="000000" w:themeColor="text1"/>
        </w:rPr>
      </w:pPr>
      <w:r w:rsidRPr="00147E8C">
        <w:rPr>
          <w:color w:val="000000" w:themeColor="text1"/>
        </w:rPr>
        <w:t xml:space="preserve">SCAA (2015) A blueprint for gender equality in the coffeelands. [Online].  SCAA, pp. 1-19. </w:t>
      </w:r>
      <w:r w:rsidRPr="00D0315F">
        <w:rPr>
          <w:color w:val="000000" w:themeColor="text1"/>
        </w:rPr>
        <w:t>Available from:</w:t>
      </w:r>
    </w:p>
    <w:p w14:paraId="6AA2C379" w14:textId="77777777" w:rsidR="00A96CF7" w:rsidRPr="00D0315F" w:rsidRDefault="0082537D" w:rsidP="00A96CF7">
      <w:pPr>
        <w:spacing w:line="276" w:lineRule="auto"/>
        <w:rPr>
          <w:color w:val="000000" w:themeColor="text1"/>
          <w:shd w:val="clear" w:color="auto" w:fill="FFFFFF"/>
        </w:rPr>
      </w:pPr>
      <w:hyperlink r:id="rId73" w:history="1">
        <w:r w:rsidR="00A96CF7" w:rsidRPr="00D0315F">
          <w:rPr>
            <w:rStyle w:val="Hyperlink"/>
            <w:rFonts w:eastAsiaTheme="majorEastAsia"/>
            <w:color w:val="000000" w:themeColor="text1"/>
            <w:u w:val="none"/>
          </w:rPr>
          <w:t>https://www.scaa.org/PDF/scaa-white-paper-gender-equality.pdf</w:t>
        </w:r>
      </w:hyperlink>
      <w:r w:rsidR="00A96CF7" w:rsidRPr="00D0315F">
        <w:rPr>
          <w:color w:val="000000" w:themeColor="text1"/>
        </w:rPr>
        <w:t xml:space="preserve"> [Accessed 9th June 2017]. </w:t>
      </w:r>
    </w:p>
    <w:p w14:paraId="0131E7C8" w14:textId="77777777" w:rsidR="00A96CF7" w:rsidRPr="00D0315F" w:rsidRDefault="00A96CF7" w:rsidP="00A96CF7">
      <w:pPr>
        <w:spacing w:line="276" w:lineRule="auto"/>
        <w:rPr>
          <w:color w:val="000000" w:themeColor="text1"/>
          <w:lang w:val="en-US"/>
        </w:rPr>
      </w:pPr>
    </w:p>
    <w:p w14:paraId="72958991" w14:textId="77777777" w:rsidR="00A96CF7" w:rsidRPr="00D0315F" w:rsidRDefault="00A96CF7" w:rsidP="00A96CF7">
      <w:pPr>
        <w:spacing w:line="276" w:lineRule="auto"/>
        <w:rPr>
          <w:color w:val="000000" w:themeColor="text1"/>
          <w:lang w:val="en-US"/>
        </w:rPr>
      </w:pPr>
      <w:r w:rsidRPr="00D0315F">
        <w:rPr>
          <w:color w:val="000000" w:themeColor="text1"/>
        </w:rPr>
        <w:t xml:space="preserve">Spivak, G.C. (2006) </w:t>
      </w:r>
      <w:r w:rsidRPr="00D0315F">
        <w:rPr>
          <w:i/>
          <w:iCs/>
          <w:color w:val="000000" w:themeColor="text1"/>
        </w:rPr>
        <w:t>In other worlds</w:t>
      </w:r>
      <w:r w:rsidRPr="00D0315F">
        <w:rPr>
          <w:color w:val="000000" w:themeColor="text1"/>
        </w:rPr>
        <w:t xml:space="preserve">. </w:t>
      </w:r>
      <w:r w:rsidRPr="00D0315F">
        <w:rPr>
          <w:color w:val="000000" w:themeColor="text1"/>
          <w:lang w:val="en-US"/>
        </w:rPr>
        <w:t>London: Routledge</w:t>
      </w:r>
    </w:p>
    <w:p w14:paraId="6DCB7C6E" w14:textId="77777777" w:rsidR="00A96CF7" w:rsidRPr="00D0315F" w:rsidRDefault="00A96CF7" w:rsidP="00A96CF7">
      <w:pPr>
        <w:spacing w:line="276" w:lineRule="auto"/>
        <w:rPr>
          <w:color w:val="000000" w:themeColor="text1"/>
          <w:lang w:val="en-US"/>
        </w:rPr>
      </w:pPr>
    </w:p>
    <w:p w14:paraId="32717DF9" w14:textId="77777777" w:rsidR="00A96CF7" w:rsidRPr="00147E8C" w:rsidRDefault="00A96CF7" w:rsidP="00A96CF7">
      <w:pPr>
        <w:spacing w:line="276" w:lineRule="auto"/>
        <w:rPr>
          <w:color w:val="000000" w:themeColor="text1"/>
          <w:lang w:val="en-US"/>
        </w:rPr>
      </w:pPr>
      <w:r w:rsidRPr="00147E8C">
        <w:rPr>
          <w:color w:val="000000" w:themeColor="text1"/>
        </w:rPr>
        <w:t xml:space="preserve">Stacey, J. (1988) ‘Can there be a feminist ethnography?’, </w:t>
      </w:r>
      <w:r w:rsidRPr="00147E8C">
        <w:rPr>
          <w:i/>
          <w:iCs/>
          <w:color w:val="000000" w:themeColor="text1"/>
          <w:lang w:val="en-US"/>
        </w:rPr>
        <w:t>Women’s Studies International Forum,</w:t>
      </w:r>
      <w:r w:rsidRPr="00147E8C">
        <w:rPr>
          <w:color w:val="000000" w:themeColor="text1"/>
          <w:lang w:val="en-US"/>
        </w:rPr>
        <w:t xml:space="preserve"> 11(1), pp 21-27. </w:t>
      </w:r>
    </w:p>
    <w:p w14:paraId="46FA9698" w14:textId="77777777" w:rsidR="00A96CF7" w:rsidRPr="00147E8C" w:rsidRDefault="00A96CF7" w:rsidP="00A96CF7">
      <w:pPr>
        <w:spacing w:line="276" w:lineRule="auto"/>
        <w:rPr>
          <w:color w:val="000000" w:themeColor="text1"/>
          <w:lang w:val="en-US"/>
        </w:rPr>
      </w:pPr>
    </w:p>
    <w:p w14:paraId="16701698" w14:textId="77777777" w:rsidR="00A96CF7" w:rsidRPr="00147E8C" w:rsidRDefault="00A96CF7" w:rsidP="00A96CF7">
      <w:pPr>
        <w:spacing w:line="276" w:lineRule="auto"/>
        <w:rPr>
          <w:color w:val="000000" w:themeColor="text1"/>
          <w:lang w:val="en-US"/>
        </w:rPr>
      </w:pPr>
      <w:r w:rsidRPr="00147E8C">
        <w:rPr>
          <w:color w:val="000000" w:themeColor="text1"/>
        </w:rPr>
        <w:t xml:space="preserve">Stanley, L. and Wise, S. (1993) </w:t>
      </w:r>
      <w:r w:rsidRPr="00147E8C">
        <w:rPr>
          <w:i/>
          <w:iCs/>
          <w:color w:val="000000" w:themeColor="text1"/>
        </w:rPr>
        <w:t>Breaking out again: feminist ontology and epistemology</w:t>
      </w:r>
      <w:r w:rsidRPr="00147E8C">
        <w:rPr>
          <w:color w:val="000000" w:themeColor="text1"/>
        </w:rPr>
        <w:t xml:space="preserve">. </w:t>
      </w:r>
      <w:r w:rsidRPr="00147E8C">
        <w:rPr>
          <w:color w:val="000000" w:themeColor="text1"/>
          <w:lang w:val="en-US"/>
        </w:rPr>
        <w:t>London and New York: Routledge. </w:t>
      </w:r>
    </w:p>
    <w:p w14:paraId="651F82BC"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Stevens, E.P. (1973). ‘Marianismo: The other face of machismo in Latin America’, in Pescatello, A. (ed.), </w:t>
      </w:r>
      <w:r w:rsidRPr="00147E8C">
        <w:rPr>
          <w:i/>
          <w:color w:val="000000" w:themeColor="text1"/>
        </w:rPr>
        <w:t>Female and male in Latin America</w:t>
      </w:r>
      <w:r w:rsidRPr="00147E8C">
        <w:rPr>
          <w:color w:val="000000" w:themeColor="text1"/>
        </w:rPr>
        <w:t>. Pitsburgh: University of Pitsburgh Press.pp. 89-101.</w:t>
      </w:r>
    </w:p>
    <w:p w14:paraId="04E74503" w14:textId="77777777" w:rsidR="00A96CF7" w:rsidRPr="00D0315F" w:rsidRDefault="00A96CF7" w:rsidP="00A96CF7">
      <w:pPr>
        <w:spacing w:line="276" w:lineRule="auto"/>
        <w:rPr>
          <w:color w:val="000000" w:themeColor="text1"/>
        </w:rPr>
      </w:pPr>
      <w:r w:rsidRPr="00D0315F">
        <w:rPr>
          <w:rStyle w:val="Hyperlink"/>
          <w:rFonts w:eastAsiaTheme="majorEastAsia"/>
          <w:color w:val="000000" w:themeColor="text1"/>
          <w:u w:val="none"/>
        </w:rPr>
        <w:t>Stiglitz, J., Sen, A. and Fitoussi, J.P. (2007), Report on the Commission on the Measurement of Economic Performance and Social Progress.  Paris: Commission on the Measurement of Economic Performance and Social Progress, Paris. Available at: http://www.stiglitz-sen-fitoussi.fr/. [Accessed 3</w:t>
      </w:r>
      <w:r w:rsidRPr="00D0315F">
        <w:rPr>
          <w:rStyle w:val="Hyperlink"/>
          <w:rFonts w:eastAsiaTheme="majorEastAsia"/>
          <w:color w:val="000000" w:themeColor="text1"/>
          <w:u w:val="none"/>
          <w:vertAlign w:val="superscript"/>
        </w:rPr>
        <w:t>rd</w:t>
      </w:r>
      <w:r w:rsidRPr="00D0315F">
        <w:rPr>
          <w:rStyle w:val="Hyperlink"/>
          <w:rFonts w:eastAsiaTheme="majorEastAsia"/>
          <w:color w:val="000000" w:themeColor="text1"/>
          <w:u w:val="none"/>
        </w:rPr>
        <w:t xml:space="preserve"> June 2017].</w:t>
      </w:r>
    </w:p>
    <w:p w14:paraId="374F27FB" w14:textId="77777777" w:rsidR="00A96CF7" w:rsidRPr="00D0315F" w:rsidRDefault="00A96CF7" w:rsidP="00A96CF7">
      <w:pPr>
        <w:spacing w:line="276" w:lineRule="auto"/>
        <w:rPr>
          <w:color w:val="000000" w:themeColor="text1"/>
        </w:rPr>
      </w:pPr>
    </w:p>
    <w:p w14:paraId="72BDA23F" w14:textId="77777777" w:rsidR="00A96CF7" w:rsidRPr="00D0315F" w:rsidRDefault="00A96CF7" w:rsidP="00A96CF7">
      <w:pPr>
        <w:spacing w:line="276" w:lineRule="auto"/>
        <w:rPr>
          <w:color w:val="000000" w:themeColor="text1"/>
          <w:lang w:val="en-US"/>
        </w:rPr>
      </w:pPr>
      <w:r w:rsidRPr="00D0315F">
        <w:rPr>
          <w:color w:val="000000" w:themeColor="text1"/>
        </w:rPr>
        <w:t xml:space="preserve">Stromquist, N. P. (2002). ‘Education as a means for empowering women’ in Papart, J., Rai, S.M. and Staudt, K.(eds) </w:t>
      </w:r>
      <w:r w:rsidRPr="00D0315F">
        <w:rPr>
          <w:i/>
          <w:color w:val="000000" w:themeColor="text1"/>
        </w:rPr>
        <w:t>Rethinking empowerment</w:t>
      </w:r>
      <w:r w:rsidRPr="00D0315F">
        <w:rPr>
          <w:color w:val="000000" w:themeColor="text1"/>
        </w:rPr>
        <w:t xml:space="preserve">. </w:t>
      </w:r>
      <w:r w:rsidRPr="00D0315F">
        <w:rPr>
          <w:color w:val="000000" w:themeColor="text1"/>
          <w:lang w:val="en-US"/>
        </w:rPr>
        <w:t xml:space="preserve">London: Routledge, pp.22-38. </w:t>
      </w:r>
    </w:p>
    <w:p w14:paraId="70063176" w14:textId="77777777" w:rsidR="00A96CF7" w:rsidRPr="00D0315F" w:rsidRDefault="00A96CF7" w:rsidP="00A96CF7">
      <w:pPr>
        <w:spacing w:line="276" w:lineRule="auto"/>
        <w:rPr>
          <w:color w:val="000000" w:themeColor="text1"/>
          <w:lang w:val="en-US"/>
        </w:rPr>
      </w:pPr>
    </w:p>
    <w:p w14:paraId="38A46F55" w14:textId="77777777" w:rsidR="00A96CF7" w:rsidRPr="00147E8C" w:rsidRDefault="00A96CF7" w:rsidP="00A96CF7">
      <w:pPr>
        <w:spacing w:line="276" w:lineRule="auto"/>
        <w:rPr>
          <w:color w:val="000000" w:themeColor="text1"/>
          <w:spacing w:val="2"/>
          <w:kern w:val="36"/>
        </w:rPr>
      </w:pPr>
      <w:r w:rsidRPr="00D0315F">
        <w:rPr>
          <w:color w:val="000000" w:themeColor="text1"/>
          <w:spacing w:val="2"/>
          <w:kern w:val="36"/>
        </w:rPr>
        <w:lastRenderedPageBreak/>
        <w:t xml:space="preserve">Sweetman, C. (2005) ‘Editorial’, in Sweetman, C. (ed.) </w:t>
      </w:r>
      <w:r w:rsidRPr="00D0315F">
        <w:rPr>
          <w:i/>
          <w:color w:val="000000" w:themeColor="text1"/>
          <w:spacing w:val="2"/>
          <w:kern w:val="36"/>
        </w:rPr>
        <w:t>Gender and the Millennium</w:t>
      </w:r>
      <w:r w:rsidRPr="00147E8C">
        <w:rPr>
          <w:i/>
          <w:color w:val="000000" w:themeColor="text1"/>
          <w:spacing w:val="2"/>
          <w:kern w:val="36"/>
        </w:rPr>
        <w:t xml:space="preserve"> Development Goals</w:t>
      </w:r>
      <w:r w:rsidRPr="00147E8C">
        <w:rPr>
          <w:color w:val="000000" w:themeColor="text1"/>
          <w:spacing w:val="2"/>
          <w:kern w:val="36"/>
        </w:rPr>
        <w:t>. Oxford: Oxfam. pp. 2-8.</w:t>
      </w:r>
    </w:p>
    <w:p w14:paraId="174FE646" w14:textId="77777777" w:rsidR="00A96CF7" w:rsidRPr="00147E8C" w:rsidRDefault="00A96CF7" w:rsidP="00A96CF7">
      <w:pPr>
        <w:spacing w:line="276" w:lineRule="auto"/>
        <w:rPr>
          <w:color w:val="000000" w:themeColor="text1"/>
          <w:lang w:val="en-US"/>
        </w:rPr>
      </w:pPr>
    </w:p>
    <w:p w14:paraId="6F41CF76" w14:textId="77777777" w:rsidR="00A96CF7" w:rsidRPr="00147E8C" w:rsidRDefault="00A96CF7" w:rsidP="00A96CF7">
      <w:pPr>
        <w:spacing w:line="276" w:lineRule="auto"/>
        <w:rPr>
          <w:color w:val="000000" w:themeColor="text1"/>
          <w:lang w:val="en-US"/>
        </w:rPr>
      </w:pPr>
      <w:r w:rsidRPr="00147E8C">
        <w:rPr>
          <w:color w:val="000000" w:themeColor="text1"/>
        </w:rPr>
        <w:t xml:space="preserve">Tabbush, C. (2009) ‘Is Latin America sacrificing poor women in the name of social integration’, </w:t>
      </w:r>
      <w:r w:rsidRPr="00147E8C">
        <w:rPr>
          <w:i/>
          <w:color w:val="000000" w:themeColor="text1"/>
          <w:lang w:val="en-US"/>
        </w:rPr>
        <w:t>Global Social Policy</w:t>
      </w:r>
      <w:r w:rsidRPr="00147E8C">
        <w:rPr>
          <w:color w:val="000000" w:themeColor="text1"/>
          <w:lang w:val="en-US"/>
        </w:rPr>
        <w:t>, 29 (9), pp 29-31.</w:t>
      </w:r>
    </w:p>
    <w:p w14:paraId="4AC0DF5F" w14:textId="77777777" w:rsidR="00A96CF7" w:rsidRPr="00147E8C" w:rsidRDefault="00A96CF7" w:rsidP="00A96CF7">
      <w:pPr>
        <w:spacing w:line="276" w:lineRule="auto"/>
        <w:rPr>
          <w:color w:val="000000" w:themeColor="text1"/>
          <w:lang w:val="en-US"/>
        </w:rPr>
      </w:pPr>
    </w:p>
    <w:p w14:paraId="644622F1" w14:textId="77777777" w:rsidR="00A96CF7" w:rsidRPr="00147E8C" w:rsidRDefault="00A96CF7" w:rsidP="00A96CF7">
      <w:pPr>
        <w:spacing w:line="276" w:lineRule="auto"/>
        <w:rPr>
          <w:color w:val="000000" w:themeColor="text1"/>
          <w:lang w:val="en-US"/>
        </w:rPr>
      </w:pPr>
      <w:r w:rsidRPr="00147E8C">
        <w:rPr>
          <w:color w:val="000000" w:themeColor="text1"/>
        </w:rPr>
        <w:t xml:space="preserve">Tabbush, C. (2010) ‘Latin American women's protection after adjustment: a feminist critique of conditional cash transfers in Chile and Argentina’, </w:t>
      </w:r>
      <w:r w:rsidRPr="00147E8C">
        <w:rPr>
          <w:i/>
          <w:iCs/>
          <w:color w:val="000000" w:themeColor="text1"/>
          <w:lang w:val="en-US"/>
        </w:rPr>
        <w:t>Oxford Development Studies</w:t>
      </w:r>
      <w:r w:rsidRPr="00147E8C">
        <w:rPr>
          <w:color w:val="000000" w:themeColor="text1"/>
          <w:lang w:val="en-US"/>
        </w:rPr>
        <w:t>, 38 (4), pp.437–459.</w:t>
      </w:r>
    </w:p>
    <w:p w14:paraId="71B752D0" w14:textId="77777777" w:rsidR="00A96CF7" w:rsidRPr="00147E8C" w:rsidRDefault="00A96CF7" w:rsidP="00A96CF7">
      <w:pPr>
        <w:spacing w:line="276" w:lineRule="auto"/>
        <w:rPr>
          <w:color w:val="000000" w:themeColor="text1"/>
          <w:lang w:val="en-US"/>
        </w:rPr>
      </w:pPr>
    </w:p>
    <w:p w14:paraId="20F0D88C" w14:textId="77777777" w:rsidR="00A96CF7" w:rsidRPr="00147E8C" w:rsidRDefault="00A96CF7" w:rsidP="00A96CF7">
      <w:pPr>
        <w:spacing w:line="276" w:lineRule="auto"/>
        <w:rPr>
          <w:color w:val="000000" w:themeColor="text1"/>
        </w:rPr>
      </w:pPr>
      <w:r w:rsidRPr="00147E8C">
        <w:rPr>
          <w:color w:val="000000" w:themeColor="text1"/>
        </w:rPr>
        <w:t xml:space="preserve">Tallontire, A., Smith, S. and Njobvu, C. (2004) </w:t>
      </w:r>
      <w:r w:rsidRPr="00147E8C">
        <w:rPr>
          <w:i/>
          <w:color w:val="000000" w:themeColor="text1"/>
        </w:rPr>
        <w:t>Ethical trade in african horticulture: gender, rights, and participation (Final report on the Zambia study).</w:t>
      </w:r>
      <w:r w:rsidRPr="00147E8C">
        <w:rPr>
          <w:color w:val="000000" w:themeColor="text1"/>
        </w:rPr>
        <w:t xml:space="preserve"> </w:t>
      </w:r>
      <w:r w:rsidRPr="00147E8C">
        <w:rPr>
          <w:color w:val="000000" w:themeColor="text1"/>
          <w:lang w:val="en-US"/>
        </w:rPr>
        <w:t>NRO Report 2775. Greenwich: University of Greenwich.</w:t>
      </w:r>
      <w:r w:rsidRPr="00147E8C">
        <w:rPr>
          <w:color w:val="000000" w:themeColor="text1"/>
        </w:rPr>
        <w:t xml:space="preserve"> </w:t>
      </w:r>
    </w:p>
    <w:p w14:paraId="52B02463" w14:textId="77777777" w:rsidR="00A96CF7" w:rsidRPr="00147E8C" w:rsidRDefault="00A96CF7" w:rsidP="00A96CF7">
      <w:pPr>
        <w:pStyle w:val="NormalWeb"/>
        <w:spacing w:line="276" w:lineRule="auto"/>
        <w:rPr>
          <w:color w:val="000000" w:themeColor="text1"/>
        </w:rPr>
      </w:pPr>
      <w:r w:rsidRPr="00147E8C">
        <w:rPr>
          <w:color w:val="000000" w:themeColor="text1"/>
        </w:rPr>
        <w:t xml:space="preserve">Taylor, C. (2012) </w:t>
      </w:r>
      <w:r w:rsidRPr="00147E8C">
        <w:rPr>
          <w:b/>
          <w:bCs/>
          <w:i/>
          <w:iCs/>
          <w:color w:val="000000" w:themeColor="text1"/>
        </w:rPr>
        <w:t>‘</w:t>
      </w:r>
      <w:r w:rsidRPr="00147E8C">
        <w:rPr>
          <w:color w:val="000000" w:themeColor="text1"/>
        </w:rPr>
        <w:t xml:space="preserve">Foucault and familial power’, </w:t>
      </w:r>
      <w:r w:rsidRPr="00147E8C">
        <w:rPr>
          <w:i/>
          <w:color w:val="000000" w:themeColor="text1"/>
        </w:rPr>
        <w:t>Hypatia</w:t>
      </w:r>
      <w:r w:rsidRPr="00147E8C">
        <w:rPr>
          <w:color w:val="000000" w:themeColor="text1"/>
        </w:rPr>
        <w:t xml:space="preserve"> 27 (1), pp. 201-218.  </w:t>
      </w:r>
    </w:p>
    <w:p w14:paraId="4A70C647" w14:textId="13FDE240" w:rsidR="00A96CF7" w:rsidRPr="00147E8C" w:rsidRDefault="00A96CF7" w:rsidP="00A96CF7">
      <w:pPr>
        <w:spacing w:line="276" w:lineRule="auto"/>
        <w:rPr>
          <w:color w:val="000000" w:themeColor="text1"/>
          <w:spacing w:val="4"/>
          <w:lang w:val="en-US" w:eastAsia="es-NI"/>
        </w:rPr>
      </w:pPr>
      <w:r w:rsidRPr="00147E8C">
        <w:rPr>
          <w:color w:val="000000" w:themeColor="text1"/>
          <w:lang w:val="en-US"/>
        </w:rPr>
        <w:t xml:space="preserve">Terstappen, V., Hanson, </w:t>
      </w:r>
      <w:r w:rsidR="00426335" w:rsidRPr="00147E8C">
        <w:rPr>
          <w:color w:val="000000" w:themeColor="text1"/>
          <w:lang w:val="en-US"/>
        </w:rPr>
        <w:t>L.,</w:t>
      </w:r>
      <w:r w:rsidRPr="00147E8C">
        <w:rPr>
          <w:color w:val="000000" w:themeColor="text1"/>
          <w:lang w:val="en-US"/>
        </w:rPr>
        <w:t xml:space="preserve"> and McLaughlin, D. (2012) ‘Gender, health, labour and inequities: a review of the fair and alternative trade literature’, </w:t>
      </w:r>
      <w:r w:rsidRPr="00147E8C">
        <w:rPr>
          <w:i/>
          <w:color w:val="000000" w:themeColor="text1"/>
          <w:lang w:val="en-US"/>
        </w:rPr>
        <w:t>Agriculture and Human Values</w:t>
      </w:r>
      <w:r w:rsidRPr="00147E8C">
        <w:rPr>
          <w:color w:val="000000" w:themeColor="text1"/>
          <w:lang w:val="en-US"/>
        </w:rPr>
        <w:t xml:space="preserve">, 30 (1), pp.21-39.  </w:t>
      </w:r>
    </w:p>
    <w:p w14:paraId="6373633D" w14:textId="77777777" w:rsidR="00A96CF7" w:rsidRPr="00147E8C" w:rsidRDefault="00A96CF7" w:rsidP="00A96CF7">
      <w:pPr>
        <w:spacing w:line="276" w:lineRule="auto"/>
        <w:rPr>
          <w:color w:val="000000" w:themeColor="text1"/>
          <w:spacing w:val="4"/>
          <w:lang w:val="en-US" w:eastAsia="es-NI"/>
        </w:rPr>
      </w:pPr>
    </w:p>
    <w:p w14:paraId="5CB30602" w14:textId="77777777" w:rsidR="00A96CF7" w:rsidRPr="00D0315F" w:rsidRDefault="00A96CF7" w:rsidP="00A96CF7">
      <w:pPr>
        <w:spacing w:line="276" w:lineRule="auto"/>
        <w:rPr>
          <w:color w:val="000000" w:themeColor="text1"/>
        </w:rPr>
      </w:pPr>
      <w:r w:rsidRPr="00D0315F">
        <w:rPr>
          <w:color w:val="000000" w:themeColor="text1"/>
        </w:rPr>
        <w:t xml:space="preserve">The Guardian (2017) ‘The gender wars of household chores: a feminist comic’, </w:t>
      </w:r>
      <w:r w:rsidRPr="00D0315F">
        <w:rPr>
          <w:i/>
          <w:iCs/>
          <w:color w:val="000000" w:themeColor="text1"/>
        </w:rPr>
        <w:t xml:space="preserve">The Guardian </w:t>
      </w:r>
      <w:r w:rsidRPr="00D0315F">
        <w:rPr>
          <w:color w:val="000000" w:themeColor="text1"/>
        </w:rPr>
        <w:t xml:space="preserve">[Online] May 26, 2017. Available from:  </w:t>
      </w:r>
      <w:hyperlink r:id="rId74" w:history="1">
        <w:r w:rsidRPr="00D0315F">
          <w:rPr>
            <w:rStyle w:val="Hyperlink"/>
            <w:rFonts w:eastAsiaTheme="majorEastAsia"/>
            <w:color w:val="000000" w:themeColor="text1"/>
            <w:u w:val="none"/>
          </w:rPr>
          <w:t>https://www.theguardian.com/world/2017/may/26/gender-wars-household-chores-comic</w:t>
        </w:r>
      </w:hyperlink>
      <w:r w:rsidRPr="00D0315F">
        <w:rPr>
          <w:color w:val="000000" w:themeColor="text1"/>
        </w:rPr>
        <w:t xml:space="preserve"> [Accessed 26th May 2017].</w:t>
      </w:r>
    </w:p>
    <w:p w14:paraId="5AFA5550" w14:textId="77777777" w:rsidR="00A96CF7" w:rsidRPr="00147E8C" w:rsidRDefault="00A96CF7" w:rsidP="00A96CF7">
      <w:pPr>
        <w:spacing w:line="276" w:lineRule="auto"/>
        <w:rPr>
          <w:color w:val="000000" w:themeColor="text1"/>
          <w:spacing w:val="4"/>
          <w:lang w:val="en-US" w:eastAsia="es-NI"/>
        </w:rPr>
      </w:pPr>
    </w:p>
    <w:p w14:paraId="50A7CF0E" w14:textId="77777777" w:rsidR="00A96CF7" w:rsidRPr="00147E8C" w:rsidRDefault="00A96CF7" w:rsidP="00A96CF7">
      <w:pPr>
        <w:spacing w:line="276" w:lineRule="auto"/>
        <w:rPr>
          <w:color w:val="000000" w:themeColor="text1"/>
          <w:lang w:val="en-US"/>
        </w:rPr>
      </w:pPr>
      <w:r w:rsidRPr="00147E8C">
        <w:rPr>
          <w:color w:val="000000" w:themeColor="text1"/>
        </w:rPr>
        <w:t xml:space="preserve">Thien, D. (2005) ‘After or beyond feeling? A consideration of affect and emotion in geography’, </w:t>
      </w:r>
      <w:r w:rsidRPr="00147E8C">
        <w:rPr>
          <w:i/>
          <w:color w:val="000000" w:themeColor="text1"/>
          <w:lang w:val="en-US"/>
        </w:rPr>
        <w:t>Area</w:t>
      </w:r>
      <w:r w:rsidRPr="00147E8C">
        <w:rPr>
          <w:color w:val="000000" w:themeColor="text1"/>
          <w:lang w:val="en-US"/>
        </w:rPr>
        <w:t xml:space="preserve">, 37 (4), pp. 450-454. </w:t>
      </w:r>
    </w:p>
    <w:p w14:paraId="50BF22A1" w14:textId="77777777" w:rsidR="00A96CF7" w:rsidRPr="00147E8C" w:rsidRDefault="00A96CF7" w:rsidP="00A96CF7">
      <w:pPr>
        <w:spacing w:line="276" w:lineRule="auto"/>
        <w:rPr>
          <w:color w:val="000000" w:themeColor="text1"/>
          <w:lang w:val="en-US"/>
        </w:rPr>
      </w:pPr>
    </w:p>
    <w:p w14:paraId="4FA04C76" w14:textId="77777777" w:rsidR="00A96CF7" w:rsidRPr="00147E8C" w:rsidRDefault="00A96CF7" w:rsidP="00A96CF7">
      <w:pPr>
        <w:spacing w:line="276" w:lineRule="auto"/>
        <w:rPr>
          <w:color w:val="000000" w:themeColor="text1"/>
          <w:lang w:val="en-US"/>
        </w:rPr>
      </w:pPr>
      <w:r w:rsidRPr="00147E8C">
        <w:rPr>
          <w:color w:val="000000" w:themeColor="text1"/>
        </w:rPr>
        <w:t>Thoits P.A. (1985) ‘Self-labelling processes in mental illness: The role of emotional deviance</w:t>
      </w:r>
      <w:r w:rsidRPr="00147E8C">
        <w:rPr>
          <w:i/>
          <w:color w:val="000000" w:themeColor="text1"/>
        </w:rPr>
        <w:t xml:space="preserve">’, </w:t>
      </w:r>
      <w:r w:rsidRPr="00147E8C">
        <w:rPr>
          <w:i/>
          <w:color w:val="000000" w:themeColor="text1"/>
          <w:lang w:val="en-US"/>
        </w:rPr>
        <w:t>The American Journal of Sociology</w:t>
      </w:r>
      <w:r w:rsidRPr="00147E8C">
        <w:rPr>
          <w:color w:val="000000" w:themeColor="text1"/>
          <w:lang w:val="en-US"/>
        </w:rPr>
        <w:t xml:space="preserve"> 91, pp. 221-249.  </w:t>
      </w:r>
    </w:p>
    <w:p w14:paraId="53A219C4" w14:textId="77777777" w:rsidR="00A96CF7" w:rsidRPr="00147E8C" w:rsidRDefault="00A96CF7" w:rsidP="00A96CF7">
      <w:pPr>
        <w:spacing w:line="276" w:lineRule="auto"/>
        <w:rPr>
          <w:color w:val="000000" w:themeColor="text1"/>
          <w:lang w:val="en-US"/>
        </w:rPr>
      </w:pPr>
    </w:p>
    <w:p w14:paraId="0CC35850"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Thorpe, J. and Fennel, S. (2013) </w:t>
      </w:r>
      <w:r w:rsidRPr="00147E8C">
        <w:rPr>
          <w:i/>
          <w:color w:val="000000" w:themeColor="text1"/>
          <w:lang w:val="en-US"/>
        </w:rPr>
        <w:t xml:space="preserve">Climate change risks and supply chain responsibility: how should companies respond when extreme weather affects small-scale producers in their supply chain? </w:t>
      </w:r>
      <w:r w:rsidRPr="00147E8C">
        <w:rPr>
          <w:color w:val="000000" w:themeColor="text1"/>
          <w:lang w:val="en-US"/>
        </w:rPr>
        <w:t>Policy &amp; Practice discussion paper [Online]</w:t>
      </w:r>
      <w:r w:rsidRPr="00147E8C">
        <w:rPr>
          <w:i/>
          <w:color w:val="000000" w:themeColor="text1"/>
          <w:lang w:val="en-US"/>
        </w:rPr>
        <w:t xml:space="preserve">. </w:t>
      </w:r>
      <w:r w:rsidRPr="00147E8C">
        <w:rPr>
          <w:color w:val="000000" w:themeColor="text1"/>
          <w:lang w:val="en-US"/>
        </w:rPr>
        <w:t>Oxfam International</w:t>
      </w:r>
      <w:r w:rsidRPr="00147E8C">
        <w:rPr>
          <w:i/>
          <w:color w:val="000000" w:themeColor="text1"/>
          <w:lang w:val="en-US"/>
        </w:rPr>
        <w:t>.</w:t>
      </w:r>
      <w:r w:rsidRPr="00147E8C">
        <w:rPr>
          <w:color w:val="000000" w:themeColor="text1"/>
          <w:lang w:val="en-US"/>
        </w:rPr>
        <w:t xml:space="preserve"> Available from: http://policy-practice.oxfam.org.uk/publications/climate-change-risks-and-supply-chain-responsibility-how-should-companies-respo-230111 [Accessed 24th June 2014].</w:t>
      </w:r>
    </w:p>
    <w:p w14:paraId="3D1F9BF3" w14:textId="77777777" w:rsidR="00A96CF7" w:rsidRPr="00147E8C" w:rsidRDefault="00A96CF7" w:rsidP="00A96CF7">
      <w:pPr>
        <w:spacing w:line="276" w:lineRule="auto"/>
        <w:rPr>
          <w:color w:val="000000" w:themeColor="text1"/>
          <w:lang w:val="en-US"/>
        </w:rPr>
      </w:pPr>
    </w:p>
    <w:p w14:paraId="00AE9D89" w14:textId="77777777" w:rsidR="00A96CF7" w:rsidRPr="00D0315F" w:rsidRDefault="00A96CF7" w:rsidP="00A96CF7">
      <w:pPr>
        <w:spacing w:line="276" w:lineRule="auto"/>
        <w:rPr>
          <w:color w:val="000000" w:themeColor="text1"/>
        </w:rPr>
      </w:pPr>
      <w:r w:rsidRPr="00D0315F">
        <w:rPr>
          <w:color w:val="000000" w:themeColor="text1"/>
        </w:rPr>
        <w:t xml:space="preserve">Thorpe, J., Maestre, M. and Kidder, T. (2016) </w:t>
      </w:r>
      <w:r w:rsidRPr="00D0315F">
        <w:rPr>
          <w:i/>
          <w:color w:val="000000" w:themeColor="text1"/>
        </w:rPr>
        <w:t>Market systems approaches to enabling women’s economic empowerment through addressing unpaid care work</w:t>
      </w:r>
      <w:r w:rsidRPr="00D0315F">
        <w:rPr>
          <w:color w:val="000000" w:themeColor="text1"/>
        </w:rPr>
        <w:t xml:space="preserve">. [Online] Beam Exchange, OXFAM, IDS. Available from: </w:t>
      </w:r>
      <w:hyperlink r:id="rId75" w:history="1">
        <w:r w:rsidRPr="00D0315F">
          <w:rPr>
            <w:rStyle w:val="Hyperlink"/>
            <w:rFonts w:eastAsiaTheme="majorEastAsia"/>
            <w:color w:val="000000" w:themeColor="text1"/>
            <w:u w:val="none"/>
          </w:rPr>
          <w:t>http://policy-practice.oxfam.org.uk/publications/market-systems-approaches-to-enabling-womens-economic-empowerment-through-addre-603519</w:t>
        </w:r>
      </w:hyperlink>
      <w:r w:rsidRPr="00D0315F">
        <w:rPr>
          <w:color w:val="000000" w:themeColor="text1"/>
        </w:rPr>
        <w:t xml:space="preserve"> [Accessed 1st October 2016)</w:t>
      </w:r>
    </w:p>
    <w:p w14:paraId="45DE4598" w14:textId="77777777" w:rsidR="00A96CF7" w:rsidRPr="00D0315F" w:rsidRDefault="00A96CF7" w:rsidP="00A96CF7">
      <w:pPr>
        <w:spacing w:line="276" w:lineRule="auto"/>
        <w:rPr>
          <w:color w:val="000000" w:themeColor="text1"/>
        </w:rPr>
      </w:pPr>
    </w:p>
    <w:p w14:paraId="7B20B43B" w14:textId="77777777" w:rsidR="00A96CF7" w:rsidRPr="00D0315F" w:rsidRDefault="00A96CF7" w:rsidP="00A96CF7">
      <w:pPr>
        <w:spacing w:line="276" w:lineRule="auto"/>
        <w:rPr>
          <w:color w:val="000000" w:themeColor="text1"/>
        </w:rPr>
      </w:pPr>
      <w:r w:rsidRPr="00D0315F">
        <w:rPr>
          <w:color w:val="000000" w:themeColor="text1"/>
          <w:lang w:val="en-US"/>
        </w:rPr>
        <w:lastRenderedPageBreak/>
        <w:t xml:space="preserve">Torres, S. (1991). </w:t>
      </w:r>
      <w:r w:rsidRPr="00D0315F">
        <w:rPr>
          <w:i/>
          <w:color w:val="000000" w:themeColor="text1"/>
          <w:lang w:val="en-US"/>
        </w:rPr>
        <w:t>A comparison of wife abuse between twocultures: perceptions, attitudes, nature, and extent.</w:t>
      </w:r>
      <w:r w:rsidRPr="00D0315F">
        <w:rPr>
          <w:color w:val="000000" w:themeColor="text1"/>
          <w:lang w:val="en-US"/>
        </w:rPr>
        <w:t xml:space="preserve"> Issues</w:t>
      </w:r>
      <w:r w:rsidRPr="00D0315F">
        <w:rPr>
          <w:color w:val="000000" w:themeColor="text1"/>
        </w:rPr>
        <w:t xml:space="preserve"> </w:t>
      </w:r>
      <w:r w:rsidRPr="00D0315F">
        <w:rPr>
          <w:color w:val="000000" w:themeColor="text1"/>
          <w:lang w:val="en-US"/>
        </w:rPr>
        <w:t>of Mental Health Nursing, 12(1), 113±131.</w:t>
      </w:r>
    </w:p>
    <w:p w14:paraId="30AF22D6" w14:textId="77777777" w:rsidR="00A96CF7" w:rsidRPr="00D0315F" w:rsidRDefault="00A96CF7" w:rsidP="00A96CF7">
      <w:pPr>
        <w:spacing w:line="276" w:lineRule="auto"/>
        <w:rPr>
          <w:color w:val="000000" w:themeColor="text1"/>
          <w:lang w:val="en-US"/>
        </w:rPr>
      </w:pPr>
    </w:p>
    <w:p w14:paraId="49D838B1" w14:textId="6E7DB557" w:rsidR="00A96CF7" w:rsidRPr="00D0315F" w:rsidRDefault="00A96CF7" w:rsidP="00A96CF7">
      <w:pPr>
        <w:spacing w:line="276" w:lineRule="auto"/>
        <w:rPr>
          <w:color w:val="000000" w:themeColor="text1"/>
        </w:rPr>
      </w:pPr>
      <w:r w:rsidRPr="00D0315F">
        <w:rPr>
          <w:color w:val="000000" w:themeColor="text1"/>
        </w:rPr>
        <w:t xml:space="preserve">TWIN (2013) </w:t>
      </w:r>
      <w:r w:rsidRPr="00D0315F">
        <w:rPr>
          <w:i/>
          <w:iCs/>
          <w:color w:val="000000" w:themeColor="text1"/>
        </w:rPr>
        <w:t>Empowering women farmers in agricultural supply chains</w:t>
      </w:r>
      <w:r w:rsidRPr="00D0315F">
        <w:rPr>
          <w:color w:val="000000" w:themeColor="text1"/>
        </w:rPr>
        <w:t xml:space="preserve">. [Online]. London: Twin Trading. Available from: </w:t>
      </w:r>
      <w:hyperlink r:id="rId76" w:history="1">
        <w:r w:rsidRPr="00D0315F">
          <w:rPr>
            <w:rStyle w:val="Hyperlink"/>
            <w:rFonts w:eastAsiaTheme="majorEastAsia"/>
            <w:color w:val="000000" w:themeColor="text1"/>
            <w:u w:val="none"/>
          </w:rPr>
          <w:t>http://www.twin.org.uk/assets/Twin-reports/Empowering-Women-Farmers-in-Agricultural-Value-Chains-1.pdf</w:t>
        </w:r>
      </w:hyperlink>
      <w:r w:rsidR="00F645CE">
        <w:rPr>
          <w:rStyle w:val="Hyperlink"/>
          <w:rFonts w:eastAsiaTheme="majorEastAsia"/>
          <w:color w:val="000000" w:themeColor="text1"/>
          <w:u w:val="none"/>
        </w:rPr>
        <w:t xml:space="preserve"> [Accessed</w:t>
      </w:r>
      <w:r w:rsidRPr="00D0315F">
        <w:rPr>
          <w:rStyle w:val="Hyperlink"/>
          <w:rFonts w:eastAsiaTheme="majorEastAsia"/>
          <w:color w:val="000000" w:themeColor="text1"/>
          <w:u w:val="none"/>
        </w:rPr>
        <w:t xml:space="preserve"> 26 May 2017]. </w:t>
      </w:r>
    </w:p>
    <w:p w14:paraId="0703CD0C" w14:textId="77777777" w:rsidR="00A96CF7" w:rsidRPr="00D0315F" w:rsidRDefault="00A96CF7" w:rsidP="00A96CF7">
      <w:pPr>
        <w:spacing w:line="276" w:lineRule="auto"/>
        <w:rPr>
          <w:color w:val="000000" w:themeColor="text1"/>
        </w:rPr>
      </w:pPr>
    </w:p>
    <w:p w14:paraId="37DE0AAB" w14:textId="77777777" w:rsidR="00A96CF7" w:rsidRPr="00D0315F" w:rsidRDefault="00A96CF7" w:rsidP="00A96CF7">
      <w:pPr>
        <w:spacing w:line="276" w:lineRule="auto"/>
        <w:rPr>
          <w:color w:val="000000" w:themeColor="text1"/>
          <w:lang w:val="en-US"/>
        </w:rPr>
      </w:pPr>
      <w:r w:rsidRPr="00D0315F">
        <w:rPr>
          <w:color w:val="000000" w:themeColor="text1"/>
          <w:lang w:val="en-US"/>
        </w:rPr>
        <w:t xml:space="preserve">Twyman, J., Muriel, J., García, M.A. (2015) </w:t>
      </w:r>
      <w:r w:rsidRPr="00D0315F">
        <w:rPr>
          <w:color w:val="000000" w:themeColor="text1"/>
        </w:rPr>
        <w:t xml:space="preserve">‘Identifying women farmers: informal gender norms as institutional barriers to recognising women’s contributions to agriculture’, </w:t>
      </w:r>
      <w:r w:rsidRPr="00D0315F">
        <w:rPr>
          <w:i/>
          <w:iCs/>
          <w:color w:val="000000" w:themeColor="text1"/>
        </w:rPr>
        <w:t>Journal of Gender, Agriculture and Food Security</w:t>
      </w:r>
      <w:r w:rsidRPr="00D0315F">
        <w:rPr>
          <w:color w:val="000000" w:themeColor="text1"/>
        </w:rPr>
        <w:t xml:space="preserve">. </w:t>
      </w:r>
      <w:r w:rsidRPr="00D0315F">
        <w:rPr>
          <w:color w:val="000000" w:themeColor="text1"/>
          <w:lang w:val="en-US"/>
        </w:rPr>
        <w:t>1(2), pp. 1-17. 201</w:t>
      </w:r>
    </w:p>
    <w:p w14:paraId="5C4C1CA2" w14:textId="77777777" w:rsidR="00A96CF7" w:rsidRPr="00D0315F" w:rsidRDefault="00A96CF7" w:rsidP="00A96CF7">
      <w:pPr>
        <w:pStyle w:val="NoSpacing2"/>
        <w:spacing w:line="276" w:lineRule="auto"/>
        <w:rPr>
          <w:color w:val="000000" w:themeColor="text1"/>
          <w:lang w:val="en-US"/>
        </w:rPr>
      </w:pPr>
    </w:p>
    <w:p w14:paraId="6EF35CDF" w14:textId="77777777" w:rsidR="00A96CF7" w:rsidRPr="00D0315F" w:rsidRDefault="00A96CF7" w:rsidP="00A96CF7">
      <w:pPr>
        <w:pStyle w:val="NoSpacing2"/>
        <w:spacing w:line="276" w:lineRule="auto"/>
        <w:rPr>
          <w:color w:val="000000" w:themeColor="text1"/>
          <w:lang w:val="en-US"/>
        </w:rPr>
      </w:pPr>
      <w:r w:rsidRPr="00D0315F">
        <w:rPr>
          <w:color w:val="000000" w:themeColor="text1"/>
          <w:lang w:val="en-US"/>
        </w:rPr>
        <w:t xml:space="preserve">UNAG (2008) </w:t>
      </w:r>
      <w:r w:rsidRPr="00D0315F">
        <w:rPr>
          <w:i/>
          <w:color w:val="000000" w:themeColor="text1"/>
          <w:lang w:val="en-US"/>
        </w:rPr>
        <w:t>Cadena productiva ajonjolí</w:t>
      </w:r>
      <w:r w:rsidRPr="00D0315F">
        <w:rPr>
          <w:color w:val="000000" w:themeColor="text1"/>
          <w:lang w:val="en-US"/>
        </w:rPr>
        <w:t xml:space="preserve">. [Online]. </w:t>
      </w:r>
      <w:r w:rsidRPr="00D0315F">
        <w:rPr>
          <w:color w:val="000000" w:themeColor="text1"/>
        </w:rPr>
        <w:t xml:space="preserve">Chinandega: </w:t>
      </w:r>
      <w:r w:rsidRPr="00D0315F">
        <w:rPr>
          <w:color w:val="000000" w:themeColor="text1"/>
          <w:lang w:val="en-US"/>
        </w:rPr>
        <w:t>UNAG</w:t>
      </w:r>
      <w:r w:rsidRPr="00D0315F">
        <w:rPr>
          <w:color w:val="000000" w:themeColor="text1"/>
        </w:rPr>
        <w:t xml:space="preserve">. </w:t>
      </w:r>
      <w:r w:rsidRPr="00D0315F">
        <w:rPr>
          <w:color w:val="000000" w:themeColor="text1"/>
          <w:lang w:val="en-US"/>
        </w:rPr>
        <w:t>Available from:</w:t>
      </w:r>
      <w:r w:rsidRPr="00D0315F">
        <w:rPr>
          <w:color w:val="000000" w:themeColor="text1"/>
        </w:rPr>
        <w:t xml:space="preserve"> </w:t>
      </w:r>
      <w:hyperlink r:id="rId77" w:history="1">
        <w:r w:rsidRPr="00D0315F">
          <w:rPr>
            <w:rStyle w:val="Hyperlink"/>
            <w:color w:val="000000" w:themeColor="text1"/>
            <w:u w:val="none"/>
          </w:rPr>
          <w:t>https://www.delcampo.net.ni/file_bibli/Estudio_de_la_cadena_del_%20ajonjoli.pdf</w:t>
        </w:r>
      </w:hyperlink>
      <w:r w:rsidRPr="00D0315F">
        <w:rPr>
          <w:color w:val="000000" w:themeColor="text1"/>
          <w:lang w:val="en-US"/>
        </w:rPr>
        <w:t xml:space="preserve"> [Accessed 17th March 2017]. </w:t>
      </w:r>
    </w:p>
    <w:p w14:paraId="093ED80B" w14:textId="77777777" w:rsidR="00A96CF7" w:rsidRPr="00D0315F" w:rsidRDefault="00A96CF7" w:rsidP="00A96CF7">
      <w:pPr>
        <w:pStyle w:val="Heading1"/>
        <w:shd w:val="clear" w:color="auto" w:fill="FFFFFF"/>
        <w:spacing w:before="330" w:after="165" w:line="276" w:lineRule="auto"/>
        <w:jc w:val="left"/>
        <w:rPr>
          <w:b w:val="0"/>
          <w:color w:val="000000" w:themeColor="text1"/>
          <w:szCs w:val="24"/>
        </w:rPr>
      </w:pPr>
      <w:bookmarkStart w:id="184" w:name="_Toc526819382"/>
      <w:r w:rsidRPr="00D0315F">
        <w:rPr>
          <w:b w:val="0"/>
          <w:color w:val="000000" w:themeColor="text1"/>
          <w:szCs w:val="24"/>
        </w:rPr>
        <w:t xml:space="preserve">United Nations (2007) </w:t>
      </w:r>
      <w:r w:rsidRPr="00D0315F">
        <w:rPr>
          <w:b w:val="0"/>
          <w:i/>
          <w:color w:val="000000" w:themeColor="text1"/>
          <w:szCs w:val="24"/>
        </w:rPr>
        <w:t>Nicaraguan Institute for Women instrumental in mainstreaming gender equality strategies, women’s anti-discrimination told</w:t>
      </w:r>
      <w:r w:rsidRPr="00D0315F">
        <w:rPr>
          <w:b w:val="0"/>
          <w:color w:val="000000" w:themeColor="text1"/>
          <w:szCs w:val="24"/>
        </w:rPr>
        <w:t xml:space="preserve">. [Press release] Available from: </w:t>
      </w:r>
      <w:hyperlink r:id="rId78" w:history="1">
        <w:r w:rsidRPr="00D0315F">
          <w:rPr>
            <w:rStyle w:val="Hyperlink"/>
            <w:b w:val="0"/>
            <w:color w:val="000000" w:themeColor="text1"/>
            <w:szCs w:val="24"/>
            <w:u w:val="none"/>
          </w:rPr>
          <w:t>https://www.un.org/press/en/2007/wom1595.doc.htm</w:t>
        </w:r>
      </w:hyperlink>
      <w:r w:rsidRPr="00D0315F">
        <w:rPr>
          <w:b w:val="0"/>
          <w:color w:val="000000" w:themeColor="text1"/>
          <w:szCs w:val="24"/>
        </w:rPr>
        <w:t xml:space="preserve"> [Accessed 4th August 2017].</w:t>
      </w:r>
      <w:bookmarkEnd w:id="184"/>
      <w:r w:rsidRPr="00D0315F">
        <w:rPr>
          <w:b w:val="0"/>
          <w:color w:val="000000" w:themeColor="text1"/>
          <w:szCs w:val="24"/>
        </w:rPr>
        <w:t xml:space="preserve"> </w:t>
      </w:r>
    </w:p>
    <w:p w14:paraId="4AF2C961" w14:textId="77777777" w:rsidR="00A96CF7" w:rsidRPr="00D0315F" w:rsidRDefault="00A96CF7" w:rsidP="00A96CF7">
      <w:pPr>
        <w:spacing w:line="276" w:lineRule="auto"/>
        <w:rPr>
          <w:color w:val="000000" w:themeColor="text1"/>
        </w:rPr>
      </w:pPr>
      <w:r w:rsidRPr="00D0315F">
        <w:rPr>
          <w:color w:val="000000" w:themeColor="text1"/>
        </w:rPr>
        <w:t xml:space="preserve">United Nations Economic and Social Council (2016) </w:t>
      </w:r>
      <w:r w:rsidRPr="00D0315F">
        <w:rPr>
          <w:i/>
          <w:color w:val="000000" w:themeColor="text1"/>
        </w:rPr>
        <w:t>Women’s economic empowerment in the changing world of work, Report of the Secretary-General</w:t>
      </w:r>
      <w:r w:rsidRPr="00D0315F">
        <w:rPr>
          <w:color w:val="000000" w:themeColor="text1"/>
        </w:rPr>
        <w:t xml:space="preserve">, </w:t>
      </w:r>
      <w:r w:rsidRPr="00D0315F">
        <w:rPr>
          <w:i/>
          <w:color w:val="000000" w:themeColor="text1"/>
        </w:rPr>
        <w:t>E/CN.6/2017/3.</w:t>
      </w:r>
      <w:r w:rsidRPr="00D0315F">
        <w:rPr>
          <w:color w:val="000000" w:themeColor="text1"/>
        </w:rPr>
        <w:t xml:space="preserve"> New York: UN Women. </w:t>
      </w:r>
    </w:p>
    <w:p w14:paraId="5F246E98" w14:textId="77777777" w:rsidR="00A96CF7" w:rsidRPr="00D0315F" w:rsidRDefault="00A96CF7" w:rsidP="00A96CF7">
      <w:pPr>
        <w:spacing w:line="276" w:lineRule="auto"/>
        <w:rPr>
          <w:color w:val="000000" w:themeColor="text1"/>
          <w:lang w:val="en-US"/>
        </w:rPr>
      </w:pPr>
    </w:p>
    <w:p w14:paraId="13B3ADB0" w14:textId="4373FE77" w:rsidR="00A96CF7" w:rsidRPr="00D0315F" w:rsidRDefault="00A96CF7" w:rsidP="00A96CF7">
      <w:pPr>
        <w:spacing w:line="276" w:lineRule="auto"/>
        <w:rPr>
          <w:color w:val="000000" w:themeColor="text1"/>
        </w:rPr>
      </w:pPr>
      <w:r w:rsidRPr="00D0315F">
        <w:rPr>
          <w:color w:val="000000" w:themeColor="text1"/>
        </w:rPr>
        <w:t xml:space="preserve">United Nations Development Programme (2016a) </w:t>
      </w:r>
      <w:r w:rsidRPr="00D0315F">
        <w:rPr>
          <w:i/>
          <w:color w:val="000000" w:themeColor="text1"/>
        </w:rPr>
        <w:t>Human development reports</w:t>
      </w:r>
      <w:r w:rsidRPr="00D0315F">
        <w:rPr>
          <w:color w:val="000000" w:themeColor="text1"/>
        </w:rPr>
        <w:t>. [Online] Available from: http://hdr.undp.org/en/cou</w:t>
      </w:r>
      <w:r w:rsidR="00F645CE">
        <w:rPr>
          <w:color w:val="000000" w:themeColor="text1"/>
        </w:rPr>
        <w:t xml:space="preserve">ntries/profiles/NIC. (Accessed </w:t>
      </w:r>
      <w:r w:rsidRPr="00D0315F">
        <w:rPr>
          <w:color w:val="000000" w:themeColor="text1"/>
        </w:rPr>
        <w:t xml:space="preserve">11 March 2017). </w:t>
      </w:r>
    </w:p>
    <w:p w14:paraId="6F1B0510" w14:textId="77777777" w:rsidR="00A96CF7" w:rsidRPr="00D0315F" w:rsidRDefault="00A96CF7" w:rsidP="00A96CF7">
      <w:pPr>
        <w:spacing w:line="276" w:lineRule="auto"/>
        <w:rPr>
          <w:color w:val="000000" w:themeColor="text1"/>
        </w:rPr>
      </w:pPr>
    </w:p>
    <w:p w14:paraId="7A9E25A1" w14:textId="77777777" w:rsidR="00A96CF7" w:rsidRPr="00147E8C" w:rsidRDefault="00A96CF7" w:rsidP="00A96CF7">
      <w:pPr>
        <w:spacing w:line="276" w:lineRule="auto"/>
        <w:rPr>
          <w:color w:val="000000" w:themeColor="text1"/>
          <w:lang w:val="en-US"/>
        </w:rPr>
      </w:pPr>
      <w:r w:rsidRPr="00D0315F">
        <w:rPr>
          <w:color w:val="000000" w:themeColor="text1"/>
        </w:rPr>
        <w:t xml:space="preserve">United Nations Development Programme (2016b) </w:t>
      </w:r>
      <w:r w:rsidRPr="00D0315F">
        <w:rPr>
          <w:i/>
          <w:color w:val="000000" w:themeColor="text1"/>
        </w:rPr>
        <w:t>Technical</w:t>
      </w:r>
      <w:r w:rsidRPr="00147E8C">
        <w:rPr>
          <w:i/>
          <w:color w:val="000000" w:themeColor="text1"/>
        </w:rPr>
        <w:t xml:space="preserve"> notes: human development report 2016</w:t>
      </w:r>
      <w:r w:rsidRPr="00147E8C">
        <w:rPr>
          <w:color w:val="000000" w:themeColor="text1"/>
        </w:rPr>
        <w:t>. [Online].</w:t>
      </w:r>
      <w:r w:rsidRPr="00147E8C">
        <w:rPr>
          <w:i/>
          <w:color w:val="000000" w:themeColor="text1"/>
        </w:rPr>
        <w:t xml:space="preserve"> </w:t>
      </w:r>
      <w:r w:rsidRPr="00147E8C">
        <w:rPr>
          <w:color w:val="000000" w:themeColor="text1"/>
        </w:rPr>
        <w:t>UNDP, pp. 1-14.</w:t>
      </w:r>
      <w:r w:rsidRPr="00147E8C">
        <w:rPr>
          <w:i/>
          <w:color w:val="000000" w:themeColor="text1"/>
        </w:rPr>
        <w:t xml:space="preserve"> </w:t>
      </w:r>
      <w:r w:rsidRPr="00147E8C">
        <w:rPr>
          <w:color w:val="000000" w:themeColor="text1"/>
        </w:rPr>
        <w:t xml:space="preserve"> Available from: http://hdr.undp.org/sites/default/files/hdr2016_technical_notes.pdf</w:t>
      </w:r>
      <w:r w:rsidRPr="00147E8C">
        <w:rPr>
          <w:color w:val="000000" w:themeColor="text1"/>
          <w:lang w:val="en-US"/>
        </w:rPr>
        <w:t xml:space="preserve"> [Accessed 11th March 2017]. </w:t>
      </w:r>
    </w:p>
    <w:p w14:paraId="20168435" w14:textId="77777777" w:rsidR="00A96CF7" w:rsidRPr="00147E8C" w:rsidRDefault="00A96CF7" w:rsidP="00A96CF7">
      <w:pPr>
        <w:spacing w:line="276" w:lineRule="auto"/>
        <w:rPr>
          <w:color w:val="000000" w:themeColor="text1"/>
          <w:lang w:val="en-US"/>
        </w:rPr>
      </w:pPr>
    </w:p>
    <w:p w14:paraId="1ADA9C54" w14:textId="042885D2" w:rsidR="00A96CF7" w:rsidRPr="00D0315F" w:rsidRDefault="00A96CF7" w:rsidP="00A96CF7">
      <w:pPr>
        <w:spacing w:line="276" w:lineRule="auto"/>
        <w:rPr>
          <w:color w:val="000000" w:themeColor="text1"/>
        </w:rPr>
      </w:pPr>
      <w:r w:rsidRPr="00147E8C">
        <w:rPr>
          <w:color w:val="000000" w:themeColor="text1"/>
          <w:lang w:val="es-NI"/>
        </w:rPr>
        <w:t xml:space="preserve">UNICEF (2007): ‘Maternidad adolecente en América Latina y el Caribe, tendencias, </w:t>
      </w:r>
      <w:r w:rsidRPr="00D0315F">
        <w:rPr>
          <w:color w:val="000000" w:themeColor="text1"/>
          <w:lang w:val="es-NI"/>
        </w:rPr>
        <w:t xml:space="preserve">problemas y desafíos’, </w:t>
      </w:r>
      <w:r w:rsidRPr="00D0315F">
        <w:rPr>
          <w:i/>
          <w:color w:val="000000" w:themeColor="text1"/>
          <w:lang w:val="es-NI"/>
        </w:rPr>
        <w:t>Boletín Desafíos [Online]</w:t>
      </w:r>
      <w:r w:rsidRPr="00D0315F">
        <w:rPr>
          <w:color w:val="000000" w:themeColor="text1"/>
          <w:lang w:val="es-NI"/>
        </w:rPr>
        <w:t xml:space="preserve"> No. 4 (Enero). </w:t>
      </w:r>
      <w:r w:rsidRPr="00D0315F">
        <w:rPr>
          <w:color w:val="000000" w:themeColor="text1"/>
          <w:lang w:val="en-US"/>
        </w:rPr>
        <w:t>Available from: https://www.unicef.org/lac/desafios__n4_esp_Final(1).pdf</w:t>
      </w:r>
      <w:r w:rsidR="00426335">
        <w:rPr>
          <w:color w:val="000000" w:themeColor="text1"/>
        </w:rPr>
        <w:t xml:space="preserve"> </w:t>
      </w:r>
      <w:r w:rsidRPr="00D0315F">
        <w:rPr>
          <w:color w:val="000000" w:themeColor="text1"/>
        </w:rPr>
        <w:t xml:space="preserve">[Accessed 18th March 2017]. </w:t>
      </w:r>
    </w:p>
    <w:p w14:paraId="4FAC0966" w14:textId="77777777" w:rsidR="00A96CF7" w:rsidRPr="00D0315F" w:rsidRDefault="00A96CF7" w:rsidP="00A96CF7">
      <w:pPr>
        <w:spacing w:line="276" w:lineRule="auto"/>
        <w:rPr>
          <w:color w:val="000000" w:themeColor="text1"/>
        </w:rPr>
      </w:pPr>
    </w:p>
    <w:p w14:paraId="15F16174" w14:textId="1C9C92AA" w:rsidR="00A96CF7" w:rsidRPr="00D0315F" w:rsidRDefault="00A96CF7" w:rsidP="00A96CF7">
      <w:pPr>
        <w:spacing w:line="276" w:lineRule="auto"/>
        <w:rPr>
          <w:color w:val="000000" w:themeColor="text1"/>
        </w:rPr>
      </w:pPr>
      <w:r w:rsidRPr="00D0315F">
        <w:rPr>
          <w:color w:val="000000" w:themeColor="text1"/>
        </w:rPr>
        <w:t xml:space="preserve">UN Secretary-General’s High-Level Panel on Women’s Economic Empowerment (2016) </w:t>
      </w:r>
      <w:r w:rsidRPr="00D0315F">
        <w:rPr>
          <w:i/>
          <w:color w:val="000000" w:themeColor="text1"/>
        </w:rPr>
        <w:t>Leave no one behind, a call to action for gender equality and women’s economic empowerment</w:t>
      </w:r>
      <w:r w:rsidRPr="00D0315F">
        <w:rPr>
          <w:color w:val="000000" w:themeColor="text1"/>
        </w:rPr>
        <w:t xml:space="preserve">. [Online] UNHLP.  Available from: </w:t>
      </w:r>
      <w:hyperlink r:id="rId79" w:history="1">
        <w:r w:rsidRPr="00D0315F">
          <w:rPr>
            <w:rStyle w:val="Hyperlink"/>
            <w:rFonts w:eastAsiaTheme="majorEastAsia"/>
            <w:color w:val="000000" w:themeColor="text1"/>
            <w:u w:val="none"/>
          </w:rPr>
          <w:t>http://hlp-</w:t>
        </w:r>
        <w:r w:rsidRPr="00D0315F">
          <w:rPr>
            <w:rStyle w:val="Hyperlink"/>
            <w:rFonts w:eastAsiaTheme="majorEastAsia"/>
            <w:color w:val="000000" w:themeColor="text1"/>
            <w:u w:val="none"/>
          </w:rPr>
          <w:lastRenderedPageBreak/>
          <w:t>wee.unwomen.org/-/media/hlp%20wee/attachments/reports-toolkits/hlp-wee-report-2016-09-call-to-action-en.pdf?la=en</w:t>
        </w:r>
      </w:hyperlink>
      <w:r w:rsidR="00F645CE">
        <w:rPr>
          <w:color w:val="000000" w:themeColor="text1"/>
        </w:rPr>
        <w:t>. [Accessed</w:t>
      </w:r>
      <w:r w:rsidRPr="00D0315F">
        <w:rPr>
          <w:color w:val="000000" w:themeColor="text1"/>
        </w:rPr>
        <w:t xml:space="preserve"> 6th December 2016]. </w:t>
      </w:r>
    </w:p>
    <w:p w14:paraId="683458FC" w14:textId="77777777" w:rsidR="00A96CF7" w:rsidRPr="00147E8C" w:rsidRDefault="00A96CF7" w:rsidP="00A96CF7">
      <w:pPr>
        <w:spacing w:line="276" w:lineRule="auto"/>
        <w:rPr>
          <w:color w:val="000000" w:themeColor="text1"/>
        </w:rPr>
      </w:pPr>
    </w:p>
    <w:p w14:paraId="3B469E14" w14:textId="77777777" w:rsidR="00A96CF7" w:rsidRPr="00147E8C" w:rsidRDefault="00A96CF7" w:rsidP="00A96CF7">
      <w:pPr>
        <w:spacing w:line="276" w:lineRule="auto"/>
        <w:rPr>
          <w:color w:val="000000" w:themeColor="text1"/>
        </w:rPr>
      </w:pPr>
      <w:r w:rsidRPr="00147E8C">
        <w:rPr>
          <w:color w:val="000000" w:themeColor="text1"/>
        </w:rPr>
        <w:t xml:space="preserve">United Nations Statistical Division, UNSD (1993) 1993 UN System of National Accounts. [Online] Brussels: UNSD.  Available from: </w:t>
      </w:r>
      <w:hyperlink r:id="rId80" w:history="1">
        <w:r w:rsidRPr="00147E8C">
          <w:rPr>
            <w:color w:val="000000" w:themeColor="text1"/>
          </w:rPr>
          <w:t>http://unstats.un.org/unsd/sna1993/toctop</w:t>
        </w:r>
      </w:hyperlink>
      <w:r w:rsidRPr="00147E8C">
        <w:rPr>
          <w:color w:val="000000" w:themeColor="text1"/>
        </w:rPr>
        <w:t xml:space="preserve"> [Accessed 2nd March 2017]. </w:t>
      </w:r>
    </w:p>
    <w:p w14:paraId="1F2B39A3" w14:textId="77777777" w:rsidR="00A96CF7" w:rsidRPr="00147E8C" w:rsidRDefault="00A96CF7" w:rsidP="00A96CF7">
      <w:pPr>
        <w:spacing w:line="276" w:lineRule="auto"/>
        <w:rPr>
          <w:color w:val="000000" w:themeColor="text1"/>
        </w:rPr>
      </w:pPr>
    </w:p>
    <w:p w14:paraId="584EE9EC" w14:textId="77777777" w:rsidR="00A96CF7" w:rsidRPr="00147E8C" w:rsidRDefault="00A96CF7" w:rsidP="00A96CF7">
      <w:pPr>
        <w:spacing w:line="276" w:lineRule="auto"/>
        <w:rPr>
          <w:color w:val="000000" w:themeColor="text1"/>
        </w:rPr>
      </w:pPr>
      <w:r w:rsidRPr="00147E8C">
        <w:rPr>
          <w:color w:val="000000" w:themeColor="text1"/>
        </w:rPr>
        <w:t xml:space="preserve">United Nations Statistical Division, (2005) </w:t>
      </w:r>
      <w:r w:rsidRPr="00147E8C">
        <w:rPr>
          <w:i/>
          <w:color w:val="000000" w:themeColor="text1"/>
        </w:rPr>
        <w:t>Guide to producing statistics on time use: Measuring paid and unpaid work</w:t>
      </w:r>
      <w:r w:rsidRPr="00147E8C">
        <w:rPr>
          <w:color w:val="000000" w:themeColor="text1"/>
        </w:rPr>
        <w:t>. New York, United States: United Nations.</w:t>
      </w:r>
    </w:p>
    <w:p w14:paraId="6670D60D" w14:textId="77777777" w:rsidR="00A96CF7" w:rsidRPr="00D0315F" w:rsidRDefault="00A96CF7" w:rsidP="00A96CF7">
      <w:pPr>
        <w:spacing w:line="276" w:lineRule="auto"/>
        <w:rPr>
          <w:color w:val="000000" w:themeColor="text1"/>
        </w:rPr>
      </w:pPr>
    </w:p>
    <w:p w14:paraId="11D0B054" w14:textId="77777777" w:rsidR="00A96CF7" w:rsidRPr="00D0315F" w:rsidRDefault="00A96CF7" w:rsidP="00A96CF7">
      <w:pPr>
        <w:spacing w:line="276" w:lineRule="auto"/>
        <w:rPr>
          <w:color w:val="000000" w:themeColor="text1"/>
        </w:rPr>
      </w:pPr>
      <w:r w:rsidRPr="00D0315F">
        <w:rPr>
          <w:color w:val="000000" w:themeColor="text1"/>
        </w:rPr>
        <w:t xml:space="preserve">UN Women (2015). </w:t>
      </w:r>
      <w:r w:rsidRPr="00D0315F">
        <w:rPr>
          <w:i/>
          <w:color w:val="000000" w:themeColor="text1"/>
        </w:rPr>
        <w:t>Progress of the world’s women 2016-2016: transforming economies, realising rights</w:t>
      </w:r>
      <w:r w:rsidRPr="00D0315F">
        <w:rPr>
          <w:color w:val="000000" w:themeColor="text1"/>
        </w:rPr>
        <w:t xml:space="preserve">. [Online] New York: United Nations Entity for Gender Equality and the Empowerment of Women. Available from:  </w:t>
      </w:r>
      <w:hyperlink r:id="rId81" w:history="1">
        <w:r w:rsidRPr="00D0315F">
          <w:rPr>
            <w:rStyle w:val="Hyperlink"/>
            <w:rFonts w:eastAsiaTheme="majorEastAsia"/>
            <w:color w:val="000000" w:themeColor="text1"/>
            <w:u w:val="none"/>
          </w:rPr>
          <w:t>http://progress.unwomen.org/en/2015/pdf/UNW_progressreport.pdf</w:t>
        </w:r>
      </w:hyperlink>
      <w:r w:rsidRPr="00D0315F">
        <w:rPr>
          <w:color w:val="000000" w:themeColor="text1"/>
        </w:rPr>
        <w:t xml:space="preserve"> [Accessed 14th July 2017]. </w:t>
      </w:r>
    </w:p>
    <w:p w14:paraId="0E0946CF" w14:textId="77777777" w:rsidR="00A96CF7" w:rsidRPr="00D0315F" w:rsidRDefault="00A96CF7" w:rsidP="00A96CF7">
      <w:pPr>
        <w:spacing w:line="276" w:lineRule="auto"/>
        <w:rPr>
          <w:color w:val="000000" w:themeColor="text1"/>
          <w:lang w:val="en-US"/>
        </w:rPr>
      </w:pPr>
    </w:p>
    <w:p w14:paraId="14EE20D5" w14:textId="77777777" w:rsidR="00A96CF7" w:rsidRPr="00D0315F" w:rsidRDefault="00A96CF7" w:rsidP="00A96CF7">
      <w:pPr>
        <w:spacing w:line="276" w:lineRule="auto"/>
        <w:rPr>
          <w:color w:val="000000" w:themeColor="text1"/>
        </w:rPr>
      </w:pPr>
      <w:r w:rsidRPr="00D0315F">
        <w:rPr>
          <w:color w:val="000000" w:themeColor="text1"/>
        </w:rPr>
        <w:t xml:space="preserve">United States Agency for International Development (2012) </w:t>
      </w:r>
      <w:r w:rsidRPr="00D0315F">
        <w:rPr>
          <w:i/>
          <w:color w:val="000000" w:themeColor="text1"/>
        </w:rPr>
        <w:t xml:space="preserve">USAID/Nicaragua gender analysis: final analysis. </w:t>
      </w:r>
      <w:r w:rsidRPr="00D0315F">
        <w:rPr>
          <w:color w:val="000000" w:themeColor="text1"/>
        </w:rPr>
        <w:t xml:space="preserve">Managua: USAID. Available from:  </w:t>
      </w:r>
      <w:hyperlink r:id="rId82" w:history="1">
        <w:r w:rsidRPr="00D0315F">
          <w:rPr>
            <w:rStyle w:val="Hyperlink"/>
            <w:rFonts w:eastAsiaTheme="majorEastAsia"/>
            <w:color w:val="000000" w:themeColor="text1"/>
            <w:u w:val="none"/>
          </w:rPr>
          <w:t>http://pdf.usaid.gov/pdf_docs/pnaec498.pdf</w:t>
        </w:r>
      </w:hyperlink>
      <w:r w:rsidRPr="00D0315F">
        <w:rPr>
          <w:color w:val="000000" w:themeColor="text1"/>
        </w:rPr>
        <w:t xml:space="preserve"> [Accessed 20th May 2017]. </w:t>
      </w:r>
    </w:p>
    <w:p w14:paraId="0E6E569C" w14:textId="77777777" w:rsidR="00A96CF7" w:rsidRPr="00D0315F" w:rsidRDefault="00A96CF7" w:rsidP="00A96CF7">
      <w:pPr>
        <w:spacing w:line="276" w:lineRule="auto"/>
        <w:rPr>
          <w:color w:val="000000" w:themeColor="text1"/>
        </w:rPr>
      </w:pPr>
    </w:p>
    <w:p w14:paraId="39FD603C" w14:textId="77777777" w:rsidR="00A96CF7" w:rsidRPr="00147E8C" w:rsidRDefault="00A96CF7" w:rsidP="00A96CF7">
      <w:pPr>
        <w:spacing w:line="276" w:lineRule="auto"/>
        <w:rPr>
          <w:bCs/>
          <w:i/>
          <w:color w:val="000000" w:themeColor="text1"/>
          <w:lang w:val="en-US"/>
        </w:rPr>
      </w:pPr>
      <w:r w:rsidRPr="00147E8C">
        <w:rPr>
          <w:bCs/>
          <w:color w:val="000000" w:themeColor="text1"/>
          <w:lang w:val="es-NI"/>
        </w:rPr>
        <w:t xml:space="preserve">UNAN-LEON,-CSIG, Burkey, M. and Butler, F. (2013) </w:t>
      </w:r>
      <w:r w:rsidRPr="00147E8C">
        <w:rPr>
          <w:bCs/>
          <w:i/>
          <w:color w:val="000000" w:themeColor="text1"/>
          <w:lang w:val="es-NI"/>
        </w:rPr>
        <w:t>Reconocimiento al trabajo no remunerado de las m</w:t>
      </w:r>
      <w:r w:rsidRPr="00147E8C">
        <w:rPr>
          <w:bCs/>
          <w:i/>
          <w:color w:val="000000" w:themeColor="text1"/>
          <w:lang w:val="es-ES_tradnl"/>
        </w:rPr>
        <w:t>ujeres en Achuapa: Cooperativa Juan Francisco Paz Silva, Achuapa, León Nicaragua</w:t>
      </w:r>
      <w:r w:rsidRPr="00147E8C">
        <w:rPr>
          <w:bCs/>
          <w:color w:val="000000" w:themeColor="text1"/>
          <w:lang w:val="es-ES_tradnl"/>
        </w:rPr>
        <w:t xml:space="preserve">. </w:t>
      </w:r>
      <w:r w:rsidRPr="00147E8C">
        <w:rPr>
          <w:bCs/>
          <w:color w:val="000000" w:themeColor="text1"/>
          <w:lang w:val="en-US"/>
        </w:rPr>
        <w:t>León: UNAN.</w:t>
      </w:r>
    </w:p>
    <w:p w14:paraId="4861B52A" w14:textId="77777777" w:rsidR="00A96CF7" w:rsidRPr="00D0315F" w:rsidRDefault="00A96CF7" w:rsidP="00A96CF7">
      <w:pPr>
        <w:pStyle w:val="NormalWeb"/>
        <w:spacing w:line="276" w:lineRule="auto"/>
        <w:rPr>
          <w:bCs/>
          <w:iCs/>
          <w:color w:val="000000" w:themeColor="text1"/>
        </w:rPr>
      </w:pPr>
      <w:r w:rsidRPr="00147E8C">
        <w:rPr>
          <w:bCs/>
          <w:color w:val="000000" w:themeColor="text1"/>
        </w:rPr>
        <w:t>Utting, P</w:t>
      </w:r>
      <w:r w:rsidRPr="00D0315F">
        <w:rPr>
          <w:bCs/>
          <w:color w:val="000000" w:themeColor="text1"/>
        </w:rPr>
        <w:t xml:space="preserve">., </w:t>
      </w:r>
      <w:r w:rsidRPr="00D0315F">
        <w:rPr>
          <w:bCs/>
          <w:iCs/>
          <w:color w:val="000000" w:themeColor="text1"/>
        </w:rPr>
        <w:t>Chamorro, A. and Bacon, C. (2014) </w:t>
      </w:r>
      <w:r w:rsidRPr="00D0315F">
        <w:rPr>
          <w:bCs/>
          <w:i/>
          <w:color w:val="000000" w:themeColor="text1"/>
        </w:rPr>
        <w:t xml:space="preserve">Post-conflict reconciliation and development in Nicaragua: </w:t>
      </w:r>
      <w:r w:rsidRPr="00D0315F">
        <w:rPr>
          <w:bCs/>
          <w:i/>
          <w:iCs/>
          <w:color w:val="000000" w:themeColor="text1"/>
        </w:rPr>
        <w:t>the role of cooperatives and collective action</w:t>
      </w:r>
      <w:r w:rsidRPr="00D0315F">
        <w:rPr>
          <w:bCs/>
          <w:iCs/>
          <w:color w:val="000000" w:themeColor="text1"/>
        </w:rPr>
        <w:t>. Working Paper 2014-22. UNRISD [Online]. Available from: </w:t>
      </w:r>
      <w:hyperlink r:id="rId83" w:history="1">
        <w:r w:rsidRPr="00D0315F">
          <w:rPr>
            <w:rStyle w:val="Hyperlink"/>
            <w:bCs/>
            <w:iCs/>
            <w:color w:val="000000" w:themeColor="text1"/>
            <w:u w:val="none"/>
          </w:rPr>
          <w:t>http://www.unrisd.org/80256B3C005BCCF9/(httpAuxPages)/64D5CC31A7852D55C1257DB1004B81DA/$file/Utting%20et%20al.pdf</w:t>
        </w:r>
      </w:hyperlink>
      <w:r w:rsidRPr="00D0315F">
        <w:rPr>
          <w:bCs/>
          <w:iCs/>
          <w:color w:val="000000" w:themeColor="text1"/>
        </w:rPr>
        <w:t>. [Accessed 12th October 2014].</w:t>
      </w:r>
    </w:p>
    <w:p w14:paraId="676FDE27" w14:textId="77777777" w:rsidR="00A96CF7" w:rsidRPr="00147E8C" w:rsidRDefault="00A96CF7" w:rsidP="00A96CF7">
      <w:pPr>
        <w:spacing w:line="276" w:lineRule="auto"/>
        <w:rPr>
          <w:color w:val="000000" w:themeColor="text1"/>
          <w:lang w:val="en-US"/>
        </w:rPr>
      </w:pPr>
      <w:r w:rsidRPr="00D0315F">
        <w:rPr>
          <w:color w:val="000000" w:themeColor="text1"/>
          <w:lang w:val="en-US"/>
        </w:rPr>
        <w:t xml:space="preserve">Utting-Chamorro, K. (2005) ‘Does Fair Trade make a difference? The case of small coffee producers in Nicaragua’, </w:t>
      </w:r>
      <w:r w:rsidRPr="00D0315F">
        <w:rPr>
          <w:i/>
          <w:iCs/>
          <w:color w:val="000000" w:themeColor="text1"/>
          <w:lang w:val="en-US"/>
        </w:rPr>
        <w:t xml:space="preserve">Development in Practice </w:t>
      </w:r>
      <w:r w:rsidRPr="00D0315F">
        <w:rPr>
          <w:color w:val="000000" w:themeColor="text1"/>
          <w:lang w:val="en-US"/>
        </w:rPr>
        <w:t>15(3/4).</w:t>
      </w:r>
      <w:r w:rsidRPr="00147E8C">
        <w:rPr>
          <w:color w:val="000000" w:themeColor="text1"/>
          <w:lang w:val="en-US"/>
        </w:rPr>
        <w:t xml:space="preserve"> p. 584–99. </w:t>
      </w:r>
    </w:p>
    <w:p w14:paraId="49AA6C76" w14:textId="77777777" w:rsidR="00A96CF7" w:rsidRPr="00147E8C" w:rsidRDefault="00A96CF7" w:rsidP="00A96CF7">
      <w:pPr>
        <w:spacing w:line="276" w:lineRule="auto"/>
        <w:rPr>
          <w:color w:val="000000" w:themeColor="text1"/>
        </w:rPr>
      </w:pPr>
    </w:p>
    <w:p w14:paraId="2A0FD318" w14:textId="77777777" w:rsidR="00A96CF7" w:rsidRPr="00147E8C" w:rsidRDefault="00A96CF7" w:rsidP="00A96CF7">
      <w:pPr>
        <w:spacing w:line="276" w:lineRule="auto"/>
        <w:rPr>
          <w:color w:val="000000" w:themeColor="text1"/>
          <w:lang w:val="en-US"/>
        </w:rPr>
      </w:pPr>
      <w:r w:rsidRPr="00147E8C">
        <w:rPr>
          <w:color w:val="000000" w:themeColor="text1"/>
          <w:lang w:val="en-US"/>
        </w:rPr>
        <w:t xml:space="preserve">Utting, P. (2013) </w:t>
      </w:r>
      <w:r w:rsidRPr="00147E8C">
        <w:rPr>
          <w:i/>
          <w:color w:val="000000" w:themeColor="text1"/>
          <w:lang w:val="en-US"/>
        </w:rPr>
        <w:t>What is Social and Solidarity Economy and why does it matter?</w:t>
      </w:r>
      <w:r w:rsidRPr="00147E8C">
        <w:rPr>
          <w:color w:val="000000" w:themeColor="text1"/>
          <w:lang w:val="en-US"/>
        </w:rPr>
        <w:t>[Online] Available from </w:t>
      </w:r>
      <w:hyperlink r:id="rId84" w:history="1">
        <w:r w:rsidRPr="00147E8C">
          <w:rPr>
            <w:color w:val="000000" w:themeColor="text1"/>
            <w:lang w:val="en-US"/>
          </w:rPr>
          <w:t>https://oxfamblogs.org/fp2p/beyond-the-fringe-realizing-the-potential-of-social-and-solidarity-economy/</w:t>
        </w:r>
      </w:hyperlink>
      <w:r w:rsidRPr="00147E8C">
        <w:rPr>
          <w:color w:val="000000" w:themeColor="text1"/>
          <w:lang w:val="en-US"/>
        </w:rPr>
        <w:t xml:space="preserve"> </w:t>
      </w:r>
      <w:r w:rsidRPr="00147E8C">
        <w:rPr>
          <w:i/>
          <w:color w:val="000000" w:themeColor="text1"/>
          <w:lang w:val="en-US"/>
        </w:rPr>
        <w:t xml:space="preserve"> </w:t>
      </w:r>
      <w:r w:rsidRPr="00147E8C">
        <w:rPr>
          <w:color w:val="000000" w:themeColor="text1"/>
          <w:lang w:val="en-US"/>
        </w:rPr>
        <w:t>(Accessed  29 April 2018].</w:t>
      </w:r>
    </w:p>
    <w:p w14:paraId="3C220C99" w14:textId="77777777" w:rsidR="00A96CF7" w:rsidRPr="00D0315F" w:rsidRDefault="00A96CF7" w:rsidP="00A96CF7">
      <w:pPr>
        <w:spacing w:line="276" w:lineRule="auto"/>
        <w:rPr>
          <w:color w:val="000000" w:themeColor="text1"/>
        </w:rPr>
      </w:pPr>
    </w:p>
    <w:p w14:paraId="014A0B00" w14:textId="77777777" w:rsidR="00A96CF7" w:rsidRPr="00D0315F" w:rsidRDefault="00A96CF7" w:rsidP="00A96CF7">
      <w:pPr>
        <w:spacing w:line="276" w:lineRule="auto"/>
        <w:rPr>
          <w:color w:val="000000" w:themeColor="text1"/>
          <w:lang w:val="en-US"/>
        </w:rPr>
      </w:pPr>
      <w:r w:rsidRPr="00D0315F">
        <w:rPr>
          <w:color w:val="000000" w:themeColor="text1"/>
          <w:lang w:val="en-US"/>
        </w:rPr>
        <w:t xml:space="preserve">Van den Hout, C. (2015) </w:t>
      </w:r>
      <w:r w:rsidRPr="00D0315F">
        <w:rPr>
          <w:i/>
          <w:color w:val="000000" w:themeColor="text1"/>
          <w:lang w:val="en-US"/>
        </w:rPr>
        <w:t xml:space="preserve">The impact of Fair Trade in small farmers: </w:t>
      </w:r>
      <w:r w:rsidRPr="00D0315F">
        <w:rPr>
          <w:i/>
          <w:color w:val="000000" w:themeColor="text1"/>
        </w:rPr>
        <w:t>the case of union of indigenous communities of the isthmus region in Mexico and society of small producers for coffee export in Nicaragua.</w:t>
      </w:r>
      <w:r w:rsidRPr="00D0315F">
        <w:rPr>
          <w:color w:val="000000" w:themeColor="text1"/>
        </w:rPr>
        <w:t xml:space="preserve"> [Online] Leiden: Leiden University. Available from: </w:t>
      </w:r>
      <w:hyperlink r:id="rId85" w:history="1">
        <w:r w:rsidRPr="00D0315F">
          <w:rPr>
            <w:rStyle w:val="Hyperlink"/>
            <w:rFonts w:eastAsiaTheme="majorEastAsia"/>
            <w:color w:val="000000" w:themeColor="text1"/>
            <w:u w:val="none"/>
          </w:rPr>
          <w:t>https://openaccess.leidenuniv.nl/bitstream/handle/1887/33346/The%20impact%20of%20FT%20on%20small%20farmers%20The%20Case%20of%20Union%20of%20In</w:t>
        </w:r>
        <w:r w:rsidRPr="00D0315F">
          <w:rPr>
            <w:rStyle w:val="Hyperlink"/>
            <w:rFonts w:eastAsiaTheme="majorEastAsia"/>
            <w:color w:val="000000" w:themeColor="text1"/>
            <w:u w:val="none"/>
          </w:rPr>
          <w:lastRenderedPageBreak/>
          <w:t>digenous%20Communities%20of%20the%20Isthmus%20Region%20in%20Mexico%20and%20Society%20of%20Small%20Producers%20for%20Coffee%20Export%20in%20Nicaragua.pdf?sequence=1</w:t>
        </w:r>
      </w:hyperlink>
      <w:r w:rsidRPr="00D0315F">
        <w:rPr>
          <w:color w:val="000000" w:themeColor="text1"/>
          <w:lang w:val="en-US"/>
        </w:rPr>
        <w:t xml:space="preserve"> [Accessed 3rd June 2017]. </w:t>
      </w:r>
    </w:p>
    <w:p w14:paraId="1094A212" w14:textId="77777777" w:rsidR="00A96CF7" w:rsidRPr="00D0315F" w:rsidRDefault="00A96CF7" w:rsidP="00A96CF7">
      <w:pPr>
        <w:spacing w:line="276" w:lineRule="auto"/>
        <w:rPr>
          <w:color w:val="000000" w:themeColor="text1"/>
          <w:lang w:val="en-US"/>
        </w:rPr>
      </w:pPr>
    </w:p>
    <w:p w14:paraId="311A4051" w14:textId="77777777" w:rsidR="00A96CF7" w:rsidRPr="00D0315F" w:rsidRDefault="00A96CF7" w:rsidP="00A96CF7">
      <w:pPr>
        <w:widowControl w:val="0"/>
        <w:autoSpaceDE w:val="0"/>
        <w:autoSpaceDN w:val="0"/>
        <w:adjustRightInd w:val="0"/>
        <w:spacing w:line="276" w:lineRule="auto"/>
        <w:rPr>
          <w:color w:val="000000" w:themeColor="text1"/>
        </w:rPr>
      </w:pPr>
      <w:r w:rsidRPr="00D0315F">
        <w:rPr>
          <w:color w:val="000000" w:themeColor="text1"/>
        </w:rPr>
        <w:t xml:space="preserve">Veltman, A. and Piper, M. (eds.) (2014) </w:t>
      </w:r>
      <w:hyperlink r:id="rId86" w:history="1">
        <w:r w:rsidRPr="00D0315F">
          <w:rPr>
            <w:i/>
            <w:color w:val="000000" w:themeColor="text1"/>
          </w:rPr>
          <w:t>Autonomy, Oppression, and Gender</w:t>
        </w:r>
      </w:hyperlink>
      <w:r w:rsidRPr="00D0315F">
        <w:rPr>
          <w:i/>
          <w:color w:val="000000" w:themeColor="text1"/>
        </w:rPr>
        <w:t xml:space="preserve">. [Online] </w:t>
      </w:r>
      <w:r w:rsidRPr="00D0315F">
        <w:rPr>
          <w:color w:val="000000" w:themeColor="text1"/>
        </w:rPr>
        <w:t xml:space="preserve">Oxford Scholarship Online. Available from: </w:t>
      </w:r>
      <w:hyperlink r:id="rId87" w:history="1">
        <w:r w:rsidRPr="00D0315F">
          <w:rPr>
            <w:rStyle w:val="Hyperlink"/>
            <w:rFonts w:eastAsiaTheme="majorEastAsia"/>
            <w:color w:val="000000" w:themeColor="text1"/>
            <w:u w:val="none"/>
          </w:rPr>
          <w:t>http://www.oxfordscholarship.com/view/10.1093/acprof:oso/9780199969104.001.0001/acprof-9780199969104</w:t>
        </w:r>
      </w:hyperlink>
      <w:r w:rsidRPr="00D0315F">
        <w:rPr>
          <w:color w:val="000000" w:themeColor="text1"/>
        </w:rPr>
        <w:t xml:space="preserve"> [Accessed 16th August 2017]. </w:t>
      </w:r>
    </w:p>
    <w:p w14:paraId="5722361C" w14:textId="77777777" w:rsidR="00A96CF7" w:rsidRPr="00D0315F" w:rsidRDefault="00A96CF7" w:rsidP="00A96CF7">
      <w:pPr>
        <w:spacing w:line="276" w:lineRule="auto"/>
        <w:rPr>
          <w:color w:val="000000" w:themeColor="text1"/>
        </w:rPr>
      </w:pPr>
    </w:p>
    <w:p w14:paraId="5682A7B9" w14:textId="77777777" w:rsidR="00A96CF7" w:rsidRPr="00D0315F" w:rsidRDefault="00A96CF7" w:rsidP="00A96CF7">
      <w:pPr>
        <w:spacing w:line="276" w:lineRule="auto"/>
        <w:rPr>
          <w:color w:val="000000" w:themeColor="text1"/>
          <w:lang w:val="en-US"/>
        </w:rPr>
      </w:pPr>
      <w:r w:rsidRPr="00D0315F">
        <w:rPr>
          <w:color w:val="000000" w:themeColor="text1"/>
        </w:rPr>
        <w:t xml:space="preserve">VeneKlasen, L., Miller, V., (2002) ‘Power and empowerment’, </w:t>
      </w:r>
      <w:r w:rsidRPr="00D0315F">
        <w:rPr>
          <w:i/>
          <w:color w:val="000000" w:themeColor="text1"/>
          <w:lang w:val="en-US"/>
        </w:rPr>
        <w:t>PLA Notes</w:t>
      </w:r>
      <w:r w:rsidRPr="00D0315F">
        <w:rPr>
          <w:color w:val="000000" w:themeColor="text1"/>
          <w:lang w:val="en-US"/>
        </w:rPr>
        <w:t xml:space="preserve">, 43, pp. 39-41. </w:t>
      </w:r>
    </w:p>
    <w:p w14:paraId="6D695ABE" w14:textId="77777777" w:rsidR="00A96CF7" w:rsidRPr="00D0315F" w:rsidRDefault="00A96CF7" w:rsidP="00A96CF7">
      <w:pPr>
        <w:spacing w:line="276" w:lineRule="auto"/>
        <w:rPr>
          <w:color w:val="000000" w:themeColor="text1"/>
        </w:rPr>
      </w:pPr>
    </w:p>
    <w:p w14:paraId="7DCB127F" w14:textId="77777777" w:rsidR="00A96CF7" w:rsidRPr="00D0315F" w:rsidRDefault="00A96CF7" w:rsidP="00A96CF7">
      <w:pPr>
        <w:spacing w:line="276" w:lineRule="auto"/>
        <w:rPr>
          <w:color w:val="000000" w:themeColor="text1"/>
        </w:rPr>
      </w:pPr>
      <w:r w:rsidRPr="00D0315F">
        <w:rPr>
          <w:color w:val="000000" w:themeColor="text1"/>
        </w:rPr>
        <w:t xml:space="preserve">Walker, T. and Wade, C. (2017) </w:t>
      </w:r>
      <w:r w:rsidRPr="00D0315F">
        <w:rPr>
          <w:i/>
          <w:color w:val="000000" w:themeColor="text1"/>
        </w:rPr>
        <w:t>Nicaragua: emerging from the shadow of the eagle</w:t>
      </w:r>
      <w:r w:rsidRPr="00D0315F">
        <w:rPr>
          <w:color w:val="000000" w:themeColor="text1"/>
        </w:rPr>
        <w:t>, 6</w:t>
      </w:r>
      <w:r w:rsidRPr="00D0315F">
        <w:rPr>
          <w:color w:val="000000" w:themeColor="text1"/>
          <w:vertAlign w:val="superscript"/>
        </w:rPr>
        <w:t>th</w:t>
      </w:r>
      <w:r w:rsidRPr="00D0315F">
        <w:rPr>
          <w:color w:val="000000" w:themeColor="text1"/>
        </w:rPr>
        <w:t xml:space="preserve"> edn. Boulder: Westview Press. </w:t>
      </w:r>
    </w:p>
    <w:p w14:paraId="72918C7E" w14:textId="77777777" w:rsidR="00A96CF7" w:rsidRPr="00D0315F" w:rsidRDefault="00A96CF7" w:rsidP="00A96CF7">
      <w:pPr>
        <w:spacing w:line="276" w:lineRule="auto"/>
        <w:rPr>
          <w:color w:val="000000" w:themeColor="text1"/>
        </w:rPr>
      </w:pPr>
    </w:p>
    <w:p w14:paraId="54C7AF70" w14:textId="77777777" w:rsidR="00A96CF7" w:rsidRPr="00D0315F" w:rsidRDefault="00A96CF7" w:rsidP="00A96CF7">
      <w:pPr>
        <w:spacing w:line="276" w:lineRule="auto"/>
        <w:rPr>
          <w:color w:val="000000" w:themeColor="text1"/>
        </w:rPr>
      </w:pPr>
      <w:r w:rsidRPr="00D0315F">
        <w:rPr>
          <w:color w:val="000000" w:themeColor="text1"/>
        </w:rPr>
        <w:t xml:space="preserve">Walsh, P. (2011) ‘‘Swimming against the tide is easier as a shoal’: changing masculinities in Nicaragua – a community-based approach’, in Cornwall, A., Edstrom, J., Greig, A. (eds) </w:t>
      </w:r>
      <w:r w:rsidRPr="00D0315F">
        <w:rPr>
          <w:i/>
          <w:iCs/>
          <w:color w:val="000000" w:themeColor="text1"/>
        </w:rPr>
        <w:t>Men and Development: Politicising masculinities.</w:t>
      </w:r>
      <w:r w:rsidRPr="00D0315F">
        <w:rPr>
          <w:color w:val="000000" w:themeColor="text1"/>
        </w:rPr>
        <w:t xml:space="preserve"> London and New York: Zed Books, pp.205-219. Available from: </w:t>
      </w:r>
      <w:hyperlink r:id="rId88" w:history="1">
        <w:r w:rsidRPr="00D0315F">
          <w:rPr>
            <w:rStyle w:val="Hyperlink"/>
            <w:rFonts w:eastAsiaTheme="majorEastAsia"/>
            <w:color w:val="000000" w:themeColor="text1"/>
            <w:u w:val="none"/>
          </w:rPr>
          <w:t>http://www.andreacornwall.net/wp-content/uploads/2013/05/men_and_development.pdf</w:t>
        </w:r>
      </w:hyperlink>
      <w:r w:rsidRPr="00D0315F">
        <w:rPr>
          <w:color w:val="000000" w:themeColor="text1"/>
        </w:rPr>
        <w:t xml:space="preserve"> [Accessed 6th May 2017]. </w:t>
      </w:r>
    </w:p>
    <w:p w14:paraId="0BA24AA9" w14:textId="77777777" w:rsidR="00A96CF7" w:rsidRPr="00D0315F" w:rsidRDefault="00A96CF7" w:rsidP="00A96CF7">
      <w:pPr>
        <w:pStyle w:val="NormalWeb"/>
        <w:spacing w:line="276" w:lineRule="auto"/>
        <w:rPr>
          <w:color w:val="000000" w:themeColor="text1"/>
        </w:rPr>
      </w:pPr>
      <w:r w:rsidRPr="00D0315F">
        <w:rPr>
          <w:color w:val="000000" w:themeColor="text1"/>
        </w:rPr>
        <w:t xml:space="preserve">Waring, M. (1988) </w:t>
      </w:r>
      <w:r w:rsidRPr="00D0315F">
        <w:rPr>
          <w:i/>
          <w:color w:val="000000" w:themeColor="text1"/>
        </w:rPr>
        <w:t>If women counted - a new feminist economics</w:t>
      </w:r>
      <w:r w:rsidRPr="00D0315F">
        <w:rPr>
          <w:color w:val="000000" w:themeColor="text1"/>
        </w:rPr>
        <w:t>. San Francisco: Harper and Row.</w:t>
      </w:r>
    </w:p>
    <w:p w14:paraId="6C16E93E" w14:textId="77777777" w:rsidR="00A96CF7" w:rsidRPr="00D0315F" w:rsidRDefault="00A96CF7" w:rsidP="00A96CF7">
      <w:pPr>
        <w:spacing w:line="276" w:lineRule="auto"/>
        <w:rPr>
          <w:color w:val="000000" w:themeColor="text1"/>
        </w:rPr>
      </w:pPr>
      <w:r w:rsidRPr="00D0315F">
        <w:rPr>
          <w:color w:val="000000" w:themeColor="text1"/>
        </w:rPr>
        <w:t xml:space="preserve">Waring, M. (2004) </w:t>
      </w:r>
      <w:r w:rsidRPr="00D0315F">
        <w:rPr>
          <w:i/>
          <w:iCs/>
          <w:color w:val="000000" w:themeColor="text1"/>
        </w:rPr>
        <w:t>Counting for Nothing</w:t>
      </w:r>
      <w:r w:rsidRPr="00D0315F">
        <w:rPr>
          <w:color w:val="000000" w:themeColor="text1"/>
        </w:rPr>
        <w:t>, 2</w:t>
      </w:r>
      <w:r w:rsidRPr="00D0315F">
        <w:rPr>
          <w:color w:val="000000" w:themeColor="text1"/>
          <w:vertAlign w:val="superscript"/>
        </w:rPr>
        <w:t>nd</w:t>
      </w:r>
      <w:r w:rsidRPr="00D0315F">
        <w:rPr>
          <w:color w:val="000000" w:themeColor="text1"/>
        </w:rPr>
        <w:t xml:space="preserve"> edition. Toronto: University of Toronto Press.</w:t>
      </w:r>
    </w:p>
    <w:p w14:paraId="45FEE409" w14:textId="77777777" w:rsidR="00A96CF7" w:rsidRPr="00D0315F" w:rsidRDefault="00A96CF7" w:rsidP="00A96CF7">
      <w:pPr>
        <w:pStyle w:val="NormalWeb"/>
        <w:spacing w:before="0" w:beforeAutospacing="0" w:after="0" w:afterAutospacing="0" w:line="276" w:lineRule="auto"/>
        <w:rPr>
          <w:color w:val="000000" w:themeColor="text1"/>
          <w:lang w:val="en-US"/>
        </w:rPr>
      </w:pPr>
    </w:p>
    <w:p w14:paraId="5E7F187E" w14:textId="70EFA481" w:rsidR="00A96CF7" w:rsidRPr="00D0315F" w:rsidRDefault="00A96CF7" w:rsidP="00A96CF7">
      <w:pPr>
        <w:pStyle w:val="NormalWeb"/>
        <w:spacing w:before="0" w:beforeAutospacing="0" w:after="0" w:afterAutospacing="0" w:line="276" w:lineRule="auto"/>
        <w:rPr>
          <w:bCs/>
          <w:color w:val="000000" w:themeColor="text1"/>
        </w:rPr>
      </w:pPr>
      <w:r w:rsidRPr="00D0315F">
        <w:rPr>
          <w:color w:val="000000" w:themeColor="text1"/>
          <w:lang w:val="es-NI"/>
        </w:rPr>
        <w:t xml:space="preserve">Waring, M. (2008). </w:t>
      </w:r>
      <w:r w:rsidRPr="00D0315F">
        <w:rPr>
          <w:bCs/>
          <w:color w:val="000000" w:themeColor="text1"/>
        </w:rPr>
        <w:t xml:space="preserve">Policy and Strategy in Health Care Provision in the PAHO </w:t>
      </w:r>
      <w:r w:rsidR="00426335" w:rsidRPr="00D0315F">
        <w:rPr>
          <w:bCs/>
          <w:color w:val="000000" w:themeColor="text1"/>
        </w:rPr>
        <w:t>region and</w:t>
      </w:r>
      <w:r w:rsidRPr="00D0315F">
        <w:rPr>
          <w:bCs/>
          <w:color w:val="000000" w:themeColor="text1"/>
        </w:rPr>
        <w:t xml:space="preserve"> Measuring Unpaid Work.</w:t>
      </w:r>
      <w:r w:rsidRPr="00D0315F">
        <w:rPr>
          <w:b/>
          <w:bCs/>
          <w:color w:val="000000" w:themeColor="text1"/>
        </w:rPr>
        <w:t xml:space="preserve"> </w:t>
      </w:r>
      <w:r w:rsidRPr="00D0315F">
        <w:rPr>
          <w:bCs/>
          <w:color w:val="000000" w:themeColor="text1"/>
        </w:rPr>
        <w:t xml:space="preserve">In: Pan American Health Organization (ed.) </w:t>
      </w:r>
      <w:r w:rsidRPr="00D0315F">
        <w:rPr>
          <w:bCs/>
          <w:i/>
          <w:iCs/>
          <w:color w:val="000000" w:themeColor="text1"/>
        </w:rPr>
        <w:t xml:space="preserve">The Invisible Economy and Gender Inequalities. The Importance of Measuring and Valuing Unpaid Work. </w:t>
      </w:r>
      <w:r w:rsidRPr="00D0315F">
        <w:rPr>
          <w:bCs/>
          <w:color w:val="000000" w:themeColor="text1"/>
        </w:rPr>
        <w:t xml:space="preserve">Washington, D.C.: PAHO, 2010 </w:t>
      </w:r>
    </w:p>
    <w:p w14:paraId="4CDB70D7" w14:textId="77777777" w:rsidR="00A96CF7" w:rsidRPr="00D0315F" w:rsidRDefault="00A96CF7" w:rsidP="00A96CF7">
      <w:pPr>
        <w:spacing w:line="276" w:lineRule="auto"/>
        <w:rPr>
          <w:color w:val="000000" w:themeColor="text1"/>
        </w:rPr>
      </w:pPr>
    </w:p>
    <w:p w14:paraId="1984C47F" w14:textId="77777777" w:rsidR="00A96CF7" w:rsidRPr="00D0315F" w:rsidRDefault="00A96CF7" w:rsidP="00A96CF7">
      <w:pPr>
        <w:spacing w:line="276" w:lineRule="auto"/>
        <w:rPr>
          <w:color w:val="000000" w:themeColor="text1"/>
          <w:lang w:val="en-US"/>
        </w:rPr>
      </w:pPr>
      <w:r w:rsidRPr="00D0315F">
        <w:rPr>
          <w:color w:val="000000" w:themeColor="text1"/>
        </w:rPr>
        <w:t>West, C., and D. Zimmerman (</w:t>
      </w:r>
      <w:r w:rsidRPr="00D0315F">
        <w:rPr>
          <w:color w:val="000000" w:themeColor="text1"/>
          <w:lang w:val="en-US"/>
        </w:rPr>
        <w:t xml:space="preserve">1987). ‘Doing gender’, </w:t>
      </w:r>
      <w:r w:rsidRPr="00D0315F">
        <w:rPr>
          <w:i/>
          <w:iCs/>
          <w:color w:val="000000" w:themeColor="text1"/>
          <w:lang w:val="en-US"/>
        </w:rPr>
        <w:t xml:space="preserve">Gender &amp; Society, </w:t>
      </w:r>
      <w:r w:rsidRPr="00D0315F">
        <w:rPr>
          <w:color w:val="000000" w:themeColor="text1"/>
          <w:lang w:val="en-US"/>
        </w:rPr>
        <w:t xml:space="preserve">1 (2), pp.125–51. </w:t>
      </w:r>
    </w:p>
    <w:p w14:paraId="1572EE31" w14:textId="77777777" w:rsidR="00A96CF7" w:rsidRPr="00D0315F" w:rsidRDefault="00A96CF7" w:rsidP="00A96CF7">
      <w:pPr>
        <w:spacing w:line="276" w:lineRule="auto"/>
        <w:rPr>
          <w:color w:val="000000" w:themeColor="text1"/>
          <w:lang w:val="en-US"/>
        </w:rPr>
      </w:pPr>
    </w:p>
    <w:p w14:paraId="75288E29" w14:textId="77777777" w:rsidR="00A96CF7" w:rsidRPr="00D0315F" w:rsidRDefault="00A96CF7" w:rsidP="00A96CF7">
      <w:pPr>
        <w:spacing w:line="276" w:lineRule="auto"/>
        <w:rPr>
          <w:color w:val="000000" w:themeColor="text1"/>
          <w:lang w:val="en-US"/>
        </w:rPr>
      </w:pPr>
      <w:r w:rsidRPr="00D0315F">
        <w:rPr>
          <w:color w:val="000000" w:themeColor="text1"/>
        </w:rPr>
        <w:t>West, C., and Fenstermaker, S. (</w:t>
      </w:r>
      <w:r w:rsidRPr="00D0315F">
        <w:rPr>
          <w:color w:val="000000" w:themeColor="text1"/>
          <w:lang w:val="en-US"/>
        </w:rPr>
        <w:t xml:space="preserve">1995) ‘Doing difference’, </w:t>
      </w:r>
      <w:r w:rsidRPr="00D0315F">
        <w:rPr>
          <w:i/>
          <w:color w:val="000000" w:themeColor="text1"/>
          <w:lang w:val="en-US"/>
        </w:rPr>
        <w:t>Gender &amp; Society</w:t>
      </w:r>
      <w:r w:rsidRPr="00D0315F">
        <w:rPr>
          <w:color w:val="000000" w:themeColor="text1"/>
          <w:lang w:val="en-US"/>
        </w:rPr>
        <w:t>, 9 (1), pp. 8–37.</w:t>
      </w:r>
    </w:p>
    <w:p w14:paraId="2FE2BC39" w14:textId="77777777" w:rsidR="00A96CF7" w:rsidRPr="00D0315F" w:rsidRDefault="00A96CF7" w:rsidP="00A96CF7">
      <w:pPr>
        <w:spacing w:line="276" w:lineRule="auto"/>
        <w:rPr>
          <w:color w:val="000000" w:themeColor="text1"/>
          <w:lang w:val="en-US"/>
        </w:rPr>
      </w:pPr>
    </w:p>
    <w:p w14:paraId="285B9DF7" w14:textId="77777777" w:rsidR="00A96CF7" w:rsidRPr="00147E8C" w:rsidRDefault="00A96CF7" w:rsidP="00A96CF7">
      <w:pPr>
        <w:spacing w:line="276" w:lineRule="auto"/>
        <w:rPr>
          <w:color w:val="000000" w:themeColor="text1"/>
        </w:rPr>
      </w:pPr>
      <w:r w:rsidRPr="00147E8C">
        <w:rPr>
          <w:color w:val="000000" w:themeColor="text1"/>
        </w:rPr>
        <w:t xml:space="preserve">Whitehead, A. (1979) ‘Some preliminary notes on the continuing subordination of women’, </w:t>
      </w:r>
      <w:r w:rsidRPr="00147E8C">
        <w:rPr>
          <w:i/>
          <w:color w:val="000000" w:themeColor="text1"/>
        </w:rPr>
        <w:t>Institute of Development Studies Bulletin</w:t>
      </w:r>
      <w:r w:rsidRPr="00147E8C">
        <w:rPr>
          <w:color w:val="000000" w:themeColor="text1"/>
        </w:rPr>
        <w:t>, 10 (3), pp.10–13.  </w:t>
      </w:r>
    </w:p>
    <w:p w14:paraId="5DC7DC9A" w14:textId="77777777" w:rsidR="00A96CF7" w:rsidRPr="00147E8C" w:rsidRDefault="00A96CF7" w:rsidP="00A96CF7">
      <w:pPr>
        <w:spacing w:line="276" w:lineRule="auto"/>
        <w:rPr>
          <w:color w:val="000000" w:themeColor="text1"/>
        </w:rPr>
      </w:pPr>
    </w:p>
    <w:p w14:paraId="5766F1E9" w14:textId="77777777" w:rsidR="00A96CF7" w:rsidRPr="00147E8C" w:rsidRDefault="00A96CF7" w:rsidP="00A96CF7">
      <w:pPr>
        <w:spacing w:line="276" w:lineRule="auto"/>
        <w:rPr>
          <w:color w:val="000000" w:themeColor="text1"/>
          <w:lang w:val="en-US"/>
        </w:rPr>
      </w:pPr>
      <w:r w:rsidRPr="00147E8C">
        <w:rPr>
          <w:color w:val="000000" w:themeColor="text1"/>
        </w:rPr>
        <w:t xml:space="preserve">Wilson, K. (2008). ‘Reclaiming ‘agency’, reasserting resistance’, </w:t>
      </w:r>
      <w:r w:rsidRPr="00147E8C">
        <w:rPr>
          <w:i/>
          <w:iCs/>
          <w:color w:val="000000" w:themeColor="text1"/>
          <w:lang w:val="en-US"/>
        </w:rPr>
        <w:t>IDS Bulletin</w:t>
      </w:r>
      <w:r w:rsidRPr="00147E8C">
        <w:rPr>
          <w:color w:val="000000" w:themeColor="text1"/>
          <w:lang w:val="en-US"/>
        </w:rPr>
        <w:t xml:space="preserve">, 39 (6), pp.83-9. </w:t>
      </w:r>
    </w:p>
    <w:p w14:paraId="235B5C0D" w14:textId="77777777" w:rsidR="00A96CF7" w:rsidRPr="00147E8C" w:rsidRDefault="00A96CF7" w:rsidP="00A96CF7">
      <w:pPr>
        <w:spacing w:line="276" w:lineRule="auto"/>
        <w:rPr>
          <w:color w:val="000000" w:themeColor="text1"/>
          <w:lang w:val="en-US"/>
        </w:rPr>
      </w:pPr>
    </w:p>
    <w:p w14:paraId="02E7217D" w14:textId="20467FDE" w:rsidR="00A96CF7" w:rsidRPr="00D0315F" w:rsidRDefault="00A96CF7" w:rsidP="00A96CF7">
      <w:pPr>
        <w:spacing w:line="276" w:lineRule="auto"/>
        <w:rPr>
          <w:color w:val="000000" w:themeColor="text1"/>
        </w:rPr>
      </w:pPr>
      <w:r w:rsidRPr="00D0315F">
        <w:rPr>
          <w:color w:val="000000" w:themeColor="text1"/>
        </w:rPr>
        <w:t>Wing-sea Leung</w:t>
      </w:r>
      <w:r w:rsidRPr="00D0315F">
        <w:rPr>
          <w:bCs/>
          <w:color w:val="000000" w:themeColor="text1"/>
        </w:rPr>
        <w:t xml:space="preserve">, J, (2011). Making the Invisible Count: </w:t>
      </w:r>
      <w:r w:rsidRPr="00D0315F">
        <w:rPr>
          <w:color w:val="000000" w:themeColor="text1"/>
        </w:rPr>
        <w:t>Gender Equity in a Fair Trade Coffee Co-operative in Nicaragua, Department of Community Health and Epidemiology, University of Saskatchewan, Canada. PhD thesis. Database: E</w:t>
      </w:r>
      <w:r w:rsidR="00F645CE">
        <w:rPr>
          <w:color w:val="000000" w:themeColor="text1"/>
        </w:rPr>
        <w:t>commons. [Accessed</w:t>
      </w:r>
      <w:r w:rsidR="00426335">
        <w:rPr>
          <w:color w:val="000000" w:themeColor="text1"/>
        </w:rPr>
        <w:t xml:space="preserve"> 12 May 2018].</w:t>
      </w:r>
    </w:p>
    <w:p w14:paraId="77FC65D0" w14:textId="77777777" w:rsidR="00A96CF7" w:rsidRPr="00D0315F" w:rsidRDefault="00A96CF7" w:rsidP="00A96CF7">
      <w:pPr>
        <w:spacing w:line="276" w:lineRule="auto"/>
        <w:rPr>
          <w:color w:val="000000" w:themeColor="text1"/>
        </w:rPr>
      </w:pPr>
      <w:r w:rsidRPr="00D0315F">
        <w:rPr>
          <w:color w:val="000000" w:themeColor="text1"/>
        </w:rPr>
        <w:t xml:space="preserve"> </w:t>
      </w:r>
    </w:p>
    <w:p w14:paraId="28DADF9E" w14:textId="77777777" w:rsidR="00A96CF7" w:rsidRPr="00D0315F" w:rsidRDefault="00A96CF7" w:rsidP="00A96CF7">
      <w:pPr>
        <w:spacing w:line="276" w:lineRule="auto"/>
        <w:rPr>
          <w:color w:val="000000" w:themeColor="text1"/>
        </w:rPr>
      </w:pPr>
      <w:r w:rsidRPr="00D0315F">
        <w:rPr>
          <w:color w:val="000000" w:themeColor="text1"/>
        </w:rPr>
        <w:t>Wong, K.-F. (2003) ‘Empowerment as a panacea for poverty—old wine in new bottles? reflections on the World Bank’s conception of power.’, Progress</w:t>
      </w:r>
      <w:r w:rsidRPr="00D0315F">
        <w:rPr>
          <w:i/>
          <w:iCs/>
          <w:color w:val="000000" w:themeColor="text1"/>
        </w:rPr>
        <w:t xml:space="preserve"> in Development Studies</w:t>
      </w:r>
      <w:r w:rsidRPr="00D0315F">
        <w:rPr>
          <w:color w:val="000000" w:themeColor="text1"/>
        </w:rPr>
        <w:t xml:space="preserve"> 3, (4), pp.307–32. </w:t>
      </w:r>
    </w:p>
    <w:p w14:paraId="6FC16EF6" w14:textId="77777777" w:rsidR="00A96CF7" w:rsidRPr="00D0315F" w:rsidRDefault="00A96CF7" w:rsidP="00A96CF7">
      <w:pPr>
        <w:spacing w:line="276" w:lineRule="auto"/>
        <w:rPr>
          <w:color w:val="000000" w:themeColor="text1"/>
        </w:rPr>
      </w:pPr>
    </w:p>
    <w:p w14:paraId="6ACAC6E8" w14:textId="77777777" w:rsidR="00A96CF7" w:rsidRPr="00D0315F" w:rsidRDefault="00A96CF7" w:rsidP="00A96CF7">
      <w:pPr>
        <w:spacing w:line="276" w:lineRule="auto"/>
        <w:rPr>
          <w:color w:val="000000" w:themeColor="text1"/>
          <w:lang w:val="en-US"/>
        </w:rPr>
      </w:pPr>
      <w:r w:rsidRPr="00D0315F">
        <w:rPr>
          <w:color w:val="000000" w:themeColor="text1"/>
        </w:rPr>
        <w:t xml:space="preserve">Wood, C. A. (2003) ‘Economic marginalia: postcolonial readings of unpaid domestic labor and development’, in Barker, D.K. and Kuiper, E. (eds.) </w:t>
      </w:r>
      <w:r w:rsidRPr="00D0315F">
        <w:rPr>
          <w:i/>
          <w:iCs/>
          <w:color w:val="000000" w:themeColor="text1"/>
        </w:rPr>
        <w:t>Toward a feminist philosophy of economic</w:t>
      </w:r>
      <w:r w:rsidRPr="00D0315F">
        <w:rPr>
          <w:color w:val="000000" w:themeColor="text1"/>
        </w:rPr>
        <w:t xml:space="preserve">. </w:t>
      </w:r>
      <w:r w:rsidRPr="00D0315F">
        <w:rPr>
          <w:color w:val="000000" w:themeColor="text1"/>
          <w:lang w:val="en-US"/>
        </w:rPr>
        <w:t xml:space="preserve">New York: Routledge. pp. 304–321. </w:t>
      </w:r>
    </w:p>
    <w:p w14:paraId="003D8FB9" w14:textId="77777777" w:rsidR="00A96CF7" w:rsidRPr="00D0315F" w:rsidRDefault="00A96CF7" w:rsidP="00A96CF7">
      <w:pPr>
        <w:spacing w:line="276" w:lineRule="auto"/>
        <w:rPr>
          <w:color w:val="000000" w:themeColor="text1"/>
        </w:rPr>
      </w:pPr>
    </w:p>
    <w:p w14:paraId="54BF4CCD" w14:textId="77777777" w:rsidR="00A96CF7" w:rsidRPr="00D0315F" w:rsidRDefault="0082537D" w:rsidP="00A96CF7">
      <w:pPr>
        <w:spacing w:line="276" w:lineRule="auto"/>
        <w:rPr>
          <w:color w:val="000000" w:themeColor="text1"/>
        </w:rPr>
      </w:pPr>
      <w:hyperlink r:id="rId89" w:history="1">
        <w:r w:rsidR="00A96CF7" w:rsidRPr="00D0315F">
          <w:rPr>
            <w:rStyle w:val="Hyperlink"/>
            <w:rFonts w:eastAsiaTheme="majorEastAsia"/>
            <w:color w:val="000000" w:themeColor="text1"/>
            <w:u w:val="none"/>
          </w:rPr>
          <w:t xml:space="preserve">Woodcraft, J.  and Donald, K. (2014) ‘Unpaid care: a priority for the post-2015 development goals and beyond’, </w:t>
        </w:r>
        <w:r w:rsidR="00A96CF7" w:rsidRPr="00D0315F">
          <w:rPr>
            <w:rStyle w:val="Hyperlink"/>
            <w:rFonts w:eastAsiaTheme="majorEastAsia"/>
            <w:i/>
            <w:color w:val="000000" w:themeColor="text1"/>
            <w:u w:val="none"/>
          </w:rPr>
          <w:t xml:space="preserve"> Briefings </w:t>
        </w:r>
        <w:r w:rsidR="00A96CF7" w:rsidRPr="00D0315F">
          <w:rPr>
            <w:rStyle w:val="Hyperlink"/>
            <w:rFonts w:eastAsiaTheme="majorEastAsia"/>
            <w:color w:val="000000" w:themeColor="text1"/>
            <w:u w:val="none"/>
          </w:rPr>
          <w:t>[Online]</w:t>
        </w:r>
        <w:r w:rsidR="00A96CF7" w:rsidRPr="00D0315F">
          <w:rPr>
            <w:rStyle w:val="Hyperlink"/>
            <w:rFonts w:eastAsiaTheme="majorEastAsia"/>
            <w:i/>
            <w:color w:val="000000" w:themeColor="text1"/>
            <w:u w:val="none"/>
          </w:rPr>
          <w:t xml:space="preserve">, </w:t>
        </w:r>
        <w:r w:rsidR="00A96CF7" w:rsidRPr="00D0315F">
          <w:rPr>
            <w:rStyle w:val="Hyperlink"/>
            <w:rFonts w:eastAsiaTheme="majorEastAsia"/>
            <w:color w:val="000000" w:themeColor="text1"/>
            <w:u w:val="none"/>
          </w:rPr>
          <w:t xml:space="preserve"> 6 (July 2014). London: Gender and Development Network.  Available from:  https:// static 1. Squarespace.com/static/536c4ee8e4b0b60bc6ca7c74/t/53e0f128e4b09446eddce521/1407250728579/GADN+Unpaid+Care+briefing.pdf</w:t>
        </w:r>
      </w:hyperlink>
      <w:r w:rsidR="00A96CF7" w:rsidRPr="00D0315F">
        <w:rPr>
          <w:color w:val="000000" w:themeColor="text1"/>
        </w:rPr>
        <w:t xml:space="preserve"> [Accessed 2nd March 2017].</w:t>
      </w:r>
    </w:p>
    <w:p w14:paraId="49F22ED6" w14:textId="77777777" w:rsidR="00A96CF7" w:rsidRPr="00D0315F" w:rsidRDefault="00A96CF7" w:rsidP="00A96CF7">
      <w:pPr>
        <w:pStyle w:val="NormalWeb"/>
        <w:spacing w:line="276" w:lineRule="auto"/>
        <w:rPr>
          <w:color w:val="000000" w:themeColor="text1"/>
        </w:rPr>
      </w:pPr>
      <w:r w:rsidRPr="00D0315F">
        <w:rPr>
          <w:color w:val="000000" w:themeColor="text1"/>
        </w:rPr>
        <w:t xml:space="preserve">World Bank (1995) </w:t>
      </w:r>
      <w:r w:rsidRPr="00D0315F">
        <w:rPr>
          <w:i/>
          <w:iCs/>
          <w:color w:val="000000" w:themeColor="text1"/>
        </w:rPr>
        <w:t>Enhancing women’s participation in economic development</w:t>
      </w:r>
      <w:r w:rsidRPr="00D0315F">
        <w:rPr>
          <w:color w:val="000000" w:themeColor="text1"/>
        </w:rPr>
        <w:t>. Washington, DC: World Bank.</w:t>
      </w:r>
    </w:p>
    <w:p w14:paraId="6AFBB237" w14:textId="226059B7" w:rsidR="00A96CF7" w:rsidRPr="00D0315F" w:rsidRDefault="00A96CF7" w:rsidP="00A96CF7">
      <w:pPr>
        <w:spacing w:line="276" w:lineRule="auto"/>
        <w:rPr>
          <w:color w:val="000000" w:themeColor="text1"/>
        </w:rPr>
      </w:pPr>
      <w:r w:rsidRPr="00D0315F">
        <w:rPr>
          <w:color w:val="000000" w:themeColor="text1"/>
        </w:rPr>
        <w:t xml:space="preserve">World Bank (2006) </w:t>
      </w:r>
      <w:r w:rsidRPr="00D0315F">
        <w:rPr>
          <w:i/>
          <w:color w:val="000000" w:themeColor="text1"/>
        </w:rPr>
        <w:t xml:space="preserve">Gender equality as smart economics: </w:t>
      </w:r>
      <w:r w:rsidR="00426335" w:rsidRPr="00D0315F">
        <w:rPr>
          <w:i/>
          <w:color w:val="000000" w:themeColor="text1"/>
        </w:rPr>
        <w:t>A</w:t>
      </w:r>
      <w:r w:rsidRPr="00D0315F">
        <w:rPr>
          <w:i/>
          <w:color w:val="000000" w:themeColor="text1"/>
        </w:rPr>
        <w:t xml:space="preserve"> World Bank group gender action plan (fiscal years 2007–10). </w:t>
      </w:r>
      <w:r w:rsidRPr="00D0315F">
        <w:rPr>
          <w:color w:val="000000" w:themeColor="text1"/>
        </w:rPr>
        <w:t>[Online]</w:t>
      </w:r>
      <w:r w:rsidRPr="00D0315F">
        <w:rPr>
          <w:i/>
          <w:color w:val="000000" w:themeColor="text1"/>
        </w:rPr>
        <w:t xml:space="preserve"> </w:t>
      </w:r>
      <w:r w:rsidRPr="00D0315F">
        <w:rPr>
          <w:color w:val="000000" w:themeColor="text1"/>
        </w:rPr>
        <w:t>Washington DC: World Bank. Available from:</w:t>
      </w:r>
      <w:r w:rsidRPr="00D0315F">
        <w:rPr>
          <w:i/>
          <w:color w:val="000000" w:themeColor="text1"/>
        </w:rPr>
        <w:t xml:space="preserve"> </w:t>
      </w:r>
      <w:r w:rsidRPr="00D0315F">
        <w:rPr>
          <w:color w:val="000000" w:themeColor="text1"/>
        </w:rPr>
        <w:t xml:space="preserve"> </w:t>
      </w:r>
    </w:p>
    <w:p w14:paraId="54F0C617" w14:textId="77777777" w:rsidR="00A96CF7" w:rsidRPr="00D0315F" w:rsidRDefault="0082537D" w:rsidP="00A96CF7">
      <w:pPr>
        <w:spacing w:line="276" w:lineRule="auto"/>
        <w:rPr>
          <w:color w:val="000000" w:themeColor="text1"/>
        </w:rPr>
      </w:pPr>
      <w:hyperlink r:id="rId90" w:history="1">
        <w:r w:rsidR="00A96CF7" w:rsidRPr="00D0315F">
          <w:rPr>
            <w:rStyle w:val="Hyperlink"/>
            <w:rFonts w:eastAsiaTheme="majorEastAsia"/>
            <w:color w:val="000000" w:themeColor="text1"/>
            <w:u w:val="none"/>
          </w:rPr>
          <w:t>https://siteresources.worldbank.org/INTGENDER/Resources/GAPNov2.pdf</w:t>
        </w:r>
      </w:hyperlink>
      <w:r w:rsidR="00A96CF7" w:rsidRPr="00D0315F">
        <w:rPr>
          <w:color w:val="000000" w:themeColor="text1"/>
        </w:rPr>
        <w:t xml:space="preserve"> [Accessed 3rd June 2017].</w:t>
      </w:r>
    </w:p>
    <w:p w14:paraId="33EC3F97" w14:textId="77777777" w:rsidR="00A96CF7" w:rsidRPr="00D0315F" w:rsidRDefault="00A96CF7" w:rsidP="00A96CF7">
      <w:pPr>
        <w:pStyle w:val="NormalWeb"/>
        <w:spacing w:line="276" w:lineRule="auto"/>
        <w:rPr>
          <w:color w:val="000000" w:themeColor="text1"/>
        </w:rPr>
      </w:pPr>
      <w:r w:rsidRPr="00D0315F">
        <w:rPr>
          <w:color w:val="000000" w:themeColor="text1"/>
        </w:rPr>
        <w:t xml:space="preserve">World Bank (2007) </w:t>
      </w:r>
      <w:r w:rsidRPr="00D0315F">
        <w:rPr>
          <w:i/>
          <w:color w:val="000000" w:themeColor="text1"/>
        </w:rPr>
        <w:t xml:space="preserve">Global monitoring report 2007: confronting the challenge of gender equality and fragile states </w:t>
      </w:r>
      <w:r w:rsidRPr="00D0315F">
        <w:rPr>
          <w:color w:val="000000" w:themeColor="text1"/>
        </w:rPr>
        <w:t xml:space="preserve">[Online]. Washington, DC: World Bank. Available from: </w:t>
      </w:r>
      <w:hyperlink r:id="rId91" w:history="1">
        <w:r w:rsidRPr="00D0315F">
          <w:rPr>
            <w:rStyle w:val="Hyperlink"/>
            <w:color w:val="000000" w:themeColor="text1"/>
            <w:u w:val="none"/>
          </w:rPr>
          <w:t>http://web.worldbank/org</w:t>
        </w:r>
      </w:hyperlink>
      <w:r w:rsidRPr="00D0315F">
        <w:rPr>
          <w:color w:val="000000" w:themeColor="text1"/>
        </w:rPr>
        <w:t xml:space="preserve"> [Accessed 30th July 2017]. </w:t>
      </w:r>
    </w:p>
    <w:p w14:paraId="09505887" w14:textId="77777777" w:rsidR="00A96CF7" w:rsidRPr="00D0315F" w:rsidRDefault="00A96CF7" w:rsidP="00A96CF7">
      <w:pPr>
        <w:spacing w:line="276" w:lineRule="auto"/>
        <w:rPr>
          <w:color w:val="000000" w:themeColor="text1"/>
        </w:rPr>
      </w:pPr>
      <w:r w:rsidRPr="00D0315F">
        <w:rPr>
          <w:color w:val="000000" w:themeColor="text1"/>
        </w:rPr>
        <w:t xml:space="preserve">World Bank (2011) </w:t>
      </w:r>
      <w:r w:rsidRPr="00D0315F">
        <w:rPr>
          <w:i/>
          <w:iCs/>
          <w:color w:val="000000" w:themeColor="text1"/>
        </w:rPr>
        <w:t>World development report 2012: gender equality and development</w:t>
      </w:r>
      <w:r w:rsidRPr="00D0315F">
        <w:rPr>
          <w:color w:val="000000" w:themeColor="text1"/>
        </w:rPr>
        <w:t>. Washington, DC: World Bank. </w:t>
      </w:r>
    </w:p>
    <w:p w14:paraId="6A60F042" w14:textId="77777777" w:rsidR="00A96CF7" w:rsidRPr="00D0315F" w:rsidRDefault="00A96CF7" w:rsidP="00A96CF7">
      <w:pPr>
        <w:spacing w:line="276" w:lineRule="auto"/>
        <w:rPr>
          <w:color w:val="000000" w:themeColor="text1"/>
        </w:rPr>
      </w:pPr>
      <w:r w:rsidRPr="00D0315F">
        <w:rPr>
          <w:color w:val="000000" w:themeColor="text1"/>
        </w:rPr>
        <w:tab/>
      </w:r>
    </w:p>
    <w:p w14:paraId="23EDFD2E" w14:textId="77777777" w:rsidR="00A96CF7" w:rsidRPr="00D0315F" w:rsidRDefault="00A96CF7" w:rsidP="00A96CF7">
      <w:pPr>
        <w:spacing w:line="276" w:lineRule="auto"/>
        <w:rPr>
          <w:color w:val="000000" w:themeColor="text1"/>
        </w:rPr>
      </w:pPr>
      <w:r w:rsidRPr="00147E8C">
        <w:rPr>
          <w:color w:val="000000" w:themeColor="text1"/>
        </w:rPr>
        <w:t xml:space="preserve">World Bank (2012) ‘Gender differences in employment and why they matter’, </w:t>
      </w:r>
      <w:r w:rsidRPr="00147E8C">
        <w:rPr>
          <w:i/>
          <w:iCs/>
          <w:color w:val="000000" w:themeColor="text1"/>
        </w:rPr>
        <w:t xml:space="preserve">Gender </w:t>
      </w:r>
      <w:r w:rsidRPr="00D0315F">
        <w:rPr>
          <w:i/>
          <w:iCs/>
          <w:color w:val="000000" w:themeColor="text1"/>
        </w:rPr>
        <w:t>equality and development</w:t>
      </w:r>
      <w:r w:rsidRPr="00D0315F">
        <w:rPr>
          <w:iCs/>
          <w:color w:val="000000" w:themeColor="text1"/>
        </w:rPr>
        <w:t>, W</w:t>
      </w:r>
      <w:r w:rsidRPr="00D0315F">
        <w:rPr>
          <w:i/>
          <w:color w:val="000000" w:themeColor="text1"/>
        </w:rPr>
        <w:t xml:space="preserve">orld Development Report 2012 </w:t>
      </w:r>
      <w:r w:rsidRPr="00D0315F">
        <w:rPr>
          <w:iCs/>
          <w:color w:val="000000" w:themeColor="text1"/>
        </w:rPr>
        <w:t>[Online]</w:t>
      </w:r>
      <w:r w:rsidRPr="00D0315F">
        <w:rPr>
          <w:color w:val="000000" w:themeColor="text1"/>
        </w:rPr>
        <w:t xml:space="preserve">. Washington DC: World Bank, pp.198-242. Available from:  </w:t>
      </w:r>
      <w:hyperlink r:id="rId92" w:history="1">
        <w:r w:rsidRPr="00D0315F">
          <w:rPr>
            <w:rStyle w:val="Hyperlink"/>
            <w:rFonts w:eastAsiaTheme="majorEastAsia"/>
            <w:color w:val="000000" w:themeColor="text1"/>
            <w:u w:val="none"/>
          </w:rPr>
          <w:t>https://siteresources.worldbank.org/INTWDR2012/Resources/7778105-1299699968583/7786210-1315936222006/Complete-Report.pdf</w:t>
        </w:r>
      </w:hyperlink>
      <w:r w:rsidRPr="00D0315F">
        <w:rPr>
          <w:color w:val="000000" w:themeColor="text1"/>
        </w:rPr>
        <w:t xml:space="preserve"> [Accessed 3rd June, 2017]. </w:t>
      </w:r>
    </w:p>
    <w:p w14:paraId="7C168215" w14:textId="77777777" w:rsidR="00A96CF7" w:rsidRPr="00D0315F" w:rsidRDefault="00A96CF7" w:rsidP="00A96CF7">
      <w:pPr>
        <w:spacing w:line="276" w:lineRule="auto"/>
        <w:rPr>
          <w:color w:val="000000" w:themeColor="text1"/>
        </w:rPr>
      </w:pPr>
    </w:p>
    <w:p w14:paraId="06895E90" w14:textId="77777777" w:rsidR="00A96CF7" w:rsidRPr="00D0315F" w:rsidRDefault="00A96CF7" w:rsidP="00A96CF7">
      <w:pPr>
        <w:spacing w:line="276" w:lineRule="auto"/>
        <w:rPr>
          <w:color w:val="000000" w:themeColor="text1"/>
        </w:rPr>
      </w:pPr>
      <w:r w:rsidRPr="00D0315F">
        <w:rPr>
          <w:color w:val="000000" w:themeColor="text1"/>
          <w:lang w:val="en-US"/>
        </w:rPr>
        <w:lastRenderedPageBreak/>
        <w:t xml:space="preserve">World Bank (2013). </w:t>
      </w:r>
      <w:r w:rsidRPr="00D0315F">
        <w:rPr>
          <w:i/>
          <w:color w:val="000000" w:themeColor="text1"/>
          <w:lang w:val="en-US"/>
        </w:rPr>
        <w:t>The price of violence against women and girls</w:t>
      </w:r>
      <w:r w:rsidRPr="00D0315F">
        <w:rPr>
          <w:color w:val="000000" w:themeColor="text1"/>
          <w:lang w:val="en-US"/>
        </w:rPr>
        <w:t xml:space="preserve">. [Online] Available from: </w:t>
      </w:r>
      <w:hyperlink r:id="rId93" w:history="1">
        <w:r w:rsidRPr="00D0315F">
          <w:rPr>
            <w:rStyle w:val="Hyperlink"/>
            <w:rFonts w:eastAsiaTheme="majorEastAsia"/>
            <w:color w:val="000000" w:themeColor="text1"/>
            <w:u w:val="none"/>
          </w:rPr>
          <w:t>http://www.worldbank.org/en/news/opinion/2013/03/07/putting-a-price-on-violence-against-women-and-girls</w:t>
        </w:r>
      </w:hyperlink>
      <w:r w:rsidRPr="00D0315F">
        <w:rPr>
          <w:color w:val="000000" w:themeColor="text1"/>
        </w:rPr>
        <w:t xml:space="preserve"> [Accessed 5th June 2017]. </w:t>
      </w:r>
    </w:p>
    <w:p w14:paraId="5EFD6266" w14:textId="77777777" w:rsidR="00A96CF7" w:rsidRPr="00D0315F" w:rsidRDefault="00A96CF7" w:rsidP="00A96CF7">
      <w:pPr>
        <w:spacing w:line="276" w:lineRule="auto"/>
        <w:rPr>
          <w:color w:val="000000" w:themeColor="text1"/>
        </w:rPr>
      </w:pPr>
    </w:p>
    <w:p w14:paraId="39B4C3B7" w14:textId="77777777" w:rsidR="00A96CF7" w:rsidRPr="00D0315F" w:rsidRDefault="00A96CF7" w:rsidP="00A96CF7">
      <w:pPr>
        <w:spacing w:line="276" w:lineRule="auto"/>
        <w:rPr>
          <w:color w:val="000000" w:themeColor="text1"/>
        </w:rPr>
      </w:pPr>
      <w:r w:rsidRPr="00D0315F">
        <w:rPr>
          <w:color w:val="000000" w:themeColor="text1"/>
        </w:rPr>
        <w:t xml:space="preserve">World Bank (2015). </w:t>
      </w:r>
      <w:r w:rsidRPr="00D0315F">
        <w:rPr>
          <w:i/>
          <w:iCs/>
          <w:color w:val="000000" w:themeColor="text1"/>
        </w:rPr>
        <w:t>World Development Report: mind, society and behaviour</w:t>
      </w:r>
      <w:r w:rsidRPr="00D0315F">
        <w:rPr>
          <w:color w:val="000000" w:themeColor="text1"/>
        </w:rPr>
        <w:t xml:space="preserve"> </w:t>
      </w:r>
      <w:r w:rsidRPr="00D0315F">
        <w:rPr>
          <w:i/>
          <w:color w:val="000000" w:themeColor="text1"/>
        </w:rPr>
        <w:t>2015</w:t>
      </w:r>
      <w:r w:rsidRPr="00D0315F">
        <w:rPr>
          <w:color w:val="000000" w:themeColor="text1"/>
        </w:rPr>
        <w:t>. [Online] Washington DC: World Bank. Available from:  http://www.worldbank.org/en/publication/wdr2015 [Accessed 15th</w:t>
      </w:r>
      <w:r w:rsidRPr="00D0315F">
        <w:rPr>
          <w:color w:val="000000" w:themeColor="text1"/>
          <w:vertAlign w:val="superscript"/>
        </w:rPr>
        <w:t xml:space="preserve"> </w:t>
      </w:r>
      <w:r w:rsidRPr="00D0315F">
        <w:rPr>
          <w:color w:val="000000" w:themeColor="text1"/>
        </w:rPr>
        <w:t>July 2017].</w:t>
      </w:r>
    </w:p>
    <w:p w14:paraId="66C50318" w14:textId="77777777" w:rsidR="00A96CF7" w:rsidRPr="00D0315F" w:rsidRDefault="00A96CF7" w:rsidP="00A96CF7">
      <w:pPr>
        <w:spacing w:line="276" w:lineRule="auto"/>
        <w:rPr>
          <w:color w:val="000000" w:themeColor="text1"/>
        </w:rPr>
      </w:pPr>
    </w:p>
    <w:p w14:paraId="2F1491BA" w14:textId="77777777" w:rsidR="00A96CF7" w:rsidRPr="00D0315F" w:rsidRDefault="00A96CF7" w:rsidP="00A96CF7">
      <w:pPr>
        <w:spacing w:line="276" w:lineRule="auto"/>
        <w:rPr>
          <w:color w:val="000000" w:themeColor="text1"/>
        </w:rPr>
      </w:pPr>
      <w:r w:rsidRPr="00D0315F">
        <w:rPr>
          <w:color w:val="000000" w:themeColor="text1"/>
        </w:rPr>
        <w:t xml:space="preserve">World Bank (2017a) </w:t>
      </w:r>
      <w:r w:rsidRPr="00D0315F">
        <w:rPr>
          <w:i/>
          <w:color w:val="000000" w:themeColor="text1"/>
        </w:rPr>
        <w:t>Accelerating women’s economic empowerment</w:t>
      </w:r>
      <w:r w:rsidRPr="00D0315F">
        <w:rPr>
          <w:color w:val="000000" w:themeColor="text1"/>
        </w:rPr>
        <w:t xml:space="preserve">. [Online] Washington, DC: World Bank. Available from: </w:t>
      </w:r>
      <w:hyperlink r:id="rId94" w:history="1">
        <w:r w:rsidRPr="00D0315F">
          <w:rPr>
            <w:rStyle w:val="Hyperlink"/>
            <w:rFonts w:eastAsiaTheme="majorEastAsia"/>
            <w:color w:val="000000" w:themeColor="text1"/>
            <w:u w:val="none"/>
          </w:rPr>
          <w:t>http://www.worldbank.org/en/news/feature/2017/06/26/accelerating-womens-economic-empowerment</w:t>
        </w:r>
      </w:hyperlink>
      <w:r w:rsidRPr="00D0315F">
        <w:rPr>
          <w:color w:val="000000" w:themeColor="text1"/>
        </w:rPr>
        <w:t xml:space="preserve"> [Accessed: 1st July 2017].</w:t>
      </w:r>
    </w:p>
    <w:p w14:paraId="43275686" w14:textId="77777777" w:rsidR="00A96CF7" w:rsidRPr="00D0315F" w:rsidRDefault="00A96CF7" w:rsidP="00A96CF7">
      <w:pPr>
        <w:spacing w:line="276" w:lineRule="auto"/>
        <w:rPr>
          <w:iCs/>
          <w:color w:val="000000" w:themeColor="text1"/>
          <w:shd w:val="clear" w:color="auto" w:fill="FFFFFF"/>
        </w:rPr>
      </w:pPr>
    </w:p>
    <w:p w14:paraId="572F373B" w14:textId="72B9E065" w:rsidR="00A96CF7" w:rsidRPr="00D0315F" w:rsidRDefault="00A96CF7" w:rsidP="00A96CF7">
      <w:pPr>
        <w:spacing w:line="276" w:lineRule="auto"/>
        <w:rPr>
          <w:color w:val="000000" w:themeColor="text1"/>
        </w:rPr>
      </w:pPr>
      <w:r w:rsidRPr="00D0315F">
        <w:rPr>
          <w:iCs/>
          <w:color w:val="000000" w:themeColor="text1"/>
          <w:shd w:val="clear" w:color="auto" w:fill="FFFFFF"/>
        </w:rPr>
        <w:t>World Bank (2017b)</w:t>
      </w:r>
      <w:r w:rsidRPr="00D0315F">
        <w:rPr>
          <w:rStyle w:val="italic"/>
          <w:color w:val="000000" w:themeColor="text1"/>
        </w:rPr>
        <w:t> </w:t>
      </w:r>
      <w:r w:rsidRPr="00D0315F">
        <w:rPr>
          <w:rStyle w:val="italic"/>
          <w:i/>
          <w:iCs/>
          <w:color w:val="000000" w:themeColor="text1"/>
          <w:shd w:val="clear" w:color="auto" w:fill="FFFFFF"/>
        </w:rPr>
        <w:t xml:space="preserve">Nicaragua paving the way to faster growth and inclusion: systematic country diagnostic </w:t>
      </w:r>
      <w:r w:rsidRPr="00D0315F">
        <w:rPr>
          <w:rStyle w:val="italic"/>
          <w:iCs/>
          <w:color w:val="000000" w:themeColor="text1"/>
          <w:shd w:val="clear" w:color="auto" w:fill="FFFFFF"/>
        </w:rPr>
        <w:t>[Online]</w:t>
      </w:r>
      <w:r w:rsidRPr="00D0315F">
        <w:rPr>
          <w:iCs/>
          <w:color w:val="000000" w:themeColor="text1"/>
          <w:shd w:val="clear" w:color="auto" w:fill="FFFFFF"/>
        </w:rPr>
        <w:t>.</w:t>
      </w:r>
      <w:r w:rsidRPr="00D0315F">
        <w:rPr>
          <w:i/>
          <w:iCs/>
          <w:color w:val="000000" w:themeColor="text1"/>
          <w:shd w:val="clear" w:color="auto" w:fill="FFFFFF"/>
        </w:rPr>
        <w:t xml:space="preserve"> </w:t>
      </w:r>
      <w:r w:rsidRPr="00D0315F">
        <w:rPr>
          <w:iCs/>
          <w:color w:val="000000" w:themeColor="text1"/>
          <w:shd w:val="clear" w:color="auto" w:fill="FFFFFF"/>
        </w:rPr>
        <w:t xml:space="preserve">Washington, DC: World Bank. </w:t>
      </w:r>
      <w:r w:rsidR="009C496C" w:rsidRPr="009C496C">
        <w:rPr>
          <w:rStyle w:val="Hyperlink"/>
          <w:rFonts w:eastAsiaTheme="majorEastAsia"/>
          <w:color w:val="000000" w:themeColor="text1"/>
          <w:u w:val="none"/>
        </w:rPr>
        <w:t>Available from:  https://openknowledge.worldbank.org/handle/10986/27560?sho</w:t>
      </w:r>
      <w:r w:rsidR="00F645CE">
        <w:rPr>
          <w:rStyle w:val="Hyperlink"/>
          <w:rFonts w:eastAsiaTheme="majorEastAsia"/>
          <w:color w:val="000000" w:themeColor="text1"/>
          <w:u w:val="none"/>
        </w:rPr>
        <w:t>w=full [Accessed</w:t>
      </w:r>
      <w:r w:rsidR="009C496C" w:rsidRPr="009C496C">
        <w:rPr>
          <w:rStyle w:val="Hyperlink"/>
          <w:rFonts w:eastAsiaTheme="majorEastAsia"/>
          <w:color w:val="000000" w:themeColor="text1"/>
          <w:u w:val="none"/>
        </w:rPr>
        <w:t xml:space="preserve"> 8 August 2017].  </w:t>
      </w:r>
    </w:p>
    <w:p w14:paraId="4966C97F" w14:textId="77777777" w:rsidR="00A96CF7" w:rsidRPr="00D0315F" w:rsidRDefault="00A96CF7" w:rsidP="00A96CF7">
      <w:pPr>
        <w:spacing w:line="276" w:lineRule="auto"/>
        <w:rPr>
          <w:color w:val="000000" w:themeColor="text1"/>
        </w:rPr>
      </w:pPr>
    </w:p>
    <w:p w14:paraId="074CD8AB" w14:textId="77777777" w:rsidR="00A96CF7" w:rsidRPr="00D0315F" w:rsidRDefault="00A96CF7" w:rsidP="00A96CF7">
      <w:pPr>
        <w:spacing w:line="276" w:lineRule="auto"/>
        <w:rPr>
          <w:color w:val="000000" w:themeColor="text1"/>
        </w:rPr>
      </w:pPr>
      <w:r w:rsidRPr="00D0315F">
        <w:rPr>
          <w:color w:val="000000" w:themeColor="text1"/>
          <w:spacing w:val="-5"/>
          <w:shd w:val="clear" w:color="auto" w:fill="FFFFFF"/>
        </w:rPr>
        <w:t xml:space="preserve">World-Eats (2016). ‘Women taking risks: coffee leaf rust crisis in Nicaragua’, </w:t>
      </w:r>
      <w:r w:rsidRPr="00D0315F">
        <w:rPr>
          <w:i/>
          <w:color w:val="000000" w:themeColor="text1"/>
          <w:spacing w:val="-5"/>
          <w:shd w:val="clear" w:color="auto" w:fill="FFFFFF"/>
        </w:rPr>
        <w:t>W-E Digest</w:t>
      </w:r>
      <w:r w:rsidRPr="00D0315F">
        <w:rPr>
          <w:color w:val="000000" w:themeColor="text1"/>
          <w:spacing w:val="-5"/>
          <w:shd w:val="clear" w:color="auto" w:fill="FFFFFF"/>
        </w:rPr>
        <w:t xml:space="preserve"> [Online] 2 (February).  Available from:  </w:t>
      </w:r>
      <w:hyperlink r:id="rId95" w:history="1">
        <w:r w:rsidRPr="00D0315F">
          <w:rPr>
            <w:rStyle w:val="Hyperlink"/>
            <w:rFonts w:eastAsiaTheme="majorEastAsia"/>
            <w:color w:val="000000" w:themeColor="text1"/>
            <w:u w:val="none"/>
          </w:rPr>
          <w:t>http://www.w-edigest.org/dirt-women-taking-risks-experimentation-with-solutions-to-the-coffee-leaf-rust-crisis-in-nicaragua/</w:t>
        </w:r>
      </w:hyperlink>
      <w:r w:rsidRPr="00D0315F">
        <w:rPr>
          <w:color w:val="000000" w:themeColor="text1"/>
        </w:rPr>
        <w:t xml:space="preserve"> [Accessed 1st March 2017].  </w:t>
      </w:r>
    </w:p>
    <w:p w14:paraId="2A20CF32" w14:textId="77777777" w:rsidR="00A96CF7" w:rsidRPr="00D0315F" w:rsidRDefault="00A96CF7" w:rsidP="00A96CF7">
      <w:pPr>
        <w:spacing w:line="276" w:lineRule="auto"/>
        <w:rPr>
          <w:color w:val="000000" w:themeColor="text1"/>
        </w:rPr>
      </w:pPr>
    </w:p>
    <w:p w14:paraId="47B9780C" w14:textId="77777777" w:rsidR="00A96CF7" w:rsidRPr="00D0315F" w:rsidRDefault="00A96CF7" w:rsidP="00A96CF7">
      <w:pPr>
        <w:spacing w:line="276" w:lineRule="auto"/>
        <w:rPr>
          <w:color w:val="000000" w:themeColor="text1"/>
        </w:rPr>
      </w:pPr>
      <w:r w:rsidRPr="00D0315F">
        <w:rPr>
          <w:color w:val="000000" w:themeColor="text1"/>
        </w:rPr>
        <w:t xml:space="preserve">World Economic Forum (2014a) </w:t>
      </w:r>
      <w:r w:rsidRPr="00D0315F">
        <w:rPr>
          <w:i/>
          <w:color w:val="000000" w:themeColor="text1"/>
        </w:rPr>
        <w:t>Global gender gap report 2014</w:t>
      </w:r>
      <w:r w:rsidRPr="00D0315F">
        <w:rPr>
          <w:color w:val="000000" w:themeColor="text1"/>
        </w:rPr>
        <w:t>. [Online] Geneva: WEF. Available from: http://www3.weforum.org/docs/GGGR14/GGGR_CompleteReport_2014.pdf [Accessed 23rd June 2017].</w:t>
      </w:r>
    </w:p>
    <w:p w14:paraId="313F37C1" w14:textId="77777777" w:rsidR="00A96CF7" w:rsidRPr="00D0315F" w:rsidRDefault="00A96CF7" w:rsidP="00A96CF7">
      <w:pPr>
        <w:spacing w:line="276" w:lineRule="auto"/>
        <w:rPr>
          <w:color w:val="000000" w:themeColor="text1"/>
        </w:rPr>
      </w:pPr>
    </w:p>
    <w:p w14:paraId="614AC752" w14:textId="77777777" w:rsidR="00A96CF7" w:rsidRPr="00D0315F" w:rsidRDefault="00A96CF7" w:rsidP="00A96CF7">
      <w:pPr>
        <w:spacing w:line="276" w:lineRule="auto"/>
        <w:rPr>
          <w:color w:val="000000" w:themeColor="text1"/>
        </w:rPr>
      </w:pPr>
      <w:r w:rsidRPr="00D0315F">
        <w:rPr>
          <w:color w:val="000000" w:themeColor="text1"/>
        </w:rPr>
        <w:t xml:space="preserve">World Economic Forum (2014b) </w:t>
      </w:r>
      <w:r w:rsidRPr="00D0315F">
        <w:rPr>
          <w:i/>
          <w:color w:val="000000" w:themeColor="text1"/>
        </w:rPr>
        <w:t>Global gender gap report 2014 highlights</w:t>
      </w:r>
      <w:r w:rsidRPr="00D0315F">
        <w:rPr>
          <w:color w:val="000000" w:themeColor="text1"/>
        </w:rPr>
        <w:t xml:space="preserve">. [Online] Geneva: WEF. Available from </w:t>
      </w:r>
      <w:hyperlink r:id="rId96" w:history="1">
        <w:r w:rsidRPr="00D0315F">
          <w:rPr>
            <w:rStyle w:val="Hyperlink"/>
            <w:rFonts w:eastAsiaTheme="majorEastAsia"/>
            <w:color w:val="000000" w:themeColor="text1"/>
            <w:u w:val="none"/>
          </w:rPr>
          <w:t>http://reports.weforum.org/global-gender-gap-report-2014/report-highlights/</w:t>
        </w:r>
      </w:hyperlink>
      <w:r w:rsidRPr="00D0315F">
        <w:rPr>
          <w:color w:val="000000" w:themeColor="text1"/>
        </w:rPr>
        <w:t xml:space="preserve"> [Accessed 23rd June 2017].</w:t>
      </w:r>
    </w:p>
    <w:p w14:paraId="0CCD7753" w14:textId="77777777" w:rsidR="00A96CF7" w:rsidRPr="00D0315F" w:rsidRDefault="00A96CF7" w:rsidP="00A96CF7">
      <w:pPr>
        <w:spacing w:line="276" w:lineRule="auto"/>
        <w:rPr>
          <w:color w:val="000000" w:themeColor="text1"/>
        </w:rPr>
      </w:pPr>
    </w:p>
    <w:p w14:paraId="41675929" w14:textId="77777777" w:rsidR="00A96CF7" w:rsidRPr="00D0315F" w:rsidRDefault="00A96CF7" w:rsidP="00A96CF7">
      <w:pPr>
        <w:spacing w:line="276" w:lineRule="auto"/>
        <w:rPr>
          <w:color w:val="000000" w:themeColor="text1"/>
        </w:rPr>
      </w:pPr>
      <w:r w:rsidRPr="00D0315F">
        <w:rPr>
          <w:color w:val="000000" w:themeColor="text1"/>
        </w:rPr>
        <w:t xml:space="preserve">World Fair Trade Organization and Fairtrade Labelling Organizations International (2009)   </w:t>
      </w:r>
      <w:r w:rsidRPr="00D0315F">
        <w:rPr>
          <w:i/>
          <w:color w:val="000000" w:themeColor="text1"/>
        </w:rPr>
        <w:t>A</w:t>
      </w:r>
      <w:r w:rsidRPr="00D0315F">
        <w:rPr>
          <w:color w:val="000000" w:themeColor="text1"/>
        </w:rPr>
        <w:t xml:space="preserve"> </w:t>
      </w:r>
      <w:r w:rsidRPr="00D0315F">
        <w:rPr>
          <w:i/>
          <w:color w:val="000000" w:themeColor="text1"/>
        </w:rPr>
        <w:t>charter of Fair Trade principles</w:t>
      </w:r>
      <w:r w:rsidRPr="00D0315F">
        <w:rPr>
          <w:color w:val="000000" w:themeColor="text1"/>
        </w:rPr>
        <w:t xml:space="preserve">. [Online] WFTO, FLO. Available from: </w:t>
      </w:r>
      <w:hyperlink r:id="rId97" w:history="1">
        <w:r w:rsidRPr="00D0315F">
          <w:rPr>
            <w:rStyle w:val="Hyperlink"/>
            <w:rFonts w:eastAsiaTheme="majorEastAsia"/>
            <w:color w:val="000000" w:themeColor="text1"/>
            <w:u w:val="none"/>
          </w:rPr>
          <w:t>http://www.wfto.com/sites/default/files/Charter-of-Fair-Trade-Principles-Final%20(EN).PDF</w:t>
        </w:r>
      </w:hyperlink>
      <w:r w:rsidRPr="00D0315F">
        <w:rPr>
          <w:color w:val="000000" w:themeColor="text1"/>
        </w:rPr>
        <w:t xml:space="preserve"> [Accessed 8th July 2017]. </w:t>
      </w:r>
    </w:p>
    <w:p w14:paraId="34D4419A" w14:textId="77777777" w:rsidR="00A96CF7" w:rsidRPr="00D0315F" w:rsidRDefault="00A96CF7" w:rsidP="00A96CF7">
      <w:pPr>
        <w:spacing w:line="276" w:lineRule="auto"/>
        <w:rPr>
          <w:color w:val="000000" w:themeColor="text1"/>
        </w:rPr>
      </w:pPr>
    </w:p>
    <w:p w14:paraId="4DE58444" w14:textId="77777777" w:rsidR="00A96CF7" w:rsidRPr="00D0315F" w:rsidRDefault="00A96CF7" w:rsidP="00A96CF7">
      <w:pPr>
        <w:spacing w:line="276" w:lineRule="auto"/>
        <w:rPr>
          <w:color w:val="000000" w:themeColor="text1"/>
        </w:rPr>
      </w:pPr>
      <w:r w:rsidRPr="00D0315F">
        <w:rPr>
          <w:color w:val="000000" w:themeColor="text1"/>
        </w:rPr>
        <w:t xml:space="preserve">World Fair Trade Organization, FairTrade International and FLO-CERT (2011): </w:t>
      </w:r>
      <w:r w:rsidRPr="00D0315F">
        <w:rPr>
          <w:i/>
          <w:color w:val="000000" w:themeColor="text1"/>
        </w:rPr>
        <w:t>Fair trade</w:t>
      </w:r>
      <w:r w:rsidRPr="00D0315F">
        <w:rPr>
          <w:color w:val="000000" w:themeColor="text1"/>
        </w:rPr>
        <w:t xml:space="preserve"> </w:t>
      </w:r>
      <w:r w:rsidRPr="00D0315F">
        <w:rPr>
          <w:i/>
          <w:color w:val="000000" w:themeColor="text1"/>
        </w:rPr>
        <w:t>glossary</w:t>
      </w:r>
      <w:r w:rsidRPr="00D0315F">
        <w:rPr>
          <w:color w:val="000000" w:themeColor="text1"/>
        </w:rPr>
        <w:t xml:space="preserve"> [Online]. Available from: </w:t>
      </w:r>
      <w:hyperlink r:id="rId98" w:history="1">
        <w:r w:rsidRPr="00D0315F">
          <w:rPr>
            <w:rStyle w:val="Hyperlink"/>
            <w:rFonts w:eastAsiaTheme="majorEastAsia"/>
            <w:color w:val="000000" w:themeColor="text1"/>
            <w:u w:val="none"/>
          </w:rPr>
          <w:t>https://www.fairtrade.net/fileadmin/user_upload/content/2009/about_fairtrade/2011-06-28_fair-trade-glossary_WFTO-FLO-FLOCERT.pdf</w:t>
        </w:r>
      </w:hyperlink>
      <w:r w:rsidRPr="00D0315F">
        <w:rPr>
          <w:color w:val="000000" w:themeColor="text1"/>
        </w:rPr>
        <w:t xml:space="preserve"> [Accessed 8th April 2017].</w:t>
      </w:r>
    </w:p>
    <w:p w14:paraId="790FFDF1" w14:textId="77777777" w:rsidR="00A96CF7" w:rsidRPr="00D0315F" w:rsidRDefault="00A96CF7" w:rsidP="00A96CF7">
      <w:pPr>
        <w:spacing w:line="276" w:lineRule="auto"/>
        <w:rPr>
          <w:color w:val="000000" w:themeColor="text1"/>
        </w:rPr>
      </w:pPr>
    </w:p>
    <w:p w14:paraId="758DED33" w14:textId="77777777" w:rsidR="00A96CF7" w:rsidRPr="00D0315F" w:rsidRDefault="00A96CF7" w:rsidP="00A96CF7">
      <w:pPr>
        <w:spacing w:line="276" w:lineRule="auto"/>
        <w:rPr>
          <w:color w:val="000000" w:themeColor="text1"/>
        </w:rPr>
      </w:pPr>
      <w:r w:rsidRPr="00D0315F">
        <w:rPr>
          <w:color w:val="000000" w:themeColor="text1"/>
        </w:rPr>
        <w:t xml:space="preserve">World Health Organization. </w:t>
      </w:r>
      <w:r w:rsidRPr="00D0315F">
        <w:rPr>
          <w:i/>
          <w:iCs/>
          <w:color w:val="000000" w:themeColor="text1"/>
        </w:rPr>
        <w:t xml:space="preserve">Putting Women’s Safety First: Ethical and Safety Recommendations for Research on Domestic Violence Against Women. </w:t>
      </w:r>
      <w:r w:rsidRPr="00D0315F">
        <w:rPr>
          <w:color w:val="000000" w:themeColor="text1"/>
        </w:rPr>
        <w:t xml:space="preserve">Geneva: </w:t>
      </w:r>
      <w:r w:rsidRPr="00D0315F">
        <w:rPr>
          <w:color w:val="000000" w:themeColor="text1"/>
        </w:rPr>
        <w:lastRenderedPageBreak/>
        <w:t xml:space="preserve">Global Programme on Evidence for Health Policy, World Health Organization; 1999. Report No.: WHO/EIP/GPE/99.2 </w:t>
      </w:r>
    </w:p>
    <w:p w14:paraId="60D1B809" w14:textId="77777777" w:rsidR="00A96CF7" w:rsidRPr="00D0315F" w:rsidRDefault="00A96CF7" w:rsidP="00A96CF7">
      <w:pPr>
        <w:spacing w:line="276" w:lineRule="auto"/>
        <w:rPr>
          <w:color w:val="000000" w:themeColor="text1"/>
        </w:rPr>
      </w:pPr>
    </w:p>
    <w:p w14:paraId="688E0A82" w14:textId="77777777" w:rsidR="00A96CF7" w:rsidRPr="00D0315F" w:rsidRDefault="00A96CF7" w:rsidP="00A96CF7">
      <w:pPr>
        <w:spacing w:line="276" w:lineRule="auto"/>
        <w:rPr>
          <w:color w:val="000000" w:themeColor="text1"/>
        </w:rPr>
      </w:pPr>
      <w:r w:rsidRPr="00D0315F">
        <w:rPr>
          <w:color w:val="000000" w:themeColor="text1"/>
        </w:rPr>
        <w:t>WHO (2002) World report on violence and health: summary. Geneva, World Health Organization. Available from: http://www.who.int/violence_injury_prevention/violence/world_report/en/summary_en.pdf [Accessed 22 June 2018].</w:t>
      </w:r>
    </w:p>
    <w:p w14:paraId="2C3603E1" w14:textId="77777777" w:rsidR="00A96CF7" w:rsidRPr="00D0315F" w:rsidRDefault="00A96CF7" w:rsidP="00A96CF7">
      <w:pPr>
        <w:spacing w:line="276" w:lineRule="auto"/>
        <w:rPr>
          <w:color w:val="000000" w:themeColor="text1"/>
        </w:rPr>
      </w:pPr>
    </w:p>
    <w:p w14:paraId="2F3FA2BC" w14:textId="77777777" w:rsidR="00A96CF7" w:rsidRPr="00D0315F" w:rsidRDefault="00A96CF7" w:rsidP="00A96CF7">
      <w:pPr>
        <w:spacing w:line="276" w:lineRule="auto"/>
        <w:rPr>
          <w:color w:val="000000" w:themeColor="text1"/>
        </w:rPr>
      </w:pPr>
      <w:r w:rsidRPr="00D0315F">
        <w:rPr>
          <w:color w:val="000000" w:themeColor="text1"/>
        </w:rPr>
        <w:t xml:space="preserve">Wright, E.O. (2010) </w:t>
      </w:r>
      <w:r w:rsidRPr="00D0315F">
        <w:rPr>
          <w:i/>
          <w:iCs/>
          <w:color w:val="000000" w:themeColor="text1"/>
        </w:rPr>
        <w:t xml:space="preserve">Envisioning real utopias. </w:t>
      </w:r>
      <w:r w:rsidRPr="00D0315F">
        <w:rPr>
          <w:color w:val="000000" w:themeColor="text1"/>
        </w:rPr>
        <w:t>London: Verso</w:t>
      </w:r>
    </w:p>
    <w:p w14:paraId="3752D187" w14:textId="77777777" w:rsidR="00A96CF7" w:rsidRPr="00D0315F" w:rsidRDefault="00A96CF7" w:rsidP="00A96CF7">
      <w:pPr>
        <w:spacing w:line="276" w:lineRule="auto"/>
        <w:rPr>
          <w:color w:val="000000" w:themeColor="text1"/>
        </w:rPr>
      </w:pPr>
    </w:p>
    <w:p w14:paraId="7F3CE99A" w14:textId="77777777" w:rsidR="00A96CF7" w:rsidRPr="00D0315F" w:rsidRDefault="00A96CF7" w:rsidP="00A96CF7">
      <w:pPr>
        <w:shd w:val="clear" w:color="auto" w:fill="FFFFFF"/>
        <w:spacing w:line="276" w:lineRule="auto"/>
        <w:rPr>
          <w:color w:val="000000" w:themeColor="text1"/>
          <w:lang w:val="en-US" w:eastAsia="es-NI"/>
        </w:rPr>
      </w:pPr>
      <w:r w:rsidRPr="00D0315F">
        <w:rPr>
          <w:color w:val="000000" w:themeColor="text1"/>
          <w:lang w:val="en-US" w:eastAsia="es-NI"/>
        </w:rPr>
        <w:t xml:space="preserve">Yin, R. K. (2009) </w:t>
      </w:r>
      <w:r w:rsidRPr="00D0315F">
        <w:rPr>
          <w:i/>
          <w:iCs/>
          <w:color w:val="000000" w:themeColor="text1"/>
          <w:lang w:val="en-US" w:eastAsia="es-NI"/>
        </w:rPr>
        <w:t>Case study research: design and methods</w:t>
      </w:r>
      <w:r w:rsidRPr="00D0315F">
        <w:rPr>
          <w:color w:val="000000" w:themeColor="text1"/>
          <w:lang w:val="en-US" w:eastAsia="es-NI"/>
        </w:rPr>
        <w:t>, 4th edn. Los Angeles: Sage Publications.</w:t>
      </w:r>
    </w:p>
    <w:p w14:paraId="5EDAB6AC" w14:textId="77777777" w:rsidR="00A96CF7" w:rsidRPr="00D0315F" w:rsidRDefault="00A96CF7" w:rsidP="00A96CF7">
      <w:pPr>
        <w:shd w:val="clear" w:color="auto" w:fill="FFFFFF"/>
        <w:spacing w:line="276" w:lineRule="auto"/>
        <w:rPr>
          <w:color w:val="000000" w:themeColor="text1"/>
          <w:lang w:val="en-US" w:eastAsia="es-NI"/>
        </w:rPr>
      </w:pPr>
    </w:p>
    <w:p w14:paraId="079EDCE6" w14:textId="77777777" w:rsidR="00A96CF7" w:rsidRPr="00D0315F" w:rsidRDefault="00A96CF7" w:rsidP="00A96CF7">
      <w:pPr>
        <w:shd w:val="clear" w:color="auto" w:fill="FFFFFF"/>
        <w:spacing w:line="276" w:lineRule="auto"/>
        <w:rPr>
          <w:color w:val="000000" w:themeColor="text1"/>
          <w:lang w:val="en-US" w:eastAsia="es-NI"/>
        </w:rPr>
      </w:pPr>
      <w:r w:rsidRPr="00D0315F">
        <w:rPr>
          <w:color w:val="000000" w:themeColor="text1"/>
          <w:lang w:val="en-US" w:eastAsia="es-NI"/>
        </w:rPr>
        <w:t>Yin, R, K. (2011) </w:t>
      </w:r>
      <w:r w:rsidRPr="00D0315F">
        <w:rPr>
          <w:i/>
          <w:iCs/>
          <w:color w:val="000000" w:themeColor="text1"/>
          <w:lang w:val="en-US" w:eastAsia="es-NI"/>
        </w:rPr>
        <w:t>Qualitative research from start to finish</w:t>
      </w:r>
      <w:r w:rsidRPr="00D0315F">
        <w:rPr>
          <w:color w:val="000000" w:themeColor="text1"/>
          <w:lang w:val="en-US" w:eastAsia="es-NI"/>
        </w:rPr>
        <w:t xml:space="preserve">. London: The Guildford Press. </w:t>
      </w:r>
    </w:p>
    <w:p w14:paraId="748D130E" w14:textId="77777777" w:rsidR="00A96CF7" w:rsidRPr="00D0315F" w:rsidRDefault="00A96CF7" w:rsidP="00A96CF7">
      <w:pPr>
        <w:spacing w:line="276" w:lineRule="auto"/>
        <w:rPr>
          <w:color w:val="000000" w:themeColor="text1"/>
        </w:rPr>
      </w:pPr>
    </w:p>
    <w:p w14:paraId="6321066E" w14:textId="77777777" w:rsidR="00A96CF7" w:rsidRPr="00D0315F" w:rsidRDefault="00A96CF7" w:rsidP="00A96CF7">
      <w:pPr>
        <w:spacing w:line="276" w:lineRule="auto"/>
        <w:rPr>
          <w:color w:val="000000" w:themeColor="text1"/>
        </w:rPr>
      </w:pPr>
      <w:r w:rsidRPr="00D0315F">
        <w:rPr>
          <w:color w:val="000000" w:themeColor="text1"/>
        </w:rPr>
        <w:t>Zaidi, M, Chigateri, S, Chopra, D and Roele, K (2017) ‘</w:t>
      </w:r>
      <w:r w:rsidRPr="00D0315F">
        <w:rPr>
          <w:i/>
          <w:color w:val="000000" w:themeColor="text1"/>
        </w:rPr>
        <w:t>My work never ends’:</w:t>
      </w:r>
      <w:r w:rsidRPr="00D0315F">
        <w:rPr>
          <w:i/>
          <w:color w:val="000000" w:themeColor="text1"/>
        </w:rPr>
        <w:br/>
        <w:t>women’s experiences of balancing unpaid care work and paid work through WEE programming in India</w:t>
      </w:r>
      <w:r w:rsidRPr="00D0315F">
        <w:rPr>
          <w:color w:val="000000" w:themeColor="text1"/>
        </w:rPr>
        <w:t xml:space="preserve">. IDS Working paper, No. 494. IDS. [Online] Available from: </w:t>
      </w:r>
      <w:hyperlink r:id="rId99" w:history="1">
        <w:r w:rsidRPr="00D0315F">
          <w:rPr>
            <w:rStyle w:val="Hyperlink"/>
            <w:rFonts w:eastAsiaTheme="majorEastAsia"/>
            <w:color w:val="000000" w:themeColor="text1"/>
            <w:u w:val="none"/>
          </w:rPr>
          <w:t>https://opendocs.ids.ac.uk/opendocs/bitstream/handle/123456789/13203/Wp494_Online.pdf?sequence=1&amp;isAllowed=y</w:t>
        </w:r>
      </w:hyperlink>
      <w:r w:rsidRPr="00D0315F">
        <w:rPr>
          <w:color w:val="000000" w:themeColor="text1"/>
        </w:rPr>
        <w:t xml:space="preserve"> [Accessed 10th September 2017]. </w:t>
      </w:r>
    </w:p>
    <w:p w14:paraId="05009E07" w14:textId="77777777" w:rsidR="00A96CF7" w:rsidRPr="00147E8C" w:rsidRDefault="00A96CF7" w:rsidP="00A96CF7">
      <w:pPr>
        <w:spacing w:line="276" w:lineRule="auto"/>
        <w:rPr>
          <w:color w:val="000000" w:themeColor="text1"/>
        </w:rPr>
      </w:pPr>
    </w:p>
    <w:p w14:paraId="03BB33E2" w14:textId="77777777" w:rsidR="00A96CF7" w:rsidRPr="00147E8C" w:rsidRDefault="00A96CF7" w:rsidP="00A96CF7">
      <w:pPr>
        <w:spacing w:line="276" w:lineRule="auto"/>
        <w:rPr>
          <w:rFonts w:eastAsia="Calibri"/>
          <w:color w:val="000000" w:themeColor="text1"/>
          <w:lang w:eastAsia="en-GB"/>
        </w:rPr>
      </w:pPr>
    </w:p>
    <w:p w14:paraId="3FC22790" w14:textId="77777777" w:rsidR="00A96CF7" w:rsidRPr="00147E8C" w:rsidRDefault="00A96CF7" w:rsidP="00A96CF7">
      <w:pPr>
        <w:spacing w:line="276" w:lineRule="auto"/>
        <w:rPr>
          <w:color w:val="000000" w:themeColor="text1"/>
        </w:rPr>
      </w:pPr>
    </w:p>
    <w:p w14:paraId="2D8D77C1" w14:textId="77777777" w:rsidR="008C041F" w:rsidRDefault="008C041F" w:rsidP="00AD0B1F">
      <w:pPr>
        <w:pStyle w:val="Heading1"/>
        <w:jc w:val="left"/>
      </w:pPr>
    </w:p>
    <w:p w14:paraId="2737F976" w14:textId="77777777" w:rsidR="008C041F" w:rsidRDefault="008C041F" w:rsidP="00293176">
      <w:pPr>
        <w:pStyle w:val="Heading1"/>
      </w:pPr>
    </w:p>
    <w:p w14:paraId="2969EF3F" w14:textId="77777777" w:rsidR="008C041F" w:rsidRDefault="008C041F" w:rsidP="00293176">
      <w:pPr>
        <w:pStyle w:val="Heading1"/>
      </w:pPr>
    </w:p>
    <w:p w14:paraId="600C1362" w14:textId="77777777" w:rsidR="008C041F" w:rsidRDefault="008C041F" w:rsidP="00293176">
      <w:pPr>
        <w:pStyle w:val="Heading1"/>
      </w:pPr>
    </w:p>
    <w:p w14:paraId="4A508C17" w14:textId="77777777" w:rsidR="008C041F" w:rsidRDefault="008C041F" w:rsidP="00293176">
      <w:pPr>
        <w:pStyle w:val="Heading1"/>
      </w:pPr>
    </w:p>
    <w:p w14:paraId="0F1B2101" w14:textId="77777777" w:rsidR="008C041F" w:rsidRDefault="008C041F" w:rsidP="00AD0B1F">
      <w:pPr>
        <w:pStyle w:val="Heading1"/>
        <w:jc w:val="left"/>
      </w:pPr>
    </w:p>
    <w:p w14:paraId="1ECDE441" w14:textId="77777777" w:rsidR="008C041F" w:rsidRDefault="008C041F" w:rsidP="00293176">
      <w:pPr>
        <w:pStyle w:val="Heading1"/>
      </w:pPr>
    </w:p>
    <w:p w14:paraId="5BBA50A0" w14:textId="77777777" w:rsidR="008C041F" w:rsidRDefault="008C041F" w:rsidP="00293176">
      <w:pPr>
        <w:pStyle w:val="Heading1"/>
      </w:pPr>
    </w:p>
    <w:p w14:paraId="15B4011D" w14:textId="77777777" w:rsidR="008C041F" w:rsidRDefault="008C041F" w:rsidP="00293176">
      <w:pPr>
        <w:pStyle w:val="Heading1"/>
      </w:pPr>
    </w:p>
    <w:p w14:paraId="359B7A18" w14:textId="77777777" w:rsidR="008C041F" w:rsidRDefault="008C041F" w:rsidP="00293176">
      <w:pPr>
        <w:pStyle w:val="Heading1"/>
      </w:pPr>
    </w:p>
    <w:p w14:paraId="28A7CC47" w14:textId="77777777" w:rsidR="008C041F" w:rsidRDefault="008C041F" w:rsidP="00293176">
      <w:pPr>
        <w:pStyle w:val="Heading1"/>
      </w:pPr>
    </w:p>
    <w:p w14:paraId="4854864D" w14:textId="77777777" w:rsidR="008C041F" w:rsidRDefault="008C041F" w:rsidP="00293176">
      <w:pPr>
        <w:pStyle w:val="Heading1"/>
      </w:pPr>
    </w:p>
    <w:p w14:paraId="6DB10EE3" w14:textId="77777777" w:rsidR="008C041F" w:rsidRDefault="008C041F" w:rsidP="00293176">
      <w:pPr>
        <w:pStyle w:val="Heading1"/>
      </w:pPr>
    </w:p>
    <w:p w14:paraId="3C950F47" w14:textId="77777777" w:rsidR="008C041F" w:rsidRDefault="008C041F" w:rsidP="00293176">
      <w:pPr>
        <w:pStyle w:val="Heading1"/>
      </w:pPr>
    </w:p>
    <w:p w14:paraId="3D77F787" w14:textId="77777777" w:rsidR="008C041F" w:rsidRDefault="008C041F" w:rsidP="00293176">
      <w:pPr>
        <w:pStyle w:val="Heading1"/>
      </w:pPr>
    </w:p>
    <w:p w14:paraId="3E5FBCA0" w14:textId="77777777" w:rsidR="008C041F" w:rsidRDefault="008C041F" w:rsidP="00293176">
      <w:pPr>
        <w:pStyle w:val="Heading1"/>
      </w:pPr>
    </w:p>
    <w:p w14:paraId="79D42402" w14:textId="77777777" w:rsidR="008C041F" w:rsidRDefault="008C041F" w:rsidP="00293176">
      <w:pPr>
        <w:pStyle w:val="Heading1"/>
      </w:pPr>
    </w:p>
    <w:p w14:paraId="5A76516B" w14:textId="77777777" w:rsidR="008C041F" w:rsidRDefault="008C041F" w:rsidP="00293176">
      <w:pPr>
        <w:pStyle w:val="Heading1"/>
      </w:pPr>
    </w:p>
    <w:p w14:paraId="081E56E8" w14:textId="77777777" w:rsidR="008C041F" w:rsidRDefault="008C041F" w:rsidP="00293176">
      <w:pPr>
        <w:pStyle w:val="Heading1"/>
      </w:pPr>
    </w:p>
    <w:p w14:paraId="0EF8BE61" w14:textId="77777777" w:rsidR="008C041F" w:rsidRDefault="008C041F" w:rsidP="00293176">
      <w:pPr>
        <w:pStyle w:val="Heading1"/>
      </w:pPr>
    </w:p>
    <w:p w14:paraId="77AC3646" w14:textId="77777777" w:rsidR="008C041F" w:rsidRDefault="008C041F" w:rsidP="00293176">
      <w:pPr>
        <w:pStyle w:val="Heading1"/>
      </w:pPr>
    </w:p>
    <w:p w14:paraId="24AB0D9F" w14:textId="77777777" w:rsidR="008C041F" w:rsidRDefault="008C041F" w:rsidP="00293176">
      <w:pPr>
        <w:pStyle w:val="Heading1"/>
      </w:pPr>
    </w:p>
    <w:p w14:paraId="51365FB5" w14:textId="77777777" w:rsidR="008C041F" w:rsidRDefault="008C041F" w:rsidP="00293176">
      <w:pPr>
        <w:pStyle w:val="Heading1"/>
      </w:pPr>
    </w:p>
    <w:p w14:paraId="2E027F84" w14:textId="77777777" w:rsidR="008C041F" w:rsidRDefault="008C041F" w:rsidP="00293176">
      <w:pPr>
        <w:pStyle w:val="Heading1"/>
      </w:pPr>
    </w:p>
    <w:p w14:paraId="30E2BFD9" w14:textId="77777777" w:rsidR="008C041F" w:rsidRDefault="008C041F" w:rsidP="00293176">
      <w:pPr>
        <w:pStyle w:val="Heading1"/>
      </w:pPr>
    </w:p>
    <w:p w14:paraId="05E6B9F5" w14:textId="77777777" w:rsidR="008C041F" w:rsidRDefault="008C041F" w:rsidP="00293176">
      <w:pPr>
        <w:pStyle w:val="Heading1"/>
      </w:pPr>
    </w:p>
    <w:p w14:paraId="7F78A279" w14:textId="77777777" w:rsidR="008C041F" w:rsidRDefault="008C041F" w:rsidP="00293176">
      <w:pPr>
        <w:pStyle w:val="Heading1"/>
      </w:pPr>
    </w:p>
    <w:p w14:paraId="51FDFE2F" w14:textId="77777777" w:rsidR="008C041F" w:rsidRDefault="008C041F" w:rsidP="00293176">
      <w:pPr>
        <w:pStyle w:val="Heading1"/>
      </w:pPr>
    </w:p>
    <w:p w14:paraId="180D1F3A" w14:textId="77777777" w:rsidR="008C041F" w:rsidRDefault="008C041F" w:rsidP="00293176">
      <w:pPr>
        <w:pStyle w:val="Heading1"/>
      </w:pPr>
    </w:p>
    <w:p w14:paraId="4A73B8DB" w14:textId="77777777" w:rsidR="008C041F" w:rsidRDefault="008C041F" w:rsidP="00293176">
      <w:pPr>
        <w:pStyle w:val="Heading1"/>
      </w:pPr>
    </w:p>
    <w:p w14:paraId="548779A8" w14:textId="77777777" w:rsidR="008C041F" w:rsidRDefault="008C041F" w:rsidP="00293176">
      <w:pPr>
        <w:pStyle w:val="Heading1"/>
      </w:pPr>
    </w:p>
    <w:p w14:paraId="6C530289" w14:textId="77777777" w:rsidR="008C041F" w:rsidRDefault="008C041F" w:rsidP="00293176">
      <w:pPr>
        <w:pStyle w:val="Heading1"/>
      </w:pPr>
    </w:p>
    <w:p w14:paraId="4795402C" w14:textId="77777777" w:rsidR="008C041F" w:rsidRDefault="008C041F" w:rsidP="00293176">
      <w:pPr>
        <w:pStyle w:val="Heading1"/>
      </w:pPr>
    </w:p>
    <w:p w14:paraId="43CBC24F" w14:textId="77777777" w:rsidR="008C041F" w:rsidRDefault="008C041F" w:rsidP="00293176">
      <w:pPr>
        <w:pStyle w:val="Heading1"/>
      </w:pPr>
    </w:p>
    <w:p w14:paraId="7AEA20DF" w14:textId="77777777" w:rsidR="008C041F" w:rsidRDefault="008C041F" w:rsidP="00293176">
      <w:pPr>
        <w:pStyle w:val="Heading1"/>
      </w:pPr>
    </w:p>
    <w:p w14:paraId="02FBF27E" w14:textId="77777777" w:rsidR="008C041F" w:rsidRDefault="008C041F" w:rsidP="00293176">
      <w:pPr>
        <w:pStyle w:val="Heading1"/>
      </w:pPr>
    </w:p>
    <w:p w14:paraId="16927968" w14:textId="77777777" w:rsidR="008C041F" w:rsidRDefault="008C041F" w:rsidP="00293176">
      <w:pPr>
        <w:pStyle w:val="Heading1"/>
      </w:pPr>
    </w:p>
    <w:p w14:paraId="0C485604" w14:textId="77777777" w:rsidR="008C041F" w:rsidRDefault="008C041F" w:rsidP="00293176">
      <w:pPr>
        <w:pStyle w:val="Heading1"/>
      </w:pPr>
    </w:p>
    <w:p w14:paraId="4E1889A8" w14:textId="77777777" w:rsidR="008C041F" w:rsidRDefault="008C041F" w:rsidP="00293176">
      <w:pPr>
        <w:pStyle w:val="Heading1"/>
      </w:pPr>
    </w:p>
    <w:p w14:paraId="1E65C055" w14:textId="77777777" w:rsidR="008C041F" w:rsidRDefault="008C041F" w:rsidP="00293176">
      <w:pPr>
        <w:pStyle w:val="Heading1"/>
      </w:pPr>
    </w:p>
    <w:p w14:paraId="40904F9A" w14:textId="77777777" w:rsidR="008C041F" w:rsidRDefault="008C041F" w:rsidP="00293176">
      <w:pPr>
        <w:pStyle w:val="Heading1"/>
      </w:pPr>
    </w:p>
    <w:p w14:paraId="7B4A8ECC" w14:textId="77777777" w:rsidR="008C041F" w:rsidRDefault="008C041F" w:rsidP="00293176">
      <w:pPr>
        <w:pStyle w:val="Heading1"/>
      </w:pPr>
    </w:p>
    <w:p w14:paraId="76552FBA" w14:textId="77777777" w:rsidR="008C041F" w:rsidRDefault="008C041F" w:rsidP="00293176">
      <w:pPr>
        <w:pStyle w:val="Heading1"/>
      </w:pPr>
    </w:p>
    <w:p w14:paraId="3D14EA15" w14:textId="77777777" w:rsidR="008C041F" w:rsidRDefault="008C041F" w:rsidP="00293176">
      <w:pPr>
        <w:pStyle w:val="Heading1"/>
      </w:pPr>
    </w:p>
    <w:p w14:paraId="3624BBD7" w14:textId="77777777" w:rsidR="008C041F" w:rsidRDefault="008C041F" w:rsidP="008C041F">
      <w:pPr>
        <w:pStyle w:val="Heading1"/>
        <w:sectPr w:rsidR="008C041F" w:rsidSect="00171CF0">
          <w:footnotePr>
            <w:numRestart w:val="eachSect"/>
          </w:footnotePr>
          <w:pgSz w:w="11907" w:h="16839" w:code="9"/>
          <w:pgMar w:top="1440" w:right="1440" w:bottom="1440" w:left="2160" w:header="706" w:footer="706" w:gutter="0"/>
          <w:cols w:space="708"/>
          <w:docGrid w:linePitch="360"/>
        </w:sectPr>
      </w:pPr>
    </w:p>
    <w:p w14:paraId="3B8EC65A" w14:textId="561433F4" w:rsidR="005858CD" w:rsidRPr="005858CD" w:rsidRDefault="005858CD" w:rsidP="00293176">
      <w:pPr>
        <w:pStyle w:val="Heading1"/>
      </w:pPr>
      <w:bookmarkStart w:id="185" w:name="_Toc526819383"/>
      <w:r w:rsidRPr="005858CD">
        <w:lastRenderedPageBreak/>
        <w:t xml:space="preserve">APPENDIX </w:t>
      </w:r>
      <w:r w:rsidR="008C041F">
        <w:t>A</w:t>
      </w:r>
      <w:r w:rsidR="008C041F" w:rsidRPr="005858CD">
        <w:t xml:space="preserve">: </w:t>
      </w:r>
      <w:r w:rsidRPr="005858CD">
        <w:t xml:space="preserve">Initial </w:t>
      </w:r>
      <w:r w:rsidR="008C041F" w:rsidRPr="005858CD">
        <w:t>Vision Of The Initiative</w:t>
      </w:r>
      <w:bookmarkEnd w:id="185"/>
    </w:p>
    <w:p w14:paraId="6F5C4C79" w14:textId="77777777" w:rsidR="005858CD" w:rsidRPr="005858CD" w:rsidRDefault="005858CD">
      <w:pPr>
        <w:rPr>
          <w:rFonts w:eastAsiaTheme="minorHAnsi"/>
          <w:b/>
          <w:u w:val="single"/>
        </w:rPr>
      </w:pPr>
    </w:p>
    <w:p w14:paraId="42EEBFBC" w14:textId="77777777" w:rsidR="005858CD" w:rsidRPr="005858CD" w:rsidRDefault="005858CD">
      <w:pPr>
        <w:jc w:val="center"/>
        <w:rPr>
          <w:rFonts w:asciiTheme="minorHAnsi" w:eastAsiaTheme="minorHAnsi" w:hAnsiTheme="minorHAnsi" w:cstheme="minorBidi"/>
          <w:b/>
          <w:sz w:val="28"/>
          <w:u w:val="single"/>
          <w:lang w:val="es-ES_tradnl"/>
        </w:rPr>
      </w:pPr>
      <w:r w:rsidRPr="005858CD">
        <w:rPr>
          <w:rFonts w:asciiTheme="minorHAnsi" w:eastAsiaTheme="minorHAnsi" w:hAnsiTheme="minorHAnsi" w:cstheme="minorBidi"/>
          <w:b/>
          <w:sz w:val="28"/>
          <w:u w:val="single"/>
          <w:lang w:val="es-ES_tradnl"/>
        </w:rPr>
        <w:t>Iniciativa:  El Reconocimiento del Trabajo no Remunerado de las Mujeres</w:t>
      </w:r>
    </w:p>
    <w:p w14:paraId="5C3E59D9" w14:textId="77777777" w:rsidR="005858CD" w:rsidRPr="005858CD" w:rsidRDefault="005858CD">
      <w:pPr>
        <w:rPr>
          <w:rFonts w:asciiTheme="minorHAnsi" w:eastAsiaTheme="minorHAnsi" w:hAnsiTheme="minorHAnsi" w:cstheme="minorBidi"/>
          <w:lang w:val="es-ES_tradnl"/>
        </w:rPr>
      </w:pPr>
    </w:p>
    <w:p w14:paraId="5F09CFC5" w14:textId="77777777" w:rsidR="005858CD" w:rsidRPr="005858CD" w:rsidRDefault="005858CD">
      <w:pPr>
        <w:jc w:val="both"/>
        <w:rPr>
          <w:rFonts w:asciiTheme="minorHAnsi" w:eastAsiaTheme="minorHAnsi" w:hAnsiTheme="minorHAnsi" w:cstheme="minorBidi"/>
          <w:b/>
          <w:lang w:val="es-ES_tradnl"/>
        </w:rPr>
      </w:pPr>
    </w:p>
    <w:p w14:paraId="16748EA9" w14:textId="77777777" w:rsidR="005858CD" w:rsidRPr="005858CD" w:rsidRDefault="005858CD">
      <w:pPr>
        <w:jc w:val="both"/>
        <w:rPr>
          <w:rFonts w:asciiTheme="minorHAnsi" w:eastAsiaTheme="minorHAnsi" w:hAnsiTheme="minorHAnsi" w:cstheme="minorBidi"/>
          <w:b/>
          <w:lang w:val="es-ES_tradnl"/>
        </w:rPr>
      </w:pPr>
    </w:p>
    <w:p w14:paraId="1091B7EC"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b/>
          <w:lang w:val="es-ES_tradnl"/>
        </w:rPr>
        <w:t>Visión:</w:t>
      </w:r>
      <w:r w:rsidRPr="005858CD">
        <w:rPr>
          <w:rFonts w:asciiTheme="minorHAnsi" w:eastAsiaTheme="minorHAnsi" w:hAnsiTheme="minorHAnsi" w:cstheme="minorBidi"/>
          <w:lang w:val="es-ES_tradnl"/>
        </w:rPr>
        <w:t xml:space="preserve"> </w:t>
      </w:r>
    </w:p>
    <w:p w14:paraId="414999FF" w14:textId="77777777" w:rsidR="005858CD" w:rsidRPr="005858CD" w:rsidRDefault="005858CD">
      <w:pPr>
        <w:jc w:val="both"/>
        <w:rPr>
          <w:rFonts w:asciiTheme="minorHAnsi" w:eastAsiaTheme="minorHAnsi" w:hAnsiTheme="minorHAnsi" w:cstheme="minorBidi"/>
          <w:lang w:val="es-ES_tradnl"/>
        </w:rPr>
      </w:pPr>
    </w:p>
    <w:p w14:paraId="3FA5AD7E"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Este iniciativa junta recursos humanos, educativos, y financieros para mejorar el empoderamiento de las mujeres en Achuapa.    La iniciativa utiliza los fondos adquiridos en reconocimiento del trabajo no remunerado de las mujeres inicialmente  en la cadena productiva del ajonjolí y ahora extendiéndose en la cadena del café y otros rubros, impulsada y apoyada por la Cooperativa Juan Francisco Paz Silva, Ético y  The Body Shop RALEIGH international, Thanksgiving Coffee co. y Deans Beans esperando la participación de otras.</w:t>
      </w:r>
    </w:p>
    <w:p w14:paraId="51FD9D27" w14:textId="77777777" w:rsidR="005858CD" w:rsidRPr="005858CD" w:rsidRDefault="005858CD">
      <w:pPr>
        <w:jc w:val="both"/>
        <w:rPr>
          <w:rFonts w:asciiTheme="minorHAnsi" w:eastAsiaTheme="minorHAnsi" w:hAnsiTheme="minorHAnsi" w:cstheme="minorBidi"/>
          <w:lang w:val="es-ES_tradnl"/>
        </w:rPr>
      </w:pPr>
    </w:p>
    <w:p w14:paraId="0982CDF8" w14:textId="77777777" w:rsidR="005858CD" w:rsidRPr="005858CD" w:rsidRDefault="005858CD">
      <w:pPr>
        <w:jc w:val="both"/>
        <w:rPr>
          <w:rFonts w:asciiTheme="minorHAnsi" w:eastAsiaTheme="minorHAnsi" w:hAnsiTheme="minorHAnsi" w:cstheme="minorBidi"/>
          <w:b/>
          <w:lang w:val="es-ES_tradnl"/>
        </w:rPr>
      </w:pPr>
      <w:r w:rsidRPr="005858CD">
        <w:rPr>
          <w:rFonts w:asciiTheme="minorHAnsi" w:eastAsiaTheme="minorHAnsi" w:hAnsiTheme="minorHAnsi" w:cstheme="minorBidi"/>
          <w:b/>
          <w:lang w:val="es-ES_tradnl"/>
        </w:rPr>
        <w:t>Objetivos de la Iniciativa:</w:t>
      </w:r>
    </w:p>
    <w:p w14:paraId="7A244CAD" w14:textId="77777777" w:rsidR="005858CD" w:rsidRPr="005858CD" w:rsidRDefault="005858CD">
      <w:pPr>
        <w:jc w:val="both"/>
        <w:rPr>
          <w:rFonts w:asciiTheme="minorHAnsi" w:eastAsiaTheme="minorHAnsi" w:hAnsiTheme="minorHAnsi" w:cstheme="minorBidi"/>
          <w:lang w:val="es-ES_tradnl"/>
        </w:rPr>
      </w:pPr>
    </w:p>
    <w:p w14:paraId="5D9E81C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Facilitar mejores relaciones entre las mujeres en una comunidad.</w:t>
      </w:r>
    </w:p>
    <w:p w14:paraId="24E5B617"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tienen los ahorros por su propia cuenta.</w:t>
      </w:r>
    </w:p>
    <w:p w14:paraId="1B87616E"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son tomada en cuenta</w:t>
      </w:r>
    </w:p>
    <w:p w14:paraId="33B180F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fortalezcan sus capacidades para mejor su trabajo y trabajar más unidas .</w:t>
      </w:r>
    </w:p>
    <w:p w14:paraId="3BAD72ED"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Crear mas oportunidades para desarrollarse</w:t>
      </w:r>
    </w:p>
    <w:p w14:paraId="081EB6DB"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Estimular la participación  activa de las mujeres y su independencia.</w:t>
      </w:r>
    </w:p>
    <w:p w14:paraId="1D59B159"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Fomentar un desarrollo de creatividad de la economía familiar.</w:t>
      </w:r>
    </w:p>
    <w:p w14:paraId="14F5693E"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son mas autosostenible.</w:t>
      </w:r>
    </w:p>
    <w:p w14:paraId="25D3350F"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Brindar apoyo, asesoramiento de ideas de la Cooperativa JFPS, entre miembros del grupo y entre grupos.</w:t>
      </w:r>
    </w:p>
    <w:p w14:paraId="32A74981"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Hacer un reconocimiento publico del valor del trabajo no remunerado de las mujeres.</w:t>
      </w:r>
    </w:p>
    <w:p w14:paraId="56BBB786"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Hacer reconocido el trabajo de las mujeres de Achuapa por otras organizaciones.</w:t>
      </w:r>
    </w:p>
    <w:p w14:paraId="7A7C6B77"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Crear oportunidades de capacitarse y organizarse.</w:t>
      </w:r>
    </w:p>
    <w:p w14:paraId="1233A1A1"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asumen roles de liderazgo en la Cooperativa JFPS y en sus comunidades.</w:t>
      </w:r>
    </w:p>
    <w:p w14:paraId="61CC5875"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 Cooperativa JFPS promueve el derecho de mujeres de los grupos de ser miembros de la misma. </w:t>
      </w:r>
    </w:p>
    <w:p w14:paraId="776A5877"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Mejorar y reforzar las relaciones de  parejas y familias.</w:t>
      </w:r>
    </w:p>
    <w:p w14:paraId="45D0D6E0"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Construir un buen ejemplo de liderazgo y desarrollo para los/las hijos, jóvenes, y herencia generacional de Achuapa. </w:t>
      </w:r>
    </w:p>
    <w:p w14:paraId="77D01CC6"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familiares de los grupos de involucren en las actividades organizadas por los grupos de mujeres y en las actividades del hogar. </w:t>
      </w:r>
    </w:p>
    <w:p w14:paraId="05ECCA20"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Que las mujeres y sus familiares se involucren en actividades de la cooperativa ambientales, culturales, y sociales.</w:t>
      </w:r>
    </w:p>
    <w:p w14:paraId="6812DA35" w14:textId="77777777" w:rsidR="005858CD" w:rsidRPr="005858CD" w:rsidRDefault="005858CD">
      <w:pPr>
        <w:jc w:val="both"/>
        <w:rPr>
          <w:rFonts w:asciiTheme="minorHAnsi" w:eastAsiaTheme="minorHAnsi" w:hAnsiTheme="minorHAnsi" w:cstheme="minorBidi"/>
          <w:lang w:val="es-ES_tradnl"/>
        </w:rPr>
      </w:pPr>
    </w:p>
    <w:p w14:paraId="364A0004" w14:textId="77777777" w:rsidR="005858CD" w:rsidRPr="005858CD" w:rsidRDefault="005858CD">
      <w:pPr>
        <w:jc w:val="both"/>
        <w:rPr>
          <w:rFonts w:asciiTheme="minorHAnsi" w:eastAsiaTheme="minorHAnsi" w:hAnsiTheme="minorHAnsi" w:cstheme="minorBidi"/>
          <w:lang w:val="es-ES_tradnl"/>
        </w:rPr>
      </w:pPr>
    </w:p>
    <w:p w14:paraId="4FEF6E59" w14:textId="77777777" w:rsidR="005858CD" w:rsidRPr="005858CD" w:rsidRDefault="005858CD">
      <w:pPr>
        <w:jc w:val="both"/>
        <w:rPr>
          <w:rFonts w:asciiTheme="minorHAnsi" w:eastAsiaTheme="minorHAnsi" w:hAnsiTheme="minorHAnsi" w:cstheme="minorBidi"/>
          <w:b/>
          <w:lang w:val="es-ES_tradnl"/>
        </w:rPr>
      </w:pPr>
      <w:r w:rsidRPr="005858CD">
        <w:rPr>
          <w:rFonts w:asciiTheme="minorHAnsi" w:eastAsiaTheme="minorHAnsi" w:hAnsiTheme="minorHAnsi" w:cstheme="minorBidi"/>
          <w:b/>
          <w:lang w:val="es-ES_tradnl"/>
        </w:rPr>
        <w:lastRenderedPageBreak/>
        <w:t>Elementos de la Iniciativa:</w:t>
      </w:r>
    </w:p>
    <w:p w14:paraId="2F691E74" w14:textId="77777777" w:rsidR="005858CD" w:rsidRPr="005858CD" w:rsidRDefault="005858CD">
      <w:pPr>
        <w:jc w:val="both"/>
        <w:rPr>
          <w:rFonts w:asciiTheme="minorHAnsi" w:eastAsiaTheme="minorHAnsi" w:hAnsiTheme="minorHAnsi" w:cstheme="minorBidi"/>
          <w:lang w:val="es-ES_tradnl"/>
        </w:rPr>
      </w:pPr>
    </w:p>
    <w:p w14:paraId="6EC224F9"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Se forma grupos de mujeres en comunidades rurales y urbanos que quieren trabajar en solidaridad y juntar esfuerzos para mejorar sus situaciones económicas en niveles familiares y locales.  </w:t>
      </w:r>
    </w:p>
    <w:p w14:paraId="291166AF" w14:textId="77777777" w:rsidR="005858CD" w:rsidRPr="005858CD" w:rsidRDefault="005858CD">
      <w:pPr>
        <w:jc w:val="both"/>
        <w:rPr>
          <w:rFonts w:asciiTheme="minorHAnsi" w:eastAsiaTheme="minorHAnsi" w:hAnsiTheme="minorHAnsi" w:cstheme="minorBidi"/>
          <w:lang w:val="es-ES_tradnl"/>
        </w:rPr>
      </w:pPr>
    </w:p>
    <w:p w14:paraId="1B9D15BA"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Cada grupo de mujeres ahorran lo que pueden individualmente y en grupo.  No hay limite.  </w:t>
      </w:r>
    </w:p>
    <w:p w14:paraId="7457455A" w14:textId="77777777" w:rsidR="005858CD" w:rsidRPr="005858CD" w:rsidRDefault="005858CD">
      <w:pPr>
        <w:jc w:val="both"/>
        <w:rPr>
          <w:rFonts w:asciiTheme="minorHAnsi" w:eastAsiaTheme="minorHAnsi" w:hAnsiTheme="minorHAnsi" w:cstheme="minorBidi"/>
          <w:lang w:val="es-ES_tradnl"/>
        </w:rPr>
      </w:pPr>
    </w:p>
    <w:p w14:paraId="530C842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Todos los ahorros ganan 4.5 % de interés anual.</w:t>
      </w:r>
    </w:p>
    <w:p w14:paraId="2236D31E" w14:textId="77777777" w:rsidR="005858CD" w:rsidRPr="005858CD" w:rsidRDefault="005858CD">
      <w:pPr>
        <w:jc w:val="both"/>
        <w:rPr>
          <w:rFonts w:asciiTheme="minorHAnsi" w:eastAsiaTheme="minorHAnsi" w:hAnsiTheme="minorHAnsi" w:cstheme="minorBidi"/>
          <w:lang w:val="es-ES_tradnl"/>
        </w:rPr>
      </w:pPr>
    </w:p>
    <w:p w14:paraId="2C4DDE8C"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La Iniciativa se duplica el ahorro personal y los ahorros colectivos hasta los primeros US$100.00 en reconocimiento del trabajo no remunerado de las mujeres.   </w:t>
      </w:r>
    </w:p>
    <w:p w14:paraId="425F60A0" w14:textId="77777777" w:rsidR="005858CD" w:rsidRPr="005858CD" w:rsidRDefault="005858CD">
      <w:pPr>
        <w:jc w:val="both"/>
        <w:rPr>
          <w:rFonts w:asciiTheme="minorHAnsi" w:eastAsiaTheme="minorHAnsi" w:hAnsiTheme="minorHAnsi" w:cstheme="minorBidi"/>
          <w:lang w:val="es-ES_tradnl"/>
        </w:rPr>
      </w:pPr>
    </w:p>
    <w:p w14:paraId="600AA3B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El monto ya con la duplicación incluida,  no se retira hasta un mínimo de tres años.  </w:t>
      </w:r>
    </w:p>
    <w:p w14:paraId="13371878" w14:textId="77777777" w:rsidR="005858CD" w:rsidRPr="005858CD" w:rsidRDefault="005858CD">
      <w:pPr>
        <w:jc w:val="both"/>
        <w:rPr>
          <w:rFonts w:asciiTheme="minorHAnsi" w:eastAsiaTheme="minorHAnsi" w:hAnsiTheme="minorHAnsi" w:cstheme="minorBidi"/>
          <w:lang w:val="es-ES_tradnl"/>
        </w:rPr>
      </w:pPr>
    </w:p>
    <w:p w14:paraId="43B27289"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Las mujeres son administradoras exclusivas de sus fondos.  </w:t>
      </w:r>
    </w:p>
    <w:p w14:paraId="2FE0BB6D" w14:textId="77777777" w:rsidR="005858CD" w:rsidRPr="005858CD" w:rsidRDefault="005858CD">
      <w:pPr>
        <w:jc w:val="both"/>
        <w:rPr>
          <w:rFonts w:asciiTheme="minorHAnsi" w:eastAsiaTheme="minorHAnsi" w:hAnsiTheme="minorHAnsi" w:cstheme="minorBidi"/>
          <w:lang w:val="es-ES_tradnl"/>
        </w:rPr>
      </w:pPr>
    </w:p>
    <w:p w14:paraId="5B830D47"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Cuando el grupo de mujeres ha logrado consolidarse y fortalecerse habiendo realizado actividades en conjunto y habiendo logrado ahorrar por  al menos tres meses la  cooperativa puede fortalecer las actividades diversas de las mismas y donde sea necesaria otorgar financiamiento. </w:t>
      </w:r>
    </w:p>
    <w:p w14:paraId="4DA13DF9" w14:textId="77777777" w:rsidR="005858CD" w:rsidRPr="005858CD" w:rsidRDefault="005858CD">
      <w:pPr>
        <w:jc w:val="both"/>
        <w:rPr>
          <w:rFonts w:asciiTheme="minorHAnsi" w:eastAsiaTheme="minorHAnsi" w:hAnsiTheme="minorHAnsi" w:cstheme="minorBidi"/>
          <w:lang w:val="es-ES_tradnl"/>
        </w:rPr>
      </w:pPr>
    </w:p>
    <w:p w14:paraId="3DD369DA"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La Cooperativa toma los grupos de mujeres en cuenta en la organización de eventos y actividades con el fin de hacerlos accesibles y apropiadas.  </w:t>
      </w:r>
    </w:p>
    <w:p w14:paraId="7290955A" w14:textId="77777777" w:rsidR="005858CD" w:rsidRPr="005858CD" w:rsidRDefault="005858CD">
      <w:pPr>
        <w:jc w:val="both"/>
        <w:rPr>
          <w:rFonts w:asciiTheme="minorHAnsi" w:eastAsiaTheme="minorHAnsi" w:hAnsiTheme="minorHAnsi" w:cstheme="minorBidi"/>
          <w:lang w:val="es-ES_tradnl"/>
        </w:rPr>
      </w:pPr>
    </w:p>
    <w:p w14:paraId="2FBE90A3"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La Cooperativa JFPS puede prestar hasta 1.5 veces el nivel del ahorro total, a una tasa de 8% anual.  El plazo máximo es de 18 meses.</w:t>
      </w:r>
    </w:p>
    <w:p w14:paraId="3CBF8945" w14:textId="77777777" w:rsidR="005858CD" w:rsidRPr="005858CD" w:rsidRDefault="005858CD">
      <w:pPr>
        <w:jc w:val="both"/>
        <w:rPr>
          <w:rFonts w:asciiTheme="minorHAnsi" w:eastAsiaTheme="minorHAnsi" w:hAnsiTheme="minorHAnsi" w:cstheme="minorBidi"/>
          <w:lang w:val="es-ES_tradnl"/>
        </w:rPr>
      </w:pPr>
    </w:p>
    <w:p w14:paraId="1B01DD8E"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La actividad y el plazo del préstamo será propuesto por el grupo de mujeres  y analizada y aprobada por la Cooperativa JFPS.  El mecanismo es igual para actividades individuales y grupales.  </w:t>
      </w:r>
    </w:p>
    <w:p w14:paraId="319D60FC" w14:textId="77777777" w:rsidR="005858CD" w:rsidRPr="005858CD" w:rsidRDefault="005858CD">
      <w:pPr>
        <w:jc w:val="both"/>
        <w:rPr>
          <w:rFonts w:asciiTheme="minorHAnsi" w:eastAsiaTheme="minorHAnsi" w:hAnsiTheme="minorHAnsi" w:cstheme="minorBidi"/>
          <w:lang w:val="es-ES_tradnl"/>
        </w:rPr>
      </w:pPr>
    </w:p>
    <w:p w14:paraId="7D9E7990"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Todas la mujeres del grupo actúan como fiadoras solidarias para todos los prestamos de su grupo,  individuales y grupales.</w:t>
      </w:r>
    </w:p>
    <w:p w14:paraId="43AA773B" w14:textId="77777777" w:rsidR="005858CD" w:rsidRPr="005858CD" w:rsidRDefault="005858CD">
      <w:pPr>
        <w:jc w:val="both"/>
        <w:rPr>
          <w:rFonts w:asciiTheme="minorHAnsi" w:eastAsiaTheme="minorHAnsi" w:hAnsiTheme="minorHAnsi" w:cstheme="minorBidi"/>
          <w:lang w:val="es-ES_tradnl"/>
        </w:rPr>
      </w:pPr>
    </w:p>
    <w:p w14:paraId="7DACFE41"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 - La Cooperativa revisa las tasas de interés anualmente.  </w:t>
      </w:r>
    </w:p>
    <w:p w14:paraId="70A2EC10" w14:textId="77777777" w:rsidR="005858CD" w:rsidRPr="005858CD" w:rsidRDefault="005858CD">
      <w:pPr>
        <w:jc w:val="both"/>
        <w:rPr>
          <w:rFonts w:asciiTheme="minorHAnsi" w:eastAsiaTheme="minorHAnsi" w:hAnsiTheme="minorHAnsi" w:cstheme="minorBidi"/>
          <w:lang w:val="es-ES_tradnl"/>
        </w:rPr>
      </w:pPr>
    </w:p>
    <w:p w14:paraId="354703BF" w14:textId="77777777" w:rsidR="005858CD" w:rsidRPr="005858CD" w:rsidRDefault="005858CD">
      <w:pPr>
        <w:jc w:val="both"/>
        <w:rPr>
          <w:rFonts w:asciiTheme="minorHAnsi" w:eastAsiaTheme="minorHAnsi" w:hAnsiTheme="minorHAnsi" w:cstheme="minorBidi"/>
          <w:b/>
          <w:u w:val="single"/>
          <w:lang w:val="es-ES_tradnl"/>
        </w:rPr>
      </w:pPr>
      <w:r w:rsidRPr="005858CD">
        <w:rPr>
          <w:rFonts w:asciiTheme="minorHAnsi" w:eastAsiaTheme="minorHAnsi" w:hAnsiTheme="minorHAnsi" w:cstheme="minorBidi"/>
          <w:b/>
          <w:u w:val="single"/>
          <w:lang w:val="es-ES_tradnl"/>
        </w:rPr>
        <w:t>Perfil de Grupos</w:t>
      </w:r>
    </w:p>
    <w:p w14:paraId="00677974" w14:textId="77777777" w:rsidR="005858CD" w:rsidRPr="005858CD" w:rsidRDefault="005858CD">
      <w:pPr>
        <w:jc w:val="both"/>
        <w:rPr>
          <w:rFonts w:asciiTheme="minorHAnsi" w:eastAsiaTheme="minorHAnsi" w:hAnsiTheme="minorHAnsi" w:cstheme="minorBidi"/>
          <w:lang w:val="es-ES_tradnl"/>
        </w:rPr>
      </w:pPr>
    </w:p>
    <w:p w14:paraId="1CAAFA0F"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Los grupos tienen entre 5 y 15 miembros. </w:t>
      </w:r>
    </w:p>
    <w:p w14:paraId="6647DDA7" w14:textId="77777777" w:rsidR="005858CD" w:rsidRPr="005858CD" w:rsidRDefault="005858CD">
      <w:pPr>
        <w:jc w:val="both"/>
        <w:rPr>
          <w:rFonts w:asciiTheme="minorHAnsi" w:eastAsiaTheme="minorHAnsi" w:hAnsiTheme="minorHAnsi" w:cstheme="minorBidi"/>
          <w:lang w:val="es-ES_tradnl"/>
        </w:rPr>
      </w:pPr>
    </w:p>
    <w:p w14:paraId="6E0F2D7A"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Todas mujeres asumen el compromiso de asistir y participar en actividades llamado por el grupo.</w:t>
      </w:r>
    </w:p>
    <w:p w14:paraId="57508B0B" w14:textId="77777777" w:rsidR="005858CD" w:rsidRPr="005858CD" w:rsidRDefault="005858CD">
      <w:pPr>
        <w:jc w:val="both"/>
        <w:rPr>
          <w:rFonts w:asciiTheme="minorHAnsi" w:eastAsiaTheme="minorHAnsi" w:hAnsiTheme="minorHAnsi" w:cstheme="minorBidi"/>
          <w:lang w:val="es-ES_tradnl"/>
        </w:rPr>
      </w:pPr>
    </w:p>
    <w:p w14:paraId="47F30A39"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lastRenderedPageBreak/>
        <w:t xml:space="preserve">Los grupos tienen el derecho de participar en actividades organizadas por la cooperativa (capacitaciones, reuniones, eventos, intercambio de experiencias, participación en ferias).  </w:t>
      </w:r>
    </w:p>
    <w:p w14:paraId="51DC15C1" w14:textId="77777777" w:rsidR="005858CD" w:rsidRPr="005858CD" w:rsidRDefault="005858CD">
      <w:pPr>
        <w:jc w:val="both"/>
        <w:rPr>
          <w:rFonts w:asciiTheme="minorHAnsi" w:eastAsiaTheme="minorHAnsi" w:hAnsiTheme="minorHAnsi" w:cstheme="minorBidi"/>
          <w:lang w:val="es-ES_tradnl"/>
        </w:rPr>
      </w:pPr>
    </w:p>
    <w:p w14:paraId="033B804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Los grupos activos ahorren activamente, realicen actividades en conjunto, que sea reuniones, actividades productivas, y participación en eventos de la comunidad y cooperativa, y mantengan libros de Actas y Contabilidad actualizados.  </w:t>
      </w:r>
    </w:p>
    <w:p w14:paraId="1CB5049A" w14:textId="77777777" w:rsidR="005858CD" w:rsidRPr="005858CD" w:rsidRDefault="005858CD">
      <w:pPr>
        <w:jc w:val="both"/>
        <w:rPr>
          <w:rFonts w:asciiTheme="minorHAnsi" w:eastAsiaTheme="minorHAnsi" w:hAnsiTheme="minorHAnsi" w:cstheme="minorBidi"/>
          <w:lang w:val="es-ES_tradnl"/>
        </w:rPr>
      </w:pPr>
    </w:p>
    <w:p w14:paraId="677E557F"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Los representantes son: Coordinadora, Vice-Coordinadora, Secretaria, Tesorera y Vocal,  Los representantes se eligen o con mano alzada o por otra propuesta hecho por el grupo.  </w:t>
      </w:r>
    </w:p>
    <w:p w14:paraId="74A2D9E7" w14:textId="77777777" w:rsidR="005858CD" w:rsidRPr="005858CD" w:rsidRDefault="005858CD">
      <w:pPr>
        <w:jc w:val="both"/>
        <w:rPr>
          <w:rFonts w:asciiTheme="minorHAnsi" w:eastAsiaTheme="minorHAnsi" w:hAnsiTheme="minorHAnsi" w:cstheme="minorBidi"/>
          <w:lang w:val="es-ES_tradnl"/>
        </w:rPr>
      </w:pPr>
    </w:p>
    <w:p w14:paraId="268E5AEC"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Coordinadora – Responsable del grupo para coordinar actividades del grupo, funciona como punto principal de comunicación y coordinacion con la Cooperativa JFPS</w:t>
      </w:r>
    </w:p>
    <w:p w14:paraId="3E42C7B5"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Vice-Coordinadora – suplente a la Coordinadora</w:t>
      </w:r>
    </w:p>
    <w:p w14:paraId="22F4388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Secretaria – Levanta actas de las reuniones y actividades del grupo. </w:t>
      </w:r>
    </w:p>
    <w:p w14:paraId="0E2981B7"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Tesorera – Responsable de la contabilidad del grupo, y por la tarjeta del ahorro grupal.</w:t>
      </w:r>
    </w:p>
    <w:p w14:paraId="696207D2"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Vocal – Invita para reuniones, suplente para cualquier otra delegada que está ausente. </w:t>
      </w:r>
    </w:p>
    <w:p w14:paraId="70D2E1EC" w14:textId="77777777" w:rsidR="005858CD" w:rsidRPr="005858CD" w:rsidRDefault="005858CD">
      <w:pPr>
        <w:jc w:val="both"/>
        <w:rPr>
          <w:rFonts w:asciiTheme="minorHAnsi" w:eastAsiaTheme="minorHAnsi" w:hAnsiTheme="minorHAnsi" w:cstheme="minorBidi"/>
          <w:lang w:val="es-ES_tradnl"/>
        </w:rPr>
      </w:pPr>
    </w:p>
    <w:p w14:paraId="788E42F8"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Problemas Previstos:</w:t>
      </w:r>
    </w:p>
    <w:p w14:paraId="04AC2918" w14:textId="77777777" w:rsidR="005858CD" w:rsidRPr="005858CD" w:rsidRDefault="005858CD">
      <w:pPr>
        <w:jc w:val="both"/>
        <w:rPr>
          <w:rFonts w:asciiTheme="minorHAnsi" w:eastAsiaTheme="minorHAnsi" w:hAnsiTheme="minorHAnsi" w:cstheme="minorBidi"/>
          <w:lang w:val="es-ES_tradnl"/>
        </w:rPr>
      </w:pPr>
    </w:p>
    <w:p w14:paraId="5BB1411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El mecanismo para resolver problemas, proponer cambios en la política de la iniciativa es:  </w:t>
      </w:r>
    </w:p>
    <w:p w14:paraId="3A1A816B" w14:textId="77777777" w:rsidR="005858CD" w:rsidRPr="005858CD" w:rsidRDefault="005858CD" w:rsidP="00293176">
      <w:pPr>
        <w:numPr>
          <w:ilvl w:val="0"/>
          <w:numId w:val="19"/>
        </w:numPr>
        <w:ind w:left="0"/>
        <w:contextualSpacing/>
        <w:jc w:val="both"/>
        <w:rPr>
          <w:rFonts w:asciiTheme="minorHAnsi" w:eastAsiaTheme="minorHAnsi" w:hAnsiTheme="minorHAnsi" w:cstheme="minorBidi"/>
          <w:sz w:val="22"/>
          <w:szCs w:val="20"/>
          <w:lang w:val="es-ES_tradnl" w:bidi="sd-Deva-IN"/>
        </w:rPr>
      </w:pPr>
      <w:r w:rsidRPr="005858CD">
        <w:rPr>
          <w:rFonts w:asciiTheme="minorHAnsi" w:eastAsiaTheme="minorHAnsi" w:hAnsiTheme="minorHAnsi" w:cstheme="minorBidi"/>
          <w:sz w:val="22"/>
          <w:szCs w:val="20"/>
          <w:lang w:val="es-ES_tradnl" w:bidi="sd-Deva-IN"/>
        </w:rPr>
        <w:t xml:space="preserve">Intentar buscar resolución o formar una propuesta dentro del grupo </w:t>
      </w:r>
    </w:p>
    <w:p w14:paraId="25E3C7F4" w14:textId="77777777" w:rsidR="005858CD" w:rsidRPr="005858CD" w:rsidRDefault="005858CD" w:rsidP="00293176">
      <w:pPr>
        <w:numPr>
          <w:ilvl w:val="0"/>
          <w:numId w:val="19"/>
        </w:numPr>
        <w:ind w:left="0"/>
        <w:contextualSpacing/>
        <w:jc w:val="both"/>
        <w:rPr>
          <w:rFonts w:asciiTheme="minorHAnsi" w:eastAsiaTheme="minorHAnsi" w:hAnsiTheme="minorHAnsi" w:cstheme="minorBidi"/>
          <w:sz w:val="22"/>
          <w:szCs w:val="20"/>
          <w:lang w:val="es-ES_tradnl" w:bidi="sd-Deva-IN"/>
        </w:rPr>
      </w:pPr>
      <w:r w:rsidRPr="005858CD">
        <w:rPr>
          <w:rFonts w:asciiTheme="minorHAnsi" w:eastAsiaTheme="minorHAnsi" w:hAnsiTheme="minorHAnsi" w:cstheme="minorBidi"/>
          <w:sz w:val="22"/>
          <w:szCs w:val="20"/>
          <w:lang w:val="es-ES_tradnl" w:bidi="sd-Deva-IN"/>
        </w:rPr>
        <w:t>Les acompaña la técnica de la Cooperativa JFPS en buscar resolución o definir propuesta</w:t>
      </w:r>
    </w:p>
    <w:p w14:paraId="2E7AAC91" w14:textId="77777777" w:rsidR="005858CD" w:rsidRPr="005858CD" w:rsidRDefault="005858CD" w:rsidP="00293176">
      <w:pPr>
        <w:numPr>
          <w:ilvl w:val="0"/>
          <w:numId w:val="19"/>
        </w:numPr>
        <w:ind w:left="0"/>
        <w:contextualSpacing/>
        <w:jc w:val="both"/>
        <w:rPr>
          <w:rFonts w:asciiTheme="minorHAnsi" w:eastAsiaTheme="minorHAnsi" w:hAnsiTheme="minorHAnsi" w:cstheme="minorBidi"/>
          <w:sz w:val="22"/>
          <w:szCs w:val="20"/>
          <w:lang w:val="es-ES_tradnl" w:bidi="sd-Deva-IN"/>
        </w:rPr>
      </w:pPr>
      <w:r w:rsidRPr="005858CD">
        <w:rPr>
          <w:rFonts w:asciiTheme="minorHAnsi" w:eastAsiaTheme="minorHAnsi" w:hAnsiTheme="minorHAnsi" w:cstheme="minorBidi"/>
          <w:sz w:val="22"/>
          <w:szCs w:val="20"/>
          <w:lang w:val="es-ES_tradnl" w:bidi="sd-Deva-IN"/>
        </w:rPr>
        <w:t>El problema o la propuesta se lleva a los representantes de Genero en el Consejo de la Cooperativa</w:t>
      </w:r>
    </w:p>
    <w:p w14:paraId="333AF0BF" w14:textId="77777777" w:rsidR="005858CD" w:rsidRPr="005858CD" w:rsidRDefault="005858CD" w:rsidP="008C041F">
      <w:pPr>
        <w:jc w:val="both"/>
        <w:rPr>
          <w:rFonts w:asciiTheme="minorHAnsi" w:eastAsiaTheme="minorHAnsi" w:hAnsiTheme="minorHAnsi" w:cstheme="minorBidi"/>
          <w:lang w:val="es-ES_tradnl"/>
        </w:rPr>
      </w:pPr>
    </w:p>
    <w:p w14:paraId="7732A075" w14:textId="77777777" w:rsidR="005858CD" w:rsidRPr="005858CD" w:rsidRDefault="005858CD" w:rsidP="008C041F">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Una vez que se resuelve el problema, la resolución queda como el ejemplo para el futuro y se integra como parte de la política de la iniciativa. </w:t>
      </w:r>
    </w:p>
    <w:p w14:paraId="6C4296DF" w14:textId="77777777" w:rsidR="005858CD" w:rsidRPr="005858CD" w:rsidRDefault="005858CD" w:rsidP="008C041F">
      <w:pPr>
        <w:jc w:val="both"/>
        <w:rPr>
          <w:rFonts w:asciiTheme="minorHAnsi" w:eastAsiaTheme="minorHAnsi" w:hAnsiTheme="minorHAnsi" w:cstheme="minorBidi"/>
          <w:lang w:val="es-ES_tradnl"/>
        </w:rPr>
      </w:pPr>
    </w:p>
    <w:p w14:paraId="51A2D848" w14:textId="77777777" w:rsidR="005858CD" w:rsidRPr="005858CD" w:rsidRDefault="005858CD" w:rsidP="008C041F">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Ejemplos:</w:t>
      </w:r>
    </w:p>
    <w:p w14:paraId="6F5011F4" w14:textId="77777777" w:rsidR="005858CD" w:rsidRPr="005858CD" w:rsidRDefault="005858CD" w:rsidP="008C041F">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Qué pasa si una mujer se decide retirarse, o un grupo se disuelve?</w:t>
      </w:r>
    </w:p>
    <w:p w14:paraId="6DCDA8A3" w14:textId="77777777" w:rsidR="005858CD" w:rsidRPr="005858CD" w:rsidRDefault="005858CD" w:rsidP="008C041F">
      <w:pPr>
        <w:jc w:val="both"/>
        <w:rPr>
          <w:rFonts w:asciiTheme="minorHAnsi" w:eastAsiaTheme="minorHAnsi" w:hAnsiTheme="minorHAnsi" w:cstheme="minorBidi"/>
          <w:lang w:val="es-ES_tradnl"/>
        </w:rPr>
      </w:pPr>
    </w:p>
    <w:p w14:paraId="05CB5DBE" w14:textId="77777777" w:rsidR="005858CD" w:rsidRPr="005858CD" w:rsidRDefault="005858CD" w:rsidP="008C041F">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Si un grupo es inactivo por cuatro meses… </w:t>
      </w:r>
    </w:p>
    <w:p w14:paraId="65D8047C" w14:textId="77777777" w:rsidR="005858CD" w:rsidRPr="005858CD" w:rsidRDefault="005858CD" w:rsidP="008C041F">
      <w:pPr>
        <w:jc w:val="both"/>
        <w:rPr>
          <w:rFonts w:asciiTheme="minorHAnsi" w:eastAsiaTheme="minorHAnsi" w:hAnsiTheme="minorHAnsi" w:cstheme="minorBidi"/>
          <w:lang w:val="es-ES_tradnl"/>
        </w:rPr>
      </w:pPr>
    </w:p>
    <w:p w14:paraId="2B30E74F" w14:textId="77777777" w:rsidR="005858CD" w:rsidRPr="005858CD" w:rsidRDefault="005858CD">
      <w:pPr>
        <w:jc w:val="both"/>
        <w:rPr>
          <w:rFonts w:asciiTheme="minorHAnsi" w:eastAsiaTheme="minorHAnsi" w:hAnsiTheme="minorHAnsi" w:cstheme="minorBidi"/>
          <w:b/>
          <w:u w:val="single"/>
          <w:lang w:val="es-ES_tradnl"/>
        </w:rPr>
      </w:pPr>
      <w:r w:rsidRPr="005858CD">
        <w:rPr>
          <w:rFonts w:asciiTheme="minorHAnsi" w:eastAsiaTheme="minorHAnsi" w:hAnsiTheme="minorHAnsi" w:cstheme="minorBidi"/>
          <w:b/>
          <w:lang w:val="es-ES_tradnl"/>
        </w:rPr>
        <w:br w:type="page"/>
      </w:r>
      <w:r w:rsidRPr="005858CD">
        <w:rPr>
          <w:rFonts w:asciiTheme="minorHAnsi" w:eastAsiaTheme="minorHAnsi" w:hAnsiTheme="minorHAnsi" w:cstheme="minorBidi"/>
          <w:b/>
          <w:u w:val="single"/>
          <w:lang w:val="es-ES_tradnl"/>
        </w:rPr>
        <w:lastRenderedPageBreak/>
        <w:t>Metodologías de Difundir y Promover La Iniciativa:</w:t>
      </w:r>
    </w:p>
    <w:p w14:paraId="0E268883" w14:textId="77777777" w:rsidR="005858CD" w:rsidRPr="005858CD" w:rsidRDefault="005858CD">
      <w:pPr>
        <w:jc w:val="both"/>
        <w:rPr>
          <w:rFonts w:asciiTheme="minorHAnsi" w:eastAsiaTheme="minorHAnsi" w:hAnsiTheme="minorHAnsi" w:cstheme="minorBidi"/>
          <w:u w:val="single"/>
          <w:lang w:val="es-ES_tradnl"/>
        </w:rPr>
      </w:pPr>
    </w:p>
    <w:p w14:paraId="774FAFA6"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Materiales Didacticas:</w:t>
      </w:r>
    </w:p>
    <w:p w14:paraId="47127DFF" w14:textId="77777777" w:rsidR="005858CD" w:rsidRPr="005858CD" w:rsidRDefault="005858CD">
      <w:pPr>
        <w:jc w:val="both"/>
        <w:rPr>
          <w:rFonts w:asciiTheme="minorHAnsi" w:eastAsiaTheme="minorHAnsi" w:hAnsiTheme="minorHAnsi" w:cstheme="minorBidi"/>
          <w:lang w:val="es-ES_tradnl"/>
        </w:rPr>
      </w:pPr>
    </w:p>
    <w:p w14:paraId="2B7881DF"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Brochures (Trifoliar)</w:t>
      </w:r>
    </w:p>
    <w:p w14:paraId="491B0082"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Rotafolio:  Explica la iniciativa, Paso a Paso (Brigido, Chema, Marta, Raquel, Karelia)</w:t>
      </w:r>
    </w:p>
    <w:p w14:paraId="2BEF536B"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Materiales para la capacitación: Papelografo, marcadoras, etc.</w:t>
      </w:r>
    </w:p>
    <w:p w14:paraId="176001B2"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Un Ejemplo de una tarjeta de ahorro que muestra la duplicación.</w:t>
      </w:r>
    </w:p>
    <w:p w14:paraId="592DCAA0"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Un formulario de Solicitud de Credito (Individual y Grupal)</w:t>
      </w:r>
    </w:p>
    <w:p w14:paraId="4CC34879"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Los libros de Acta y Contable</w:t>
      </w:r>
    </w:p>
    <w:p w14:paraId="7AC01675" w14:textId="77777777" w:rsidR="005858CD" w:rsidRPr="005858CD" w:rsidRDefault="005858CD">
      <w:pPr>
        <w:jc w:val="both"/>
        <w:rPr>
          <w:rFonts w:asciiTheme="minorHAnsi" w:eastAsiaTheme="minorHAnsi" w:hAnsiTheme="minorHAnsi" w:cstheme="minorBidi"/>
          <w:lang w:val="es-ES_tradnl"/>
        </w:rPr>
      </w:pPr>
    </w:p>
    <w:p w14:paraId="362A71CD"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Promociones Culturales:</w:t>
      </w:r>
    </w:p>
    <w:p w14:paraId="155CA383" w14:textId="77777777" w:rsidR="005858CD" w:rsidRPr="005858CD" w:rsidRDefault="005858CD">
      <w:pPr>
        <w:jc w:val="both"/>
        <w:rPr>
          <w:rFonts w:asciiTheme="minorHAnsi" w:eastAsiaTheme="minorHAnsi" w:hAnsiTheme="minorHAnsi" w:cstheme="minorBidi"/>
          <w:lang w:val="es-ES_tradnl"/>
        </w:rPr>
      </w:pPr>
    </w:p>
    <w:p w14:paraId="1DF98A7F"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Equipos de deportes</w:t>
      </w:r>
    </w:p>
    <w:p w14:paraId="0942DC91"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Mural</w:t>
      </w:r>
    </w:p>
    <w:p w14:paraId="6514638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Canciones</w:t>
      </w:r>
    </w:p>
    <w:p w14:paraId="5A3AABAC"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Poesías</w:t>
      </w:r>
    </w:p>
    <w:p w14:paraId="17D8D4D5"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Socio-drama</w:t>
      </w:r>
    </w:p>
    <w:p w14:paraId="74699FB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Dinámicas</w:t>
      </w:r>
    </w:p>
    <w:p w14:paraId="1320C2AA"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Lema</w:t>
      </w:r>
    </w:p>
    <w:p w14:paraId="6AD8BA6A" w14:textId="77777777" w:rsidR="005858CD" w:rsidRPr="005858CD" w:rsidRDefault="005858CD">
      <w:pPr>
        <w:jc w:val="both"/>
        <w:rPr>
          <w:rFonts w:asciiTheme="minorHAnsi" w:eastAsiaTheme="minorHAnsi" w:hAnsiTheme="minorHAnsi" w:cstheme="minorBidi"/>
          <w:lang w:val="es-ES_tradnl"/>
        </w:rPr>
      </w:pPr>
    </w:p>
    <w:p w14:paraId="1774595D" w14:textId="77777777" w:rsidR="005858CD" w:rsidRPr="005858CD" w:rsidRDefault="005858CD">
      <w:pPr>
        <w:jc w:val="both"/>
        <w:rPr>
          <w:rFonts w:asciiTheme="minorHAnsi" w:eastAsiaTheme="minorHAnsi" w:hAnsiTheme="minorHAnsi" w:cstheme="minorBidi"/>
          <w:lang w:val="es-ES_tradnl"/>
        </w:rPr>
      </w:pPr>
    </w:p>
    <w:p w14:paraId="65950B2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Tareas:</w:t>
      </w:r>
    </w:p>
    <w:p w14:paraId="21D9536C"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 xml:space="preserve">Sacar presupuesto: </w:t>
      </w:r>
    </w:p>
    <w:p w14:paraId="29622CEE"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20 libros de Acta, 20 libros de Contabilidad (Eddar)</w:t>
      </w:r>
    </w:p>
    <w:p w14:paraId="36626002"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Libro para la Cooperativa llevar la lista de solicitudes (interna)</w:t>
      </w:r>
    </w:p>
    <w:p w14:paraId="7709F362"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Sacar un Sello:  Iniciativa de la Mujeres en Reconocimiento del Trabajo No Remunerado  (Eddar)</w:t>
      </w:r>
    </w:p>
    <w:p w14:paraId="53CADB74"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Hacer Tarjeta ejemplo (Eddar y Contabilidad/ Administracion)</w:t>
      </w:r>
    </w:p>
    <w:p w14:paraId="2851DDDD" w14:textId="77777777" w:rsidR="005858CD" w:rsidRPr="005858CD" w:rsidRDefault="005858CD">
      <w:pPr>
        <w:jc w:val="both"/>
        <w:rPr>
          <w:rFonts w:asciiTheme="minorHAnsi" w:eastAsiaTheme="minorHAnsi" w:hAnsiTheme="minorHAnsi" w:cstheme="minorBidi"/>
          <w:lang w:val="es-ES_tradnl"/>
        </w:rPr>
      </w:pPr>
    </w:p>
    <w:p w14:paraId="67B93043" w14:textId="77777777" w:rsidR="005858CD" w:rsidRPr="005858CD" w:rsidRDefault="005858CD">
      <w:pPr>
        <w:jc w:val="both"/>
        <w:rPr>
          <w:rFonts w:asciiTheme="minorHAnsi" w:eastAsiaTheme="minorHAnsi" w:hAnsiTheme="minorHAnsi" w:cstheme="minorBidi"/>
          <w:lang w:val="es-ES_tradnl"/>
        </w:rPr>
      </w:pPr>
    </w:p>
    <w:p w14:paraId="467D7765" w14:textId="77777777" w:rsidR="005858CD" w:rsidRPr="005858CD" w:rsidRDefault="005858CD">
      <w:pPr>
        <w:jc w:val="both"/>
        <w:rPr>
          <w:rFonts w:asciiTheme="minorHAnsi" w:eastAsiaTheme="minorHAnsi" w:hAnsiTheme="minorHAnsi" w:cstheme="minorBidi"/>
          <w:lang w:val="es-ES_tradnl"/>
        </w:rPr>
      </w:pPr>
      <w:r w:rsidRPr="005858CD">
        <w:rPr>
          <w:rFonts w:asciiTheme="minorHAnsi" w:eastAsiaTheme="minorHAnsi" w:hAnsiTheme="minorHAnsi" w:cstheme="minorBidi"/>
          <w:lang w:val="es-ES_tradnl"/>
        </w:rPr>
        <w:t>*Hacer propuesta de formulario de solicitud de crédito (Contabilidad/ Administracion hace el borrador)</w:t>
      </w:r>
    </w:p>
    <w:p w14:paraId="565A3D99" w14:textId="77777777" w:rsidR="005858CD" w:rsidRPr="005858CD" w:rsidRDefault="005858CD">
      <w:pPr>
        <w:jc w:val="both"/>
        <w:rPr>
          <w:rFonts w:asciiTheme="minorHAnsi" w:eastAsiaTheme="minorHAnsi" w:hAnsiTheme="minorHAnsi" w:cstheme="minorBidi"/>
          <w:lang w:val="es-ES_tradnl"/>
        </w:rPr>
      </w:pPr>
    </w:p>
    <w:p w14:paraId="5EFA039A" w14:textId="77777777" w:rsidR="005858CD" w:rsidRPr="005858CD" w:rsidRDefault="005858CD">
      <w:pPr>
        <w:jc w:val="both"/>
        <w:rPr>
          <w:rFonts w:asciiTheme="minorHAnsi" w:eastAsiaTheme="minorHAnsi" w:hAnsiTheme="minorHAnsi" w:cstheme="minorBidi"/>
          <w:lang w:val="es-ES_tradnl"/>
        </w:rPr>
      </w:pPr>
    </w:p>
    <w:p w14:paraId="38690FCD" w14:textId="77777777" w:rsidR="005858CD" w:rsidRPr="005858CD" w:rsidRDefault="005858CD">
      <w:pPr>
        <w:jc w:val="both"/>
        <w:rPr>
          <w:rFonts w:asciiTheme="minorHAnsi" w:eastAsiaTheme="minorHAnsi" w:hAnsiTheme="minorHAnsi" w:cstheme="minorBidi"/>
          <w:lang w:val="es-ES_tradnl"/>
        </w:rPr>
      </w:pPr>
    </w:p>
    <w:p w14:paraId="318FF1AF" w14:textId="77777777" w:rsidR="005858CD" w:rsidRPr="005858CD" w:rsidRDefault="005858CD">
      <w:pPr>
        <w:jc w:val="both"/>
        <w:rPr>
          <w:rFonts w:asciiTheme="minorHAnsi" w:eastAsiaTheme="minorHAnsi" w:hAnsiTheme="minorHAnsi" w:cstheme="minorBidi"/>
          <w:lang w:val="es-ES_tradnl"/>
        </w:rPr>
      </w:pPr>
    </w:p>
    <w:p w14:paraId="7A37819D" w14:textId="77777777" w:rsidR="005858CD" w:rsidRPr="005858CD" w:rsidRDefault="005858CD">
      <w:pPr>
        <w:jc w:val="both"/>
        <w:rPr>
          <w:rFonts w:asciiTheme="minorHAnsi" w:eastAsiaTheme="minorHAnsi" w:hAnsiTheme="minorHAnsi" w:cstheme="minorBidi"/>
          <w:lang w:val="es-ES_tradnl"/>
        </w:rPr>
      </w:pPr>
    </w:p>
    <w:p w14:paraId="3E746955" w14:textId="77777777" w:rsidR="005858CD" w:rsidRPr="005858CD" w:rsidRDefault="005858CD">
      <w:pPr>
        <w:jc w:val="both"/>
        <w:rPr>
          <w:rFonts w:asciiTheme="minorHAnsi" w:eastAsiaTheme="minorHAnsi" w:hAnsiTheme="minorHAnsi" w:cstheme="minorBidi"/>
          <w:lang w:val="es-ES_tradnl"/>
        </w:rPr>
      </w:pPr>
    </w:p>
    <w:p w14:paraId="12F9C11E" w14:textId="77777777" w:rsidR="005858CD" w:rsidRPr="005858CD" w:rsidRDefault="005858CD">
      <w:pPr>
        <w:rPr>
          <w:rFonts w:eastAsiaTheme="minorHAnsi"/>
          <w:b/>
          <w:u w:val="single"/>
        </w:rPr>
      </w:pPr>
    </w:p>
    <w:p w14:paraId="12724A35" w14:textId="77777777" w:rsidR="005858CD" w:rsidRPr="005858CD" w:rsidRDefault="005858CD">
      <w:pPr>
        <w:rPr>
          <w:rFonts w:eastAsiaTheme="minorHAnsi"/>
          <w:b/>
          <w:u w:val="single"/>
        </w:rPr>
      </w:pPr>
    </w:p>
    <w:p w14:paraId="45959078" w14:textId="77777777" w:rsidR="005858CD" w:rsidRPr="005858CD" w:rsidRDefault="005858CD">
      <w:pPr>
        <w:rPr>
          <w:rFonts w:eastAsiaTheme="minorHAnsi"/>
          <w:b/>
          <w:u w:val="single"/>
        </w:rPr>
      </w:pPr>
    </w:p>
    <w:p w14:paraId="15D434CC" w14:textId="77777777" w:rsidR="005858CD" w:rsidRPr="005858CD" w:rsidRDefault="005858CD">
      <w:pPr>
        <w:rPr>
          <w:rFonts w:eastAsiaTheme="minorHAnsi"/>
        </w:rPr>
      </w:pPr>
    </w:p>
    <w:p w14:paraId="08FA2A7D" w14:textId="77777777" w:rsidR="005858CD" w:rsidRPr="005858CD" w:rsidRDefault="005858CD">
      <w:pPr>
        <w:rPr>
          <w:rFonts w:eastAsiaTheme="minorHAnsi"/>
        </w:rPr>
      </w:pPr>
    </w:p>
    <w:p w14:paraId="003CAF9E" w14:textId="77777777" w:rsidR="005858CD" w:rsidRPr="005858CD" w:rsidRDefault="005858CD">
      <w:pPr>
        <w:rPr>
          <w:rFonts w:eastAsiaTheme="minorHAnsi"/>
        </w:rPr>
      </w:pPr>
    </w:p>
    <w:p w14:paraId="3329E856" w14:textId="77777777" w:rsidR="005858CD" w:rsidRPr="005858CD" w:rsidRDefault="005858CD">
      <w:pPr>
        <w:rPr>
          <w:rFonts w:eastAsiaTheme="minorHAnsi"/>
        </w:rPr>
      </w:pPr>
    </w:p>
    <w:p w14:paraId="69C2FDF6" w14:textId="77777777" w:rsidR="005858CD" w:rsidRPr="005858CD" w:rsidRDefault="005858CD">
      <w:pPr>
        <w:rPr>
          <w:rFonts w:eastAsiaTheme="minorHAnsi"/>
        </w:rPr>
      </w:pPr>
    </w:p>
    <w:p w14:paraId="7895C2F8" w14:textId="77777777" w:rsidR="005858CD" w:rsidRPr="005858CD" w:rsidRDefault="005858CD">
      <w:pPr>
        <w:rPr>
          <w:rFonts w:eastAsiaTheme="minorHAnsi"/>
        </w:rPr>
      </w:pPr>
    </w:p>
    <w:p w14:paraId="3F4B2021" w14:textId="30446313" w:rsidR="005858CD" w:rsidRPr="005858CD" w:rsidRDefault="005858CD" w:rsidP="00293176">
      <w:pPr>
        <w:pStyle w:val="Heading1"/>
      </w:pPr>
      <w:bookmarkStart w:id="186" w:name="_Toc526819384"/>
      <w:r w:rsidRPr="005858CD">
        <w:lastRenderedPageBreak/>
        <w:t xml:space="preserve">APPENDIX </w:t>
      </w:r>
      <w:r w:rsidR="008C041F">
        <w:t>B</w:t>
      </w:r>
      <w:r w:rsidRPr="005858CD">
        <w:t>: ROUND</w:t>
      </w:r>
      <w:r w:rsidR="008C041F">
        <w:t>TA</w:t>
      </w:r>
      <w:r w:rsidRPr="005858CD">
        <w:t>BLE DISCUSSION</w:t>
      </w:r>
      <w:bookmarkEnd w:id="186"/>
    </w:p>
    <w:p w14:paraId="401C66E2" w14:textId="77777777" w:rsidR="005858CD" w:rsidRPr="005858CD" w:rsidRDefault="005858CD">
      <w:pPr>
        <w:rPr>
          <w:rFonts w:eastAsiaTheme="minorHAnsi"/>
          <w:b/>
          <w:u w:val="single"/>
        </w:rPr>
      </w:pPr>
    </w:p>
    <w:p w14:paraId="1CA3BE3A" w14:textId="77777777" w:rsidR="005858CD" w:rsidRPr="005858CD" w:rsidRDefault="005858CD">
      <w:pPr>
        <w:rPr>
          <w:rFonts w:eastAsiaTheme="minorHAnsi"/>
          <w:b/>
          <w:u w:val="single"/>
        </w:rPr>
      </w:pPr>
    </w:p>
    <w:p w14:paraId="50C56D8B" w14:textId="77777777" w:rsidR="005858CD" w:rsidRPr="005858CD" w:rsidRDefault="005858CD">
      <w:pPr>
        <w:rPr>
          <w:rFonts w:eastAsiaTheme="minorHAnsi"/>
          <w:b/>
          <w:u w:val="single"/>
        </w:rPr>
      </w:pPr>
      <w:r w:rsidRPr="005858CD">
        <w:rPr>
          <w:rFonts w:eastAsiaTheme="minorHAnsi"/>
          <w:b/>
          <w:u w:val="single"/>
        </w:rPr>
        <w:t xml:space="preserve"> </w:t>
      </w:r>
    </w:p>
    <w:p w14:paraId="4108495C" w14:textId="77777777" w:rsidR="005858CD" w:rsidRPr="005858CD" w:rsidRDefault="005858CD">
      <w:pPr>
        <w:outlineLvl w:val="0"/>
        <w:rPr>
          <w:rFonts w:eastAsia="MS Mincho"/>
        </w:rPr>
      </w:pPr>
    </w:p>
    <w:p w14:paraId="75F31C6B" w14:textId="77777777" w:rsidR="005858CD" w:rsidRPr="005858CD" w:rsidRDefault="005858CD">
      <w:pPr>
        <w:outlineLvl w:val="0"/>
        <w:rPr>
          <w:rFonts w:eastAsiaTheme="minorHAnsi"/>
          <w:b/>
        </w:rPr>
      </w:pPr>
    </w:p>
    <w:p w14:paraId="0A963873" w14:textId="77777777" w:rsidR="005858CD" w:rsidRPr="005858CD" w:rsidRDefault="005858CD">
      <w:pPr>
        <w:rPr>
          <w:rFonts w:eastAsiaTheme="minorHAnsi"/>
        </w:rPr>
      </w:pPr>
    </w:p>
    <w:p w14:paraId="400045C1" w14:textId="77777777" w:rsidR="005858CD" w:rsidRPr="005858CD" w:rsidRDefault="005858CD">
      <w:pPr>
        <w:widowControl w:val="0"/>
        <w:pBdr>
          <w:bottom w:val="dotted" w:sz="12" w:space="5" w:color="auto"/>
        </w:pBdr>
        <w:suppressAutoHyphens/>
        <w:autoSpaceDE w:val="0"/>
        <w:autoSpaceDN w:val="0"/>
        <w:adjustRightInd w:val="0"/>
        <w:spacing w:after="140" w:line="209" w:lineRule="auto"/>
        <w:textAlignment w:val="center"/>
        <w:rPr>
          <w:rFonts w:ascii="Trebuchet MS" w:eastAsia="Cambria" w:hAnsi="Trebuchet MS" w:cs="TrebuchetMS"/>
          <w:b/>
          <w:sz w:val="58"/>
          <w:szCs w:val="58"/>
        </w:rPr>
      </w:pPr>
      <w:r w:rsidRPr="005858CD">
        <w:rPr>
          <w:rFonts w:ascii="Trebuchet MS" w:eastAsia="Cambria" w:hAnsi="Trebuchet MS" w:cs="TrebuchetMS"/>
          <w:b/>
          <w:noProof/>
          <w:sz w:val="58"/>
          <w:szCs w:val="58"/>
          <w:lang w:eastAsia="en-GB"/>
        </w:rPr>
        <w:drawing>
          <wp:inline distT="0" distB="0" distL="0" distR="0" wp14:anchorId="5CFBBEA5" wp14:editId="40CDACE3">
            <wp:extent cx="1193800" cy="119380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93800" cy="1193800"/>
                    </a:xfrm>
                    <a:prstGeom prst="rect">
                      <a:avLst/>
                    </a:prstGeom>
                    <a:noFill/>
                  </pic:spPr>
                </pic:pic>
              </a:graphicData>
            </a:graphic>
          </wp:inline>
        </w:drawing>
      </w:r>
      <w:r w:rsidRPr="005858CD">
        <w:rPr>
          <w:rFonts w:ascii="Cambria" w:eastAsia="MS Mincho" w:hAnsi="Cambria"/>
          <w:noProof/>
        </w:rPr>
        <w:t xml:space="preserve"> </w:t>
      </w:r>
      <w:r w:rsidRPr="005858CD">
        <w:rPr>
          <w:rFonts w:ascii="Trebuchet MS" w:eastAsia="Cambria" w:hAnsi="Trebuchet MS" w:cs="TrebuchetMS"/>
          <w:b/>
          <w:noProof/>
          <w:sz w:val="58"/>
          <w:szCs w:val="58"/>
          <w:lang w:eastAsia="en-GB"/>
        </w:rPr>
        <w:drawing>
          <wp:inline distT="0" distB="0" distL="0" distR="0" wp14:anchorId="2D6E5E5A" wp14:editId="7E266D05">
            <wp:extent cx="1519624" cy="1223205"/>
            <wp:effectExtent l="0" t="0" r="4445" b="0"/>
            <wp:docPr id="39" name="Content Placeholder 11" descr="JPG RGB Small with Border cop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11" descr="JPG RGB Small with Border copy.jpg"/>
                    <pic:cNvPicPr>
                      <a:picLocks noGrp="1" noChangeAspect="1"/>
                    </pic:cNvPicPr>
                  </pic:nvPicPr>
                  <pic:blipFill rotWithShape="1">
                    <a:blip r:embed="rId101">
                      <a:extLst>
                        <a:ext uri="{28A0092B-C50C-407E-A947-70E740481C1C}">
                          <a14:useLocalDpi xmlns:a14="http://schemas.microsoft.com/office/drawing/2010/main" val="0"/>
                        </a:ext>
                      </a:extLst>
                    </a:blip>
                    <a:srcRect l="127" r="617" b="3952"/>
                    <a:stretch/>
                  </pic:blipFill>
                  <pic:spPr bwMode="auto">
                    <a:xfrm>
                      <a:off x="0" y="0"/>
                      <a:ext cx="1519624" cy="1223205"/>
                    </a:xfrm>
                    <a:prstGeom prst="rect">
                      <a:avLst/>
                    </a:prstGeom>
                    <a:noFill/>
                    <a:ln w="12700">
                      <a:noFill/>
                      <a:miter lim="800000"/>
                      <a:headEnd/>
                      <a:tailEnd/>
                    </a:ln>
                    <a:effectLst/>
                  </pic:spPr>
                </pic:pic>
              </a:graphicData>
            </a:graphic>
          </wp:inline>
        </w:drawing>
      </w:r>
      <w:r w:rsidRPr="005858CD">
        <w:rPr>
          <w:rFonts w:ascii="Cambria" w:eastAsia="MS Mincho" w:hAnsi="Cambria"/>
          <w:noProof/>
          <w:lang w:eastAsia="en-GB"/>
        </w:rPr>
        <w:drawing>
          <wp:inline distT="0" distB="0" distL="0" distR="0" wp14:anchorId="23316037" wp14:editId="3844DA26">
            <wp:extent cx="2210369" cy="122345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210369" cy="1223450"/>
                    </a:xfrm>
                    <a:prstGeom prst="rect">
                      <a:avLst/>
                    </a:prstGeom>
                    <a:noFill/>
                    <a:ln w="12700" cap="flat">
                      <a:noFill/>
                      <a:miter lim="800000"/>
                      <a:headEnd/>
                      <a:tailEnd/>
                    </a:ln>
                  </pic:spPr>
                </pic:pic>
              </a:graphicData>
            </a:graphic>
          </wp:inline>
        </w:drawing>
      </w:r>
    </w:p>
    <w:p w14:paraId="6580DCDF" w14:textId="77777777" w:rsidR="005858CD" w:rsidRPr="005858CD" w:rsidRDefault="005858CD">
      <w:pPr>
        <w:widowControl w:val="0"/>
        <w:pBdr>
          <w:bottom w:val="dotted" w:sz="12" w:space="5" w:color="auto"/>
        </w:pBdr>
        <w:suppressAutoHyphens/>
        <w:autoSpaceDE w:val="0"/>
        <w:autoSpaceDN w:val="0"/>
        <w:adjustRightInd w:val="0"/>
        <w:spacing w:after="140" w:line="209" w:lineRule="auto"/>
        <w:jc w:val="right"/>
        <w:textAlignment w:val="center"/>
        <w:rPr>
          <w:rFonts w:ascii="Trebuchet MS" w:eastAsia="Cambria" w:hAnsi="Trebuchet MS" w:cs="TrebuchetMS"/>
          <w:b/>
          <w:sz w:val="58"/>
          <w:szCs w:val="58"/>
        </w:rPr>
      </w:pPr>
    </w:p>
    <w:p w14:paraId="1BA63619" w14:textId="77777777" w:rsidR="005858CD" w:rsidRPr="005858CD" w:rsidRDefault="005858CD">
      <w:pPr>
        <w:widowControl w:val="0"/>
        <w:pBdr>
          <w:bottom w:val="dotted" w:sz="12" w:space="5" w:color="auto"/>
        </w:pBdr>
        <w:suppressAutoHyphens/>
        <w:autoSpaceDE w:val="0"/>
        <w:autoSpaceDN w:val="0"/>
        <w:adjustRightInd w:val="0"/>
        <w:spacing w:after="140" w:line="209" w:lineRule="auto"/>
        <w:textAlignment w:val="center"/>
        <w:rPr>
          <w:rFonts w:ascii="Trebuchet MS" w:eastAsia="Cambria" w:hAnsi="Trebuchet MS" w:cs="TrebuchetMS"/>
          <w:b/>
          <w:sz w:val="58"/>
          <w:szCs w:val="58"/>
        </w:rPr>
      </w:pPr>
      <w:r w:rsidRPr="005858CD">
        <w:rPr>
          <w:rFonts w:ascii="Trebuchet MS" w:eastAsia="Cambria" w:hAnsi="Trebuchet MS" w:cs="Arial"/>
          <w:b/>
          <w:color w:val="1A1A1A"/>
          <w:sz w:val="56"/>
          <w:szCs w:val="56"/>
        </w:rPr>
        <w:t xml:space="preserve">Women in supply chains: Unpaid Care Work </w:t>
      </w:r>
    </w:p>
    <w:p w14:paraId="527623D0" w14:textId="77777777" w:rsidR="005858CD" w:rsidRPr="005858CD" w:rsidRDefault="005858CD">
      <w:pPr>
        <w:rPr>
          <w:rFonts w:ascii="Calibri" w:eastAsia="MS Mincho" w:hAnsi="Calibri"/>
          <w:b/>
          <w:sz w:val="26"/>
          <w:szCs w:val="26"/>
        </w:rPr>
      </w:pPr>
      <w:r w:rsidRPr="005858CD">
        <w:rPr>
          <w:rFonts w:ascii="Calibri" w:eastAsia="MS Mincho" w:hAnsi="Calibri"/>
          <w:b/>
          <w:sz w:val="28"/>
          <w:szCs w:val="28"/>
        </w:rPr>
        <w:t>Summary of the Roundtable Discussion</w:t>
      </w:r>
      <w:r w:rsidRPr="005858CD">
        <w:rPr>
          <w:rFonts w:ascii="Calibri" w:eastAsia="MS Mincho" w:hAnsi="Calibri"/>
          <w:b/>
          <w:sz w:val="26"/>
          <w:szCs w:val="26"/>
        </w:rPr>
        <w:t>.</w:t>
      </w:r>
    </w:p>
    <w:p w14:paraId="1948CE63"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22</w:t>
      </w:r>
      <w:r w:rsidRPr="005858CD">
        <w:rPr>
          <w:rFonts w:ascii="Calibri" w:eastAsia="MS Mincho" w:hAnsi="Calibri"/>
          <w:b/>
          <w:sz w:val="26"/>
          <w:szCs w:val="26"/>
          <w:vertAlign w:val="superscript"/>
        </w:rPr>
        <w:t>nd</w:t>
      </w:r>
      <w:r w:rsidRPr="005858CD">
        <w:rPr>
          <w:rFonts w:ascii="Calibri" w:eastAsia="MS Mincho" w:hAnsi="Calibri"/>
          <w:b/>
          <w:sz w:val="26"/>
          <w:szCs w:val="26"/>
        </w:rPr>
        <w:t xml:space="preserve"> September 2015-12-13</w:t>
      </w:r>
    </w:p>
    <w:p w14:paraId="19226E0E" w14:textId="77777777" w:rsidR="005858CD" w:rsidRPr="005858CD" w:rsidRDefault="005858CD">
      <w:pPr>
        <w:rPr>
          <w:rFonts w:ascii="Calibri" w:eastAsia="MS Mincho" w:hAnsi="Calibri"/>
          <w:sz w:val="26"/>
          <w:szCs w:val="26"/>
        </w:rPr>
      </w:pPr>
    </w:p>
    <w:p w14:paraId="58E4CA81" w14:textId="77777777" w:rsidR="005858CD" w:rsidRPr="005858CD" w:rsidRDefault="005858CD">
      <w:pPr>
        <w:rPr>
          <w:rFonts w:ascii="Calibri" w:eastAsia="MS Mincho" w:hAnsi="Calibri"/>
          <w:b/>
          <w:sz w:val="26"/>
          <w:szCs w:val="26"/>
        </w:rPr>
      </w:pPr>
    </w:p>
    <w:p w14:paraId="5C399246"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Felicity Butler</w:t>
      </w:r>
    </w:p>
    <w:p w14:paraId="27AD7859"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PhD student &amp; Fair Trade practitioner</w:t>
      </w:r>
    </w:p>
    <w:p w14:paraId="44EEBDE8"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Royal Holloway, University of London.</w:t>
      </w:r>
    </w:p>
    <w:p w14:paraId="15F84360" w14:textId="77777777" w:rsidR="005858CD" w:rsidRPr="005858CD" w:rsidRDefault="0082537D">
      <w:pPr>
        <w:rPr>
          <w:rFonts w:ascii="Calibri" w:eastAsia="MS Mincho" w:hAnsi="Calibri"/>
          <w:sz w:val="26"/>
          <w:szCs w:val="26"/>
        </w:rPr>
      </w:pPr>
      <w:hyperlink r:id="rId103" w:history="1">
        <w:r w:rsidR="005858CD" w:rsidRPr="005858CD">
          <w:rPr>
            <w:rFonts w:ascii="Calibri" w:eastAsia="MS Mincho" w:hAnsi="Calibri"/>
            <w:color w:val="0000FF"/>
            <w:sz w:val="26"/>
            <w:szCs w:val="26"/>
            <w:u w:val="single"/>
          </w:rPr>
          <w:t>Felicity.Butler.2011@live.rhul.ac.uk</w:t>
        </w:r>
      </w:hyperlink>
    </w:p>
    <w:p w14:paraId="703D8866" w14:textId="77777777" w:rsidR="005858CD" w:rsidRPr="005858CD" w:rsidRDefault="0082537D">
      <w:pPr>
        <w:rPr>
          <w:rFonts w:ascii="Calibri" w:eastAsia="MS Mincho" w:hAnsi="Calibri"/>
          <w:sz w:val="26"/>
          <w:szCs w:val="26"/>
        </w:rPr>
      </w:pPr>
      <w:hyperlink r:id="rId104" w:history="1">
        <w:r w:rsidR="005858CD" w:rsidRPr="005858CD">
          <w:rPr>
            <w:rFonts w:ascii="Calibri" w:eastAsia="MS Mincho" w:hAnsi="Calibri"/>
            <w:color w:val="0000FF"/>
            <w:sz w:val="26"/>
            <w:szCs w:val="26"/>
            <w:u w:val="single"/>
          </w:rPr>
          <w:t>www.womenincommunitytrade.org</w:t>
        </w:r>
      </w:hyperlink>
    </w:p>
    <w:p w14:paraId="03A698AF"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twitter: @FelicityMButler</w:t>
      </w:r>
    </w:p>
    <w:p w14:paraId="293C2D25" w14:textId="77777777" w:rsidR="005858CD" w:rsidRPr="005858CD" w:rsidRDefault="005858CD">
      <w:pPr>
        <w:rPr>
          <w:rFonts w:ascii="Calibri" w:eastAsia="MS Mincho" w:hAnsi="Calibri"/>
          <w:sz w:val="26"/>
          <w:szCs w:val="26"/>
        </w:rPr>
      </w:pPr>
    </w:p>
    <w:p w14:paraId="049CA76E"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b/>
          <w:bCs/>
          <w:sz w:val="26"/>
          <w:szCs w:val="26"/>
        </w:rPr>
        <w:t>Christina Archer</w:t>
      </w:r>
    </w:p>
    <w:p w14:paraId="08CFE947"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Senior</w:t>
      </w:r>
      <w:r w:rsidRPr="005858CD">
        <w:rPr>
          <w:rFonts w:ascii="Calibri" w:eastAsia="MS Mincho" w:hAnsi="Calibri" w:cs="Calibri"/>
          <w:sz w:val="26"/>
          <w:szCs w:val="26"/>
        </w:rPr>
        <w:t xml:space="preserve"> </w:t>
      </w:r>
      <w:r w:rsidRPr="005858CD">
        <w:rPr>
          <w:rFonts w:ascii="Calibri" w:eastAsia="MS Mincho" w:hAnsi="Calibri" w:cs="Arial"/>
          <w:sz w:val="26"/>
          <w:szCs w:val="26"/>
        </w:rPr>
        <w:t>Manager</w:t>
      </w:r>
    </w:p>
    <w:p w14:paraId="2B34F2C1"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Sustainable Supply Chains: Ingredients</w:t>
      </w:r>
    </w:p>
    <w:p w14:paraId="2951A52A"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Latin America, Pacific, Southern Europe</w:t>
      </w:r>
    </w:p>
    <w:p w14:paraId="3C3A07F0"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Calibri"/>
          <w:sz w:val="26"/>
          <w:szCs w:val="26"/>
        </w:rPr>
        <w:t> </w:t>
      </w:r>
      <w:r w:rsidRPr="005858CD">
        <w:rPr>
          <w:rFonts w:ascii="Calibri" w:eastAsia="MS Mincho" w:hAnsi="Calibri" w:cs="Arial"/>
          <w:sz w:val="26"/>
          <w:szCs w:val="26"/>
        </w:rPr>
        <w:t>The Body Shop International</w:t>
      </w:r>
      <w:r w:rsidRPr="005858CD">
        <w:rPr>
          <w:rFonts w:ascii="Calibri" w:eastAsia="MS Mincho" w:hAnsi="Calibri" w:cs="Calibri"/>
          <w:sz w:val="26"/>
          <w:szCs w:val="26"/>
        </w:rPr>
        <w:t xml:space="preserve"> </w:t>
      </w:r>
      <w:r w:rsidRPr="005858CD">
        <w:rPr>
          <w:rFonts w:ascii="MS Mincho" w:eastAsia="MS Mincho" w:hAnsi="MS Mincho" w:cs="MS Mincho"/>
          <w:sz w:val="26"/>
          <w:szCs w:val="26"/>
        </w:rPr>
        <w:t> </w:t>
      </w:r>
      <w:r w:rsidRPr="005858CD">
        <w:rPr>
          <w:rFonts w:ascii="Calibri" w:eastAsia="MS Mincho" w:hAnsi="Calibri" w:cs="Arial"/>
          <w:sz w:val="26"/>
          <w:szCs w:val="26"/>
        </w:rPr>
        <w:t xml:space="preserve">Tel: </w:t>
      </w:r>
      <w:hyperlink r:id="rId105" w:history="1">
        <w:r w:rsidRPr="005858CD">
          <w:rPr>
            <w:rFonts w:ascii="Calibri" w:eastAsia="MS Mincho" w:hAnsi="Calibri" w:cs="Arial"/>
            <w:sz w:val="26"/>
            <w:szCs w:val="26"/>
            <w:u w:val="single" w:color="103CC0"/>
          </w:rPr>
          <w:t>+44 1903 846 478</w:t>
        </w:r>
      </w:hyperlink>
    </w:p>
    <w:p w14:paraId="194F4733" w14:textId="77777777" w:rsidR="005858CD" w:rsidRPr="005858CD" w:rsidRDefault="005858CD">
      <w:pPr>
        <w:rPr>
          <w:rFonts w:ascii="Calibri" w:eastAsia="MS Mincho" w:hAnsi="Calibri" w:cs="Arial"/>
          <w:sz w:val="26"/>
          <w:szCs w:val="26"/>
        </w:rPr>
      </w:pPr>
      <w:r w:rsidRPr="005858CD">
        <w:rPr>
          <w:rFonts w:ascii="Calibri" w:eastAsia="MS Mincho" w:hAnsi="Calibri" w:cs="Arial"/>
          <w:sz w:val="26"/>
          <w:szCs w:val="26"/>
        </w:rPr>
        <w:t>Internal: 7509</w:t>
      </w:r>
    </w:p>
    <w:p w14:paraId="116B2E2C" w14:textId="77777777" w:rsidR="005858CD" w:rsidRPr="005858CD" w:rsidRDefault="0082537D">
      <w:pPr>
        <w:rPr>
          <w:rFonts w:ascii="Calibri" w:eastAsia="MS Mincho" w:hAnsi="Calibri"/>
          <w:sz w:val="26"/>
          <w:szCs w:val="26"/>
        </w:rPr>
      </w:pPr>
      <w:hyperlink r:id="rId106" w:history="1">
        <w:r w:rsidR="005858CD" w:rsidRPr="005858CD">
          <w:rPr>
            <w:rFonts w:ascii="Calibri" w:eastAsia="MS Mincho" w:hAnsi="Calibri"/>
            <w:color w:val="0000FF"/>
            <w:sz w:val="26"/>
            <w:szCs w:val="26"/>
            <w:u w:val="single"/>
          </w:rPr>
          <w:t>Christina.Archer@thebodyshop.com</w:t>
        </w:r>
      </w:hyperlink>
    </w:p>
    <w:p w14:paraId="57D6FBC4"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Twitter: @TradeWithHeart</w:t>
      </w:r>
    </w:p>
    <w:p w14:paraId="6D85675E" w14:textId="77777777" w:rsidR="005858CD" w:rsidRPr="005858CD" w:rsidRDefault="005858CD">
      <w:pPr>
        <w:rPr>
          <w:rFonts w:ascii="Calibri" w:eastAsia="MS Mincho" w:hAnsi="Calibri"/>
          <w:sz w:val="26"/>
          <w:szCs w:val="26"/>
        </w:rPr>
      </w:pPr>
    </w:p>
    <w:p w14:paraId="31DB60D5"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Dorothea Kleine</w:t>
      </w:r>
    </w:p>
    <w:p w14:paraId="481EA392" w14:textId="77777777" w:rsidR="005858CD" w:rsidRPr="005858CD" w:rsidRDefault="005858CD">
      <w:pPr>
        <w:rPr>
          <w:rFonts w:ascii="Calibri" w:eastAsia="MS Mincho" w:hAnsi="Calibri" w:cs="Arial"/>
          <w:sz w:val="26"/>
          <w:szCs w:val="26"/>
        </w:rPr>
      </w:pPr>
      <w:r w:rsidRPr="005858CD">
        <w:rPr>
          <w:rFonts w:ascii="Calibri" w:eastAsia="MS Mincho" w:hAnsi="Calibri" w:cs="Arial"/>
          <w:sz w:val="26"/>
          <w:szCs w:val="26"/>
        </w:rPr>
        <w:t xml:space="preserve">Dr Dorothea Kleine </w:t>
      </w:r>
    </w:p>
    <w:p w14:paraId="5A75E9DC" w14:textId="77777777" w:rsidR="005858CD" w:rsidRPr="005858CD" w:rsidRDefault="005858CD">
      <w:pPr>
        <w:rPr>
          <w:rFonts w:ascii="Calibri" w:eastAsia="MS Mincho" w:hAnsi="Calibri"/>
          <w:b/>
          <w:sz w:val="26"/>
          <w:szCs w:val="26"/>
        </w:rPr>
      </w:pPr>
      <w:r w:rsidRPr="005858CD">
        <w:rPr>
          <w:rFonts w:ascii="Calibri" w:eastAsia="MS Mincho" w:hAnsi="Calibri" w:cs="Arial"/>
          <w:sz w:val="26"/>
          <w:szCs w:val="26"/>
        </w:rPr>
        <w:t>Reader in Human Geography and Director of the ICT4D Centre at RHUL (affiliated with the UNESCO Chair in ICT4D</w:t>
      </w:r>
      <w:r w:rsidRPr="005858CD">
        <w:rPr>
          <w:rFonts w:ascii="Calibri" w:eastAsia="MS Mincho" w:hAnsi="Calibri" w:cs="Arial"/>
          <w:color w:val="535353"/>
          <w:sz w:val="26"/>
          <w:szCs w:val="26"/>
        </w:rPr>
        <w:t xml:space="preserve">) – </w:t>
      </w:r>
      <w:hyperlink r:id="rId107" w:history="1">
        <w:r w:rsidRPr="005858CD">
          <w:rPr>
            <w:rFonts w:ascii="Calibri" w:eastAsia="MS Mincho" w:hAnsi="Calibri" w:cs="Arial"/>
            <w:color w:val="0000FF"/>
            <w:sz w:val="26"/>
            <w:szCs w:val="26"/>
          </w:rPr>
          <w:t>www.ict4dc.org</w:t>
        </w:r>
      </w:hyperlink>
    </w:p>
    <w:p w14:paraId="7899843F" w14:textId="77777777" w:rsidR="005858CD" w:rsidRPr="005858CD" w:rsidRDefault="0082537D">
      <w:pPr>
        <w:rPr>
          <w:rFonts w:ascii="Calibri" w:eastAsia="MS Mincho" w:hAnsi="Calibri" w:cs="Arial"/>
          <w:color w:val="434343"/>
          <w:sz w:val="26"/>
          <w:szCs w:val="26"/>
        </w:rPr>
      </w:pPr>
      <w:hyperlink r:id="rId108" w:history="1">
        <w:r w:rsidR="005858CD" w:rsidRPr="005858CD">
          <w:rPr>
            <w:rFonts w:ascii="Calibri" w:eastAsia="MS Mincho" w:hAnsi="Calibri" w:cs="Arial"/>
            <w:color w:val="0000FF"/>
            <w:sz w:val="26"/>
            <w:szCs w:val="26"/>
            <w:u w:val="single"/>
          </w:rPr>
          <w:t>Dorothea.Kleine@rhul.ac.uk</w:t>
        </w:r>
      </w:hyperlink>
    </w:p>
    <w:p w14:paraId="3473513C"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Twitter: @dorotheakleine</w:t>
      </w:r>
    </w:p>
    <w:p w14:paraId="47003773" w14:textId="77777777" w:rsidR="005858CD" w:rsidRPr="005858CD" w:rsidRDefault="005858CD">
      <w:pPr>
        <w:rPr>
          <w:rFonts w:ascii="Calibri" w:eastAsia="MS Mincho" w:hAnsi="Calibri"/>
          <w:b/>
          <w:sz w:val="26"/>
          <w:szCs w:val="26"/>
        </w:rPr>
      </w:pPr>
    </w:p>
    <w:p w14:paraId="6E5C09A5" w14:textId="77777777" w:rsidR="005858CD" w:rsidRPr="005858CD" w:rsidRDefault="005858CD">
      <w:pPr>
        <w:rPr>
          <w:rFonts w:ascii="Calibri" w:eastAsia="MS Mincho" w:hAnsi="Calibri"/>
          <w:b/>
          <w:sz w:val="26"/>
          <w:szCs w:val="26"/>
        </w:rPr>
      </w:pPr>
    </w:p>
    <w:p w14:paraId="5BEAFB19" w14:textId="77777777" w:rsidR="005858CD" w:rsidRPr="005858CD" w:rsidRDefault="005858CD">
      <w:pPr>
        <w:rPr>
          <w:rFonts w:ascii="Calibri" w:eastAsia="MS Mincho" w:hAnsi="Calibri"/>
          <w:b/>
          <w:sz w:val="26"/>
          <w:szCs w:val="26"/>
        </w:rPr>
      </w:pPr>
    </w:p>
    <w:p w14:paraId="60AFC72C" w14:textId="77777777" w:rsidR="005858CD" w:rsidRPr="005858CD" w:rsidRDefault="005858CD">
      <w:pPr>
        <w:rPr>
          <w:rFonts w:ascii="Calibri" w:eastAsia="MS Mincho" w:hAnsi="Calibri"/>
          <w:b/>
          <w:sz w:val="26"/>
          <w:szCs w:val="26"/>
        </w:rPr>
      </w:pPr>
    </w:p>
    <w:p w14:paraId="5278BBB3" w14:textId="77777777" w:rsidR="005858CD" w:rsidRPr="005858CD" w:rsidRDefault="005858CD">
      <w:pPr>
        <w:rPr>
          <w:rFonts w:ascii="Calibri" w:eastAsia="MS Mincho" w:hAnsi="Calibri"/>
          <w:b/>
          <w:sz w:val="26"/>
          <w:szCs w:val="26"/>
        </w:rPr>
      </w:pPr>
      <w:r w:rsidRPr="005858CD">
        <w:rPr>
          <w:rFonts w:ascii="Calibri" w:eastAsia="MS Mincho" w:hAnsi="Calibri"/>
          <w:b/>
          <w:sz w:val="26"/>
          <w:szCs w:val="26"/>
        </w:rPr>
        <w:t xml:space="preserve">CONTEXT </w:t>
      </w:r>
    </w:p>
    <w:p w14:paraId="7CC59E43"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 xml:space="preserve">A roundtable discussion at the Ethical Trading Initiative organized by The Body Shop in collaboration with Royal Holloway, University of London, took place on September 22, 2015. Ten organizations were invited to participate in a discussion on “Women in Supply Chains: Unpaid Care Work”. The objective of this was </w:t>
      </w:r>
      <w:r w:rsidRPr="005858CD">
        <w:rPr>
          <w:rFonts w:ascii="Calibri" w:eastAsia="MS Mincho" w:hAnsi="Calibri" w:cs="Calibri"/>
          <w:color w:val="1A1A1A"/>
          <w:sz w:val="26"/>
          <w:szCs w:val="26"/>
        </w:rPr>
        <w:t xml:space="preserve">to further our understanding of the role of women in supply chains and unpaid care work. Furthermore, </w:t>
      </w:r>
      <w:r w:rsidRPr="005858CD">
        <w:rPr>
          <w:rFonts w:ascii="Calibri" w:eastAsia="MS Mincho" w:hAnsi="Calibri"/>
          <w:sz w:val="26"/>
          <w:szCs w:val="26"/>
        </w:rPr>
        <w:t xml:space="preserve">the roundtable discussion was organized to gain additional perspectives and inputs </w:t>
      </w:r>
      <w:r w:rsidRPr="005858CD">
        <w:rPr>
          <w:rFonts w:ascii="Calibri" w:eastAsia="MS Mincho" w:hAnsi="Calibri" w:cs="Calibri"/>
          <w:color w:val="1A1A1A"/>
          <w:sz w:val="26"/>
          <w:szCs w:val="26"/>
        </w:rPr>
        <w:t>on what kind of outputs from Felicity Butler’s doctoral research on pricing women’s unpaid work in community trade would be useful for other business stakeholders.</w:t>
      </w:r>
    </w:p>
    <w:p w14:paraId="4455612F" w14:textId="77777777" w:rsidR="005858CD" w:rsidRPr="005858CD" w:rsidRDefault="005858CD">
      <w:pPr>
        <w:rPr>
          <w:rFonts w:ascii="Calibri" w:eastAsia="MS Mincho" w:hAnsi="Calibri" w:cs="Calibri"/>
          <w:b/>
          <w:color w:val="1A1A1A"/>
          <w:sz w:val="26"/>
          <w:szCs w:val="26"/>
        </w:rPr>
      </w:pPr>
    </w:p>
    <w:p w14:paraId="1A7E10D5" w14:textId="77777777" w:rsidR="005858CD" w:rsidRPr="005858CD" w:rsidRDefault="005858CD">
      <w:pPr>
        <w:rPr>
          <w:rFonts w:ascii="Calibri" w:eastAsia="MS Mincho" w:hAnsi="Calibri" w:cs="Calibri"/>
          <w:b/>
          <w:color w:val="1A1A1A"/>
          <w:sz w:val="26"/>
          <w:szCs w:val="26"/>
        </w:rPr>
      </w:pPr>
      <w:r w:rsidRPr="005858CD">
        <w:rPr>
          <w:rFonts w:ascii="Calibri" w:eastAsia="MS Mincho" w:hAnsi="Calibri" w:cs="Calibri"/>
          <w:b/>
          <w:color w:val="1A1A1A"/>
          <w:sz w:val="26"/>
          <w:szCs w:val="26"/>
        </w:rPr>
        <w:t xml:space="preserve">ATTENDEES  </w:t>
      </w:r>
    </w:p>
    <w:p w14:paraId="71587D2A"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Neal’s Yard cosmetics</w:t>
      </w:r>
    </w:p>
    <w:p w14:paraId="6AC6A087"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Institute of Development Studies, Sussex University</w:t>
      </w:r>
    </w:p>
    <w:p w14:paraId="61094703"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Innocent Drinks</w:t>
      </w:r>
    </w:p>
    <w:p w14:paraId="3BF6348D"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Oxfam</w:t>
      </w:r>
    </w:p>
    <w:p w14:paraId="6F4AE5BA"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Unilever</w:t>
      </w:r>
    </w:p>
    <w:p w14:paraId="275C0EFA"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Ethical Trading Initiative</w:t>
      </w:r>
    </w:p>
    <w:p w14:paraId="11B750C9"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Sab Miller</w:t>
      </w:r>
    </w:p>
    <w:p w14:paraId="40A2D8D4"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PWC</w:t>
      </w:r>
    </w:p>
    <w:p w14:paraId="4265247E"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The Body Shop</w:t>
      </w:r>
    </w:p>
    <w:p w14:paraId="3D35C9B2" w14:textId="77777777" w:rsidR="005858CD" w:rsidRPr="005858CD" w:rsidRDefault="005858CD">
      <w:pPr>
        <w:widowControl w:val="0"/>
        <w:autoSpaceDE w:val="0"/>
        <w:autoSpaceDN w:val="0"/>
        <w:adjustRightInd w:val="0"/>
        <w:rPr>
          <w:rFonts w:ascii="Calibri" w:eastAsia="MS Mincho" w:hAnsi="Calibri"/>
          <w:sz w:val="26"/>
          <w:szCs w:val="26"/>
        </w:rPr>
      </w:pPr>
      <w:r w:rsidRPr="005858CD">
        <w:rPr>
          <w:rFonts w:ascii="Calibri" w:eastAsia="MS Mincho" w:hAnsi="Calibri" w:cs="Arial"/>
          <w:sz w:val="26"/>
          <w:szCs w:val="26"/>
        </w:rPr>
        <w:t>Royal Holloway, University of London</w:t>
      </w:r>
    </w:p>
    <w:p w14:paraId="538775EC" w14:textId="77777777" w:rsidR="005858CD" w:rsidRPr="005858CD" w:rsidRDefault="005858CD">
      <w:pPr>
        <w:rPr>
          <w:rFonts w:ascii="Calibri" w:eastAsia="MS Mincho" w:hAnsi="Calibri" w:cs="Calibri"/>
          <w:color w:val="FF0000"/>
          <w:sz w:val="26"/>
          <w:szCs w:val="26"/>
        </w:rPr>
      </w:pPr>
      <w:r w:rsidRPr="005858CD">
        <w:rPr>
          <w:rFonts w:eastAsia="MS Mincho"/>
          <w:color w:val="3E003F"/>
          <w:sz w:val="26"/>
          <w:szCs w:val="26"/>
        </w:rPr>
        <w:t> </w:t>
      </w:r>
    </w:p>
    <w:p w14:paraId="0EC3CAC9" w14:textId="77777777" w:rsidR="005858CD" w:rsidRPr="005858CD" w:rsidRDefault="005858CD">
      <w:pPr>
        <w:rPr>
          <w:rFonts w:ascii="Calibri" w:eastAsia="MS Mincho" w:hAnsi="Calibri" w:cs="Calibri"/>
          <w:color w:val="FF0000"/>
          <w:sz w:val="26"/>
          <w:szCs w:val="26"/>
        </w:rPr>
      </w:pPr>
    </w:p>
    <w:p w14:paraId="084731A7" w14:textId="77777777" w:rsidR="005858CD" w:rsidRPr="005858CD" w:rsidRDefault="005858CD">
      <w:pPr>
        <w:rPr>
          <w:rFonts w:ascii="Calibri" w:eastAsia="MS Mincho" w:hAnsi="Calibri" w:cs="Calibri"/>
          <w:b/>
          <w:color w:val="1A1A1A"/>
          <w:sz w:val="26"/>
          <w:szCs w:val="26"/>
        </w:rPr>
      </w:pPr>
      <w:r w:rsidRPr="005858CD">
        <w:rPr>
          <w:rFonts w:ascii="Calibri" w:eastAsia="MS Mincho" w:hAnsi="Calibri" w:cs="Calibri"/>
          <w:b/>
          <w:color w:val="1A1A1A"/>
          <w:sz w:val="26"/>
          <w:szCs w:val="26"/>
        </w:rPr>
        <w:t>THE ISSUE</w:t>
      </w:r>
    </w:p>
    <w:p w14:paraId="2E4882B9" w14:textId="77777777" w:rsidR="005858CD" w:rsidRPr="005858CD" w:rsidRDefault="005858CD">
      <w:pPr>
        <w:rPr>
          <w:rFonts w:ascii="Calibri" w:eastAsia="MS Mincho" w:hAnsi="Calibri" w:cs="Calibri"/>
          <w:color w:val="1A1A1A"/>
          <w:sz w:val="26"/>
          <w:szCs w:val="26"/>
        </w:rPr>
      </w:pPr>
      <w:r w:rsidRPr="005858CD">
        <w:rPr>
          <w:rFonts w:ascii="Calibri" w:eastAsia="MS Mincho" w:hAnsi="Calibri" w:cs="Calibri"/>
          <w:color w:val="1A1A1A"/>
          <w:sz w:val="26"/>
          <w:szCs w:val="26"/>
        </w:rPr>
        <w:t>How to examine and identify the extent of women’s unpaid care work in Fair Trade supply chains and how to develop a methodology to enable its productive value to be factored into Fair Trade prices.</w:t>
      </w:r>
    </w:p>
    <w:p w14:paraId="2ECBCFBF" w14:textId="77777777" w:rsidR="005858CD" w:rsidRPr="005858CD" w:rsidRDefault="005858CD">
      <w:pPr>
        <w:rPr>
          <w:rFonts w:ascii="Calibri" w:eastAsia="MS Mincho" w:hAnsi="Calibri" w:cs="Calibri"/>
          <w:b/>
          <w:color w:val="1A1A1A"/>
          <w:sz w:val="26"/>
          <w:szCs w:val="26"/>
        </w:rPr>
      </w:pPr>
    </w:p>
    <w:p w14:paraId="5BED9260" w14:textId="77777777" w:rsidR="005858CD" w:rsidRPr="005858CD" w:rsidRDefault="005858CD">
      <w:pPr>
        <w:rPr>
          <w:rFonts w:ascii="Calibri" w:eastAsia="MS Mincho" w:hAnsi="Calibri" w:cs="Calibri"/>
          <w:b/>
          <w:color w:val="18376A"/>
          <w:sz w:val="26"/>
          <w:szCs w:val="26"/>
        </w:rPr>
      </w:pPr>
      <w:r w:rsidRPr="005858CD">
        <w:rPr>
          <w:rFonts w:ascii="Calibri" w:eastAsia="MS Mincho" w:hAnsi="Calibri" w:cs="Calibri"/>
          <w:b/>
          <w:sz w:val="26"/>
          <w:szCs w:val="26"/>
        </w:rPr>
        <w:t>INPUT FROM PARTICIPANTS ON KEY QUESTIONS</w:t>
      </w:r>
    </w:p>
    <w:p w14:paraId="44154B5C" w14:textId="77777777" w:rsidR="005858CD" w:rsidRPr="005858CD" w:rsidRDefault="005858CD">
      <w:pPr>
        <w:widowControl w:val="0"/>
        <w:autoSpaceDE w:val="0"/>
        <w:autoSpaceDN w:val="0"/>
        <w:adjustRightInd w:val="0"/>
        <w:rPr>
          <w:rFonts w:ascii="Calibri" w:eastAsia="MS Mincho" w:hAnsi="Calibri" w:cs="Calibri"/>
          <w:color w:val="1A1A1A"/>
          <w:sz w:val="26"/>
          <w:szCs w:val="26"/>
        </w:rPr>
      </w:pPr>
      <w:r w:rsidRPr="005858CD">
        <w:rPr>
          <w:rFonts w:ascii="Calibri" w:eastAsia="MS Mincho" w:hAnsi="Calibri" w:cs="Calibri"/>
          <w:color w:val="1A1A1A"/>
          <w:sz w:val="26"/>
          <w:szCs w:val="26"/>
        </w:rPr>
        <w:t xml:space="preserve">The roundtable focused on three key questions to guide the discussion. The questions and the main points raised by participants are described in the following: </w:t>
      </w:r>
    </w:p>
    <w:p w14:paraId="7FF8E421" w14:textId="77777777" w:rsidR="005858CD" w:rsidRPr="005858CD" w:rsidRDefault="005858CD">
      <w:pPr>
        <w:widowControl w:val="0"/>
        <w:autoSpaceDE w:val="0"/>
        <w:autoSpaceDN w:val="0"/>
        <w:adjustRightInd w:val="0"/>
        <w:rPr>
          <w:rFonts w:ascii="Calibri" w:eastAsia="MS Mincho" w:hAnsi="Calibri" w:cs="Calibri"/>
          <w:color w:val="1A1A1A"/>
          <w:sz w:val="26"/>
          <w:szCs w:val="26"/>
        </w:rPr>
      </w:pPr>
    </w:p>
    <w:p w14:paraId="0A54D2C8" w14:textId="77777777" w:rsidR="005858CD" w:rsidRPr="005858CD" w:rsidRDefault="005858CD" w:rsidP="00293176">
      <w:pPr>
        <w:widowControl w:val="0"/>
        <w:numPr>
          <w:ilvl w:val="0"/>
          <w:numId w:val="14"/>
        </w:numPr>
        <w:tabs>
          <w:tab w:val="left" w:pos="360"/>
          <w:tab w:val="left" w:pos="720"/>
        </w:tabs>
        <w:autoSpaceDE w:val="0"/>
        <w:autoSpaceDN w:val="0"/>
        <w:adjustRightInd w:val="0"/>
        <w:ind w:left="0"/>
        <w:contextualSpacing/>
        <w:rPr>
          <w:rFonts w:ascii="Calibri" w:eastAsia="MS Mincho" w:hAnsi="Calibri"/>
          <w:b/>
          <w:i/>
          <w:sz w:val="26"/>
          <w:szCs w:val="26"/>
        </w:rPr>
      </w:pPr>
      <w:r w:rsidRPr="005858CD">
        <w:rPr>
          <w:rFonts w:ascii="Calibri" w:eastAsia="MS Mincho" w:hAnsi="Calibri" w:cs="Calibri"/>
          <w:b/>
          <w:i/>
          <w:color w:val="1A1A1A"/>
          <w:sz w:val="26"/>
          <w:szCs w:val="26"/>
        </w:rPr>
        <w:t>What potential current/future trends on the issues of women in agricultural supply chains (and specifically looking at unpaid work) can serve as a lever to drive change in this area</w:t>
      </w:r>
      <w:r w:rsidRPr="005858CD">
        <w:rPr>
          <w:rFonts w:ascii="Calibri" w:eastAsia="MS Mincho" w:hAnsi="Calibri"/>
          <w:b/>
          <w:i/>
          <w:sz w:val="26"/>
          <w:szCs w:val="26"/>
        </w:rPr>
        <w:t>?</w:t>
      </w:r>
    </w:p>
    <w:p w14:paraId="732701D1" w14:textId="77777777" w:rsidR="005858CD" w:rsidRPr="005858CD" w:rsidRDefault="005858CD" w:rsidP="008C041F">
      <w:pPr>
        <w:widowControl w:val="0"/>
        <w:tabs>
          <w:tab w:val="left" w:pos="220"/>
          <w:tab w:val="left" w:pos="720"/>
        </w:tabs>
        <w:autoSpaceDE w:val="0"/>
        <w:autoSpaceDN w:val="0"/>
        <w:adjustRightInd w:val="0"/>
        <w:rPr>
          <w:rFonts w:ascii="Calibri" w:eastAsia="MS Mincho" w:hAnsi="Calibri"/>
          <w:sz w:val="26"/>
          <w:szCs w:val="26"/>
        </w:rPr>
      </w:pPr>
      <w:r w:rsidRPr="005858CD">
        <w:rPr>
          <w:rFonts w:ascii="Calibri" w:eastAsia="MS Mincho" w:hAnsi="Calibri"/>
          <w:sz w:val="26"/>
          <w:szCs w:val="26"/>
        </w:rPr>
        <w:t xml:space="preserve">The current and future trends mentioned by participants can be divided into </w:t>
      </w:r>
      <w:r w:rsidRPr="005858CD">
        <w:rPr>
          <w:rFonts w:ascii="Calibri" w:eastAsia="MS Mincho" w:hAnsi="Calibri"/>
          <w:sz w:val="26"/>
          <w:szCs w:val="26"/>
        </w:rPr>
        <w:lastRenderedPageBreak/>
        <w:t xml:space="preserve">several groups. First is the increasing focus on care work. On the whole, the degree of social co-responsibility towards care is low and thus care is mostly undertaken by families and through unpaid work. This can lead to a crisis of care. Broadly speaking, development models do not take care into account; however, new trends demonstrate an interest in investigating, quantifying, and designing methodologies to evaluate women’s unpaid care work. </w:t>
      </w:r>
    </w:p>
    <w:p w14:paraId="3A7DB3D9" w14:textId="77777777" w:rsidR="005858CD" w:rsidRPr="005858CD" w:rsidRDefault="005858CD" w:rsidP="008C041F">
      <w:pPr>
        <w:widowControl w:val="0"/>
        <w:tabs>
          <w:tab w:val="left" w:pos="220"/>
          <w:tab w:val="left" w:pos="720"/>
        </w:tabs>
        <w:autoSpaceDE w:val="0"/>
        <w:autoSpaceDN w:val="0"/>
        <w:adjustRightInd w:val="0"/>
        <w:rPr>
          <w:rFonts w:ascii="Calibri" w:eastAsia="MS Mincho" w:hAnsi="Calibri"/>
          <w:sz w:val="26"/>
          <w:szCs w:val="26"/>
        </w:rPr>
      </w:pPr>
      <w:r w:rsidRPr="005858CD">
        <w:rPr>
          <w:rFonts w:ascii="Calibri" w:eastAsia="MS Mincho" w:hAnsi="Calibri"/>
          <w:sz w:val="26"/>
          <w:szCs w:val="26"/>
        </w:rPr>
        <w:t>Another group of trends include those related to the changing business and economic context. With regard to business, there is a growing trend towards recognizing the importance of gender rights for corporate sustainability objectives. This is complemented – if not directly influenced – by the increasing expectations of consumers that the products they buy are produced ethically (workers’ rights protected) and are produced sustainably. Consumers are increasingly willing to pay more and buyers are willing to raise the bar (‘Fair Trade Plus’). Finally, the strengthening of developing economies was also noted as an important trend that could leverage change, as well as the increasing concern with security of supply and how to tackle this.</w:t>
      </w:r>
    </w:p>
    <w:p w14:paraId="03696EAB" w14:textId="77777777" w:rsidR="005858CD" w:rsidRPr="005858CD" w:rsidRDefault="005858CD" w:rsidP="008C041F">
      <w:pPr>
        <w:widowControl w:val="0"/>
        <w:tabs>
          <w:tab w:val="left" w:pos="220"/>
          <w:tab w:val="left" w:pos="720"/>
        </w:tabs>
        <w:autoSpaceDE w:val="0"/>
        <w:autoSpaceDN w:val="0"/>
        <w:adjustRightInd w:val="0"/>
        <w:rPr>
          <w:rFonts w:ascii="Calibri" w:eastAsia="MS Mincho" w:hAnsi="Calibri"/>
          <w:sz w:val="26"/>
          <w:szCs w:val="26"/>
        </w:rPr>
      </w:pPr>
      <w:r w:rsidRPr="005858CD">
        <w:rPr>
          <w:rFonts w:ascii="Calibri" w:eastAsia="MS Mincho" w:hAnsi="Calibri"/>
          <w:sz w:val="26"/>
          <w:szCs w:val="26"/>
        </w:rPr>
        <w:t>Third, trends focused on enhancing the focus on building partnerships and raising awareness were mentioned as important drivers of change. More specifically, it was contemplated whether increasing awareness of women’s contributions to crop/supply quality and productivity could also be extended to other unpaid work. Furthermore, it was also pointed out that raising public awareness hinges on creating a decent work agenda and cultivating more partnerships with other stakeholders (e.g., government and communities work together through recent initiatives such as HEforShe UN Women programme (</w:t>
      </w:r>
      <w:hyperlink r:id="rId109" w:history="1">
        <w:r w:rsidRPr="005858CD">
          <w:rPr>
            <w:rFonts w:ascii="Calibri" w:eastAsia="MS Mincho" w:hAnsi="Calibri"/>
            <w:color w:val="0000FF"/>
            <w:sz w:val="26"/>
            <w:szCs w:val="26"/>
            <w:u w:val="single"/>
          </w:rPr>
          <w:t>http://www.heforshe.org</w:t>
        </w:r>
      </w:hyperlink>
      <w:r w:rsidRPr="005858CD">
        <w:rPr>
          <w:rFonts w:ascii="Calibri" w:eastAsia="MS Mincho" w:hAnsi="Calibri"/>
          <w:sz w:val="26"/>
          <w:szCs w:val="26"/>
        </w:rPr>
        <w:t>).</w:t>
      </w:r>
    </w:p>
    <w:p w14:paraId="7EC739A2" w14:textId="77777777" w:rsidR="005858CD" w:rsidRPr="005858CD" w:rsidRDefault="005858CD" w:rsidP="008C041F">
      <w:pPr>
        <w:widowControl w:val="0"/>
        <w:tabs>
          <w:tab w:val="left" w:pos="360"/>
          <w:tab w:val="left" w:pos="720"/>
        </w:tabs>
        <w:autoSpaceDE w:val="0"/>
        <w:autoSpaceDN w:val="0"/>
        <w:adjustRightInd w:val="0"/>
        <w:spacing w:after="240"/>
        <w:rPr>
          <w:rFonts w:ascii="Calibri" w:eastAsia="MS Mincho" w:hAnsi="Calibri"/>
          <w:sz w:val="26"/>
          <w:szCs w:val="26"/>
        </w:rPr>
      </w:pPr>
      <w:r w:rsidRPr="005858CD">
        <w:rPr>
          <w:rFonts w:ascii="Calibri" w:eastAsia="MS Mincho" w:hAnsi="Calibri"/>
          <w:sz w:val="26"/>
          <w:szCs w:val="26"/>
        </w:rPr>
        <w:t>Finally, trends towards economically empowering women was also cited as a driver for change. The continued focus on women’s economic empowerment (i.e., jobs for women/investment in women’s employment) can lead to increased productivity and enhanced family welfare. This can further links to health/nutrition, as women who are able to strengthen their decision-making and voice can better care for their children. Thus, the investing in women can lead to more “resilient households” which is important in the context of climate change, food security, and potential crisis in care.</w:t>
      </w:r>
    </w:p>
    <w:p w14:paraId="3BFAFFCD" w14:textId="77777777" w:rsidR="005858CD" w:rsidRPr="005858CD" w:rsidRDefault="005858CD" w:rsidP="00293176">
      <w:pPr>
        <w:widowControl w:val="0"/>
        <w:numPr>
          <w:ilvl w:val="0"/>
          <w:numId w:val="14"/>
        </w:numPr>
        <w:tabs>
          <w:tab w:val="left" w:pos="360"/>
        </w:tabs>
        <w:autoSpaceDE w:val="0"/>
        <w:autoSpaceDN w:val="0"/>
        <w:adjustRightInd w:val="0"/>
        <w:ind w:left="0"/>
        <w:rPr>
          <w:rFonts w:ascii="Calibri" w:eastAsia="MS Mincho" w:hAnsi="Calibri" w:cs="Calibri"/>
          <w:b/>
          <w:i/>
          <w:color w:val="1A1A1A"/>
          <w:sz w:val="26"/>
          <w:szCs w:val="26"/>
        </w:rPr>
      </w:pPr>
      <w:r w:rsidRPr="005858CD">
        <w:rPr>
          <w:rFonts w:ascii="Calibri" w:eastAsia="MS Mincho" w:hAnsi="Calibri" w:cs="Calibri"/>
          <w:b/>
          <w:i/>
          <w:color w:val="1A1A1A"/>
          <w:sz w:val="26"/>
          <w:szCs w:val="26"/>
        </w:rPr>
        <w:t>What are the greatest barriers for unpaid work to be included in pricing models used by companies?</w:t>
      </w:r>
    </w:p>
    <w:p w14:paraId="2734305E" w14:textId="77777777" w:rsidR="005858CD" w:rsidRPr="005858CD" w:rsidRDefault="005858CD" w:rsidP="008C041F">
      <w:pPr>
        <w:widowControl w:val="0"/>
        <w:tabs>
          <w:tab w:val="left" w:pos="220"/>
          <w:tab w:val="left" w:pos="720"/>
        </w:tabs>
        <w:autoSpaceDE w:val="0"/>
        <w:autoSpaceDN w:val="0"/>
        <w:adjustRightInd w:val="0"/>
        <w:rPr>
          <w:rFonts w:ascii="Calibri" w:eastAsia="MS Mincho" w:hAnsi="Calibri" w:cs="Calibri"/>
          <w:color w:val="1A1A1A"/>
          <w:sz w:val="26"/>
          <w:szCs w:val="26"/>
        </w:rPr>
      </w:pPr>
      <w:r w:rsidRPr="005858CD">
        <w:rPr>
          <w:rFonts w:ascii="Calibri" w:eastAsia="MS Mincho" w:hAnsi="Calibri" w:cs="Calibri"/>
          <w:color w:val="1A1A1A"/>
          <w:sz w:val="26"/>
          <w:szCs w:val="26"/>
        </w:rPr>
        <w:t xml:space="preserve">Addressing this second question, companies identified a number of barriers that can be grouped into four categories, as discussed below: </w:t>
      </w:r>
    </w:p>
    <w:p w14:paraId="18305846" w14:textId="77777777" w:rsidR="005858CD" w:rsidRPr="005858CD" w:rsidRDefault="005858CD" w:rsidP="00293176">
      <w:pPr>
        <w:widowControl w:val="0"/>
        <w:numPr>
          <w:ilvl w:val="0"/>
          <w:numId w:val="17"/>
        </w:numPr>
        <w:tabs>
          <w:tab w:val="left" w:pos="360"/>
          <w:tab w:val="left" w:pos="450"/>
        </w:tabs>
        <w:autoSpaceDE w:val="0"/>
        <w:autoSpaceDN w:val="0"/>
        <w:adjustRightInd w:val="0"/>
        <w:ind w:left="0"/>
        <w:contextualSpacing/>
        <w:rPr>
          <w:rFonts w:ascii="Calibri" w:eastAsia="MS Mincho" w:hAnsi="Calibri" w:cs="Calibri"/>
          <w:color w:val="1A1A1A"/>
          <w:sz w:val="26"/>
          <w:szCs w:val="26"/>
        </w:rPr>
      </w:pPr>
      <w:r w:rsidRPr="005858CD">
        <w:rPr>
          <w:rFonts w:ascii="Calibri" w:eastAsia="MS Mincho" w:hAnsi="Calibri" w:cs="Calibri"/>
          <w:i/>
          <w:color w:val="1A1A1A"/>
          <w:sz w:val="26"/>
          <w:szCs w:val="26"/>
        </w:rPr>
        <w:t>Supply Chains</w:t>
      </w:r>
      <w:r w:rsidRPr="005858CD">
        <w:rPr>
          <w:rFonts w:ascii="Calibri" w:eastAsia="MS Mincho" w:hAnsi="Calibri" w:cs="Calibri"/>
          <w:color w:val="1A1A1A"/>
          <w:sz w:val="26"/>
          <w:szCs w:val="26"/>
        </w:rPr>
        <w:t xml:space="preserve">. Companies reported that indirect and complex sourcing models are barriers to factoring unpaid work into pricing models used by companies. Related to this obstacle is the current need to identify and understand the limits of company responsibilities. Another barrier concerns the difficulties associated with scaling up pricing models in different contexts and for different crops and roles in the supply chain. Finally, there is a need to further </w:t>
      </w:r>
      <w:r w:rsidRPr="005858CD">
        <w:rPr>
          <w:rFonts w:ascii="Calibri" w:eastAsia="MS Mincho" w:hAnsi="Calibri" w:cs="Calibri"/>
          <w:color w:val="1A1A1A"/>
          <w:sz w:val="26"/>
          <w:szCs w:val="26"/>
        </w:rPr>
        <w:lastRenderedPageBreak/>
        <w:t xml:space="preserve">clarify the context, and two questions were posed that could assist with this task: </w:t>
      </w:r>
    </w:p>
    <w:p w14:paraId="11B72BE8" w14:textId="77777777" w:rsidR="005858CD" w:rsidRPr="005858CD" w:rsidRDefault="005858CD" w:rsidP="00293176">
      <w:pPr>
        <w:widowControl w:val="0"/>
        <w:numPr>
          <w:ilvl w:val="0"/>
          <w:numId w:val="18"/>
        </w:numPr>
        <w:tabs>
          <w:tab w:val="left" w:pos="360"/>
          <w:tab w:val="left" w:pos="720"/>
        </w:tabs>
        <w:autoSpaceDE w:val="0"/>
        <w:autoSpaceDN w:val="0"/>
        <w:adjustRightInd w:val="0"/>
        <w:ind w:left="0"/>
        <w:contextualSpacing/>
        <w:rPr>
          <w:rFonts w:ascii="Calibri" w:eastAsia="MS Mincho" w:hAnsi="Calibri" w:cs="Calibri"/>
          <w:color w:val="1A1A1A"/>
          <w:sz w:val="26"/>
          <w:szCs w:val="26"/>
        </w:rPr>
      </w:pPr>
      <w:r w:rsidRPr="005858CD">
        <w:rPr>
          <w:rFonts w:ascii="Calibri" w:eastAsia="MS Mincho" w:hAnsi="Calibri"/>
          <w:sz w:val="26"/>
          <w:szCs w:val="26"/>
        </w:rPr>
        <w:t>How big a problem is this in all parts of the supply chain or is there a need to focus on particular geographies/industries/commodities first?</w:t>
      </w:r>
    </w:p>
    <w:p w14:paraId="3B1C18C8" w14:textId="77777777" w:rsidR="005858CD" w:rsidRPr="005858CD" w:rsidRDefault="005858CD" w:rsidP="00293176">
      <w:pPr>
        <w:widowControl w:val="0"/>
        <w:numPr>
          <w:ilvl w:val="0"/>
          <w:numId w:val="18"/>
        </w:numPr>
        <w:tabs>
          <w:tab w:val="left" w:pos="360"/>
          <w:tab w:val="left" w:pos="720"/>
        </w:tabs>
        <w:autoSpaceDE w:val="0"/>
        <w:autoSpaceDN w:val="0"/>
        <w:adjustRightInd w:val="0"/>
        <w:ind w:left="0"/>
        <w:rPr>
          <w:rFonts w:ascii="Calibri" w:eastAsia="MS Mincho" w:hAnsi="Calibri" w:cs="Calibri"/>
          <w:color w:val="1A1A1A"/>
          <w:sz w:val="26"/>
          <w:szCs w:val="26"/>
        </w:rPr>
      </w:pPr>
      <w:r w:rsidRPr="005858CD">
        <w:rPr>
          <w:rFonts w:ascii="Calibri" w:eastAsia="MS Mincho" w:hAnsi="Calibri"/>
          <w:sz w:val="26"/>
          <w:szCs w:val="26"/>
        </w:rPr>
        <w:t xml:space="preserve">Are different solutions more appropriate in different regions? </w:t>
      </w:r>
    </w:p>
    <w:p w14:paraId="3FEF7EA8" w14:textId="77777777" w:rsidR="005858CD" w:rsidRPr="005858CD" w:rsidRDefault="005858CD" w:rsidP="00293176">
      <w:pPr>
        <w:widowControl w:val="0"/>
        <w:numPr>
          <w:ilvl w:val="0"/>
          <w:numId w:val="17"/>
        </w:numPr>
        <w:tabs>
          <w:tab w:val="left" w:pos="360"/>
          <w:tab w:val="left" w:pos="450"/>
        </w:tabs>
        <w:autoSpaceDE w:val="0"/>
        <w:autoSpaceDN w:val="0"/>
        <w:adjustRightInd w:val="0"/>
        <w:ind w:left="0"/>
        <w:rPr>
          <w:rFonts w:ascii="Calibri" w:eastAsia="MS Mincho" w:hAnsi="Calibri" w:cs="Calibri"/>
          <w:b/>
          <w:i/>
          <w:color w:val="1A1A1A"/>
          <w:sz w:val="26"/>
          <w:szCs w:val="26"/>
        </w:rPr>
      </w:pPr>
      <w:r w:rsidRPr="005858CD">
        <w:rPr>
          <w:rFonts w:ascii="Calibri" w:eastAsia="MS Mincho" w:hAnsi="Calibri" w:cs="Calibri"/>
          <w:i/>
          <w:color w:val="1A1A1A"/>
          <w:sz w:val="26"/>
          <w:szCs w:val="26"/>
        </w:rPr>
        <w:t>Knowledge and Documentation Gaps</w:t>
      </w:r>
      <w:r w:rsidRPr="005858CD">
        <w:rPr>
          <w:rFonts w:ascii="Calibri" w:eastAsia="MS Mincho" w:hAnsi="Calibri" w:cs="Calibri"/>
          <w:color w:val="1A1A1A"/>
          <w:sz w:val="26"/>
          <w:szCs w:val="26"/>
        </w:rPr>
        <w:t xml:space="preserve">. One of the most important challenges here is a lack of gender-disaggregated data, which impedes businesses from making an effective case for factoring unpaid labour into pricing. Furthermore, </w:t>
      </w:r>
      <w:r w:rsidRPr="005858CD">
        <w:rPr>
          <w:rFonts w:ascii="Calibri" w:eastAsia="MS Mincho" w:hAnsi="Calibri"/>
          <w:sz w:val="26"/>
          <w:szCs w:val="26"/>
        </w:rPr>
        <w:t>time use data collection is timely and resource intensive and there are varying ways of collecting time use surveys with many pros and cons for each. Another challenge entails the lack of research and evidence on unintended negative outcomes and excessive unpaid work (economic and social). Finally, the links between business imperatives, such as security of supply and quality, must be documented.</w:t>
      </w:r>
    </w:p>
    <w:p w14:paraId="61DAD03E" w14:textId="77777777" w:rsidR="005858CD" w:rsidRPr="005858CD" w:rsidRDefault="005858CD" w:rsidP="00293176">
      <w:pPr>
        <w:widowControl w:val="0"/>
        <w:numPr>
          <w:ilvl w:val="0"/>
          <w:numId w:val="15"/>
        </w:numPr>
        <w:tabs>
          <w:tab w:val="left" w:pos="360"/>
        </w:tabs>
        <w:autoSpaceDE w:val="0"/>
        <w:autoSpaceDN w:val="0"/>
        <w:adjustRightInd w:val="0"/>
        <w:ind w:left="0"/>
        <w:rPr>
          <w:rFonts w:ascii="Calibri" w:eastAsia="MS Mincho" w:hAnsi="Calibri" w:cs="Calibri"/>
          <w:i/>
          <w:color w:val="1A1A1A"/>
          <w:sz w:val="26"/>
          <w:szCs w:val="26"/>
        </w:rPr>
      </w:pPr>
      <w:r w:rsidRPr="005858CD">
        <w:rPr>
          <w:rFonts w:ascii="Calibri" w:eastAsia="MS Mincho" w:hAnsi="Calibri"/>
          <w:i/>
          <w:sz w:val="26"/>
          <w:szCs w:val="26"/>
        </w:rPr>
        <w:t>Awareness of the Issue</w:t>
      </w:r>
      <w:r w:rsidRPr="005858CD">
        <w:rPr>
          <w:rFonts w:ascii="Calibri" w:eastAsia="MS Mincho" w:hAnsi="Calibri"/>
          <w:sz w:val="26"/>
          <w:szCs w:val="26"/>
        </w:rPr>
        <w:t xml:space="preserve">. There is a growing awareness that the reasons for recognising women’s unpaid care work need to be more publicized to engage the broader community. This includes discussing the informal rules or household dynamics required for achieving a sustainable value chain. </w:t>
      </w:r>
    </w:p>
    <w:p w14:paraId="2273B2DE" w14:textId="77777777" w:rsidR="005858CD" w:rsidRPr="005858CD" w:rsidRDefault="005858CD" w:rsidP="00293176">
      <w:pPr>
        <w:widowControl w:val="0"/>
        <w:numPr>
          <w:ilvl w:val="0"/>
          <w:numId w:val="15"/>
        </w:numPr>
        <w:tabs>
          <w:tab w:val="left" w:pos="360"/>
        </w:tabs>
        <w:autoSpaceDE w:val="0"/>
        <w:autoSpaceDN w:val="0"/>
        <w:adjustRightInd w:val="0"/>
        <w:spacing w:after="240"/>
        <w:ind w:left="0"/>
        <w:contextualSpacing/>
        <w:rPr>
          <w:rFonts w:ascii="Calibri" w:eastAsia="MS Mincho" w:hAnsi="Calibri" w:cs="Calibri"/>
          <w:color w:val="1A1A1A"/>
          <w:sz w:val="26"/>
          <w:szCs w:val="26"/>
        </w:rPr>
      </w:pPr>
      <w:r w:rsidRPr="005858CD">
        <w:rPr>
          <w:rFonts w:ascii="Calibri" w:eastAsia="MS Mincho" w:hAnsi="Calibri" w:cs="Calibri"/>
          <w:i/>
          <w:color w:val="1A1A1A"/>
          <w:sz w:val="26"/>
          <w:szCs w:val="26"/>
        </w:rPr>
        <w:t>Stakeholder Roles and Relations</w:t>
      </w:r>
      <w:r w:rsidRPr="005858CD">
        <w:rPr>
          <w:rFonts w:ascii="Calibri" w:eastAsia="MS Mincho" w:hAnsi="Calibri" w:cs="Calibri"/>
          <w:color w:val="1A1A1A"/>
          <w:sz w:val="26"/>
          <w:szCs w:val="26"/>
        </w:rPr>
        <w:t xml:space="preserve">. Generally speaking, there needs to be better coordination among and strengthened relationships between supply chain stakeholders (e.g., </w:t>
      </w:r>
      <w:r w:rsidRPr="005858CD">
        <w:rPr>
          <w:rFonts w:ascii="Calibri" w:eastAsia="MS Mincho" w:hAnsi="Calibri"/>
          <w:sz w:val="26"/>
          <w:szCs w:val="26"/>
        </w:rPr>
        <w:t>companies, coops, (local) government, unions, and women’s organizations)</w:t>
      </w:r>
      <w:r w:rsidRPr="005858CD">
        <w:rPr>
          <w:rFonts w:ascii="Calibri" w:eastAsia="MS Mincho" w:hAnsi="Calibri" w:cs="Calibri"/>
          <w:color w:val="1A1A1A"/>
          <w:sz w:val="26"/>
          <w:szCs w:val="26"/>
        </w:rPr>
        <w:t xml:space="preserve"> to support initiatives to include unpaid work in pricing models. Some specific actors mentioned in the discussion included the United Nations and their </w:t>
      </w:r>
      <w:r w:rsidRPr="005858CD">
        <w:rPr>
          <w:rFonts w:ascii="Calibri" w:eastAsia="MS Mincho" w:hAnsi="Calibri" w:cs="Arial"/>
          <w:sz w:val="26"/>
          <w:szCs w:val="26"/>
        </w:rPr>
        <w:t>Guiding Principles on Business and Human Rights (</w:t>
      </w:r>
      <w:r w:rsidRPr="005858CD">
        <w:rPr>
          <w:rFonts w:ascii="Calibri" w:eastAsia="MS Mincho" w:hAnsi="Calibri" w:cs="Arial"/>
          <w:bCs/>
          <w:sz w:val="26"/>
          <w:szCs w:val="26"/>
        </w:rPr>
        <w:t>UNGPs</w:t>
      </w:r>
      <w:r w:rsidRPr="005858CD">
        <w:rPr>
          <w:rFonts w:ascii="Calibri" w:eastAsia="MS Mincho" w:hAnsi="Calibri"/>
          <w:sz w:val="26"/>
          <w:szCs w:val="26"/>
        </w:rPr>
        <w:t>). Furthermore, different actors and buyers have a lots of power to influence at supply chain, industry, and government level. In particular, the role of the government in terms of protecting citizens’ rights and promoting cultural change is noteworthy.  Trade unions are generally absent from the discussion on unpaid care work and pricing models and their role is critical to moving barriers and progressing. Finally, auditing and verifying mostly relies on 3</w:t>
      </w:r>
      <w:r w:rsidRPr="005858CD">
        <w:rPr>
          <w:rFonts w:ascii="Calibri" w:eastAsia="MS Mincho" w:hAnsi="Calibri"/>
          <w:sz w:val="26"/>
          <w:szCs w:val="26"/>
          <w:vertAlign w:val="superscript"/>
        </w:rPr>
        <w:t>rd</w:t>
      </w:r>
      <w:r w:rsidRPr="005858CD">
        <w:rPr>
          <w:rFonts w:ascii="Calibri" w:eastAsia="MS Mincho" w:hAnsi="Calibri"/>
          <w:sz w:val="26"/>
          <w:szCs w:val="26"/>
        </w:rPr>
        <w:t xml:space="preserve"> party accreditations (e.g., IMO, FLO, ESR) when it is not possible for businesses to regularly make on-site visits to suppliers.  </w:t>
      </w:r>
    </w:p>
    <w:p w14:paraId="4BA1A80B" w14:textId="77777777" w:rsidR="005858CD" w:rsidRPr="005858CD" w:rsidRDefault="005858CD" w:rsidP="00293176">
      <w:pPr>
        <w:widowControl w:val="0"/>
        <w:numPr>
          <w:ilvl w:val="0"/>
          <w:numId w:val="14"/>
        </w:numPr>
        <w:tabs>
          <w:tab w:val="left" w:pos="360"/>
          <w:tab w:val="left" w:pos="720"/>
        </w:tabs>
        <w:autoSpaceDE w:val="0"/>
        <w:autoSpaceDN w:val="0"/>
        <w:adjustRightInd w:val="0"/>
        <w:ind w:left="0"/>
        <w:rPr>
          <w:rFonts w:ascii="Calibri" w:eastAsia="MS Mincho" w:hAnsi="Calibri" w:cs="Calibri"/>
          <w:b/>
          <w:i/>
          <w:color w:val="1A1A1A"/>
          <w:sz w:val="26"/>
          <w:szCs w:val="26"/>
        </w:rPr>
      </w:pPr>
      <w:r w:rsidRPr="005858CD">
        <w:rPr>
          <w:rFonts w:ascii="Calibri" w:eastAsia="MS Mincho" w:hAnsi="Calibri" w:cs="Calibri"/>
          <w:b/>
          <w:i/>
          <w:color w:val="1A1A1A"/>
          <w:sz w:val="26"/>
          <w:szCs w:val="26"/>
        </w:rPr>
        <w:t>What tools can help teams/businesses (sourcing, CSR, values) identify the role of women in their supply chain and what labour is done in the home?</w:t>
      </w:r>
    </w:p>
    <w:p w14:paraId="13B88D15" w14:textId="77777777" w:rsidR="005858CD" w:rsidRPr="005858CD" w:rsidRDefault="005858CD" w:rsidP="008C041F">
      <w:pPr>
        <w:widowControl w:val="0"/>
        <w:tabs>
          <w:tab w:val="left" w:pos="360"/>
          <w:tab w:val="left" w:pos="720"/>
        </w:tabs>
        <w:autoSpaceDE w:val="0"/>
        <w:autoSpaceDN w:val="0"/>
        <w:adjustRightInd w:val="0"/>
        <w:rPr>
          <w:rFonts w:ascii="Calibri" w:eastAsia="MS Mincho" w:hAnsi="Calibri" w:cs="Calibri"/>
          <w:i/>
          <w:color w:val="1A1A1A"/>
          <w:sz w:val="26"/>
          <w:szCs w:val="26"/>
        </w:rPr>
      </w:pPr>
      <w:r w:rsidRPr="005858CD">
        <w:rPr>
          <w:rFonts w:ascii="Calibri" w:eastAsia="MS Mincho" w:hAnsi="Calibri" w:cs="Calibri"/>
          <w:color w:val="1A1A1A"/>
          <w:sz w:val="26"/>
          <w:szCs w:val="26"/>
        </w:rPr>
        <w:t>Some helpful tools mentioned by participants include an a</w:t>
      </w:r>
      <w:r w:rsidRPr="005858CD">
        <w:rPr>
          <w:rFonts w:ascii="Calibri" w:eastAsia="MS Mincho" w:hAnsi="Calibri"/>
          <w:sz w:val="26"/>
          <w:szCs w:val="26"/>
        </w:rPr>
        <w:t>ssessment tool that could be easily inserted into a variety of agricultural models (e.g., it could be for the material processing of pressed oils/nut butter/essential oils) and also assist in gauging appropriate pricing models. One challenge here is how to verify large-scale plantation versus small-scale producer models. Several ideas included developing a tool that is relevant for both smallholder farmers and plantations or clearly stating when a developed tool is intended for small holder farmers as opposed to large-scale plantations and paid contracted labour.</w:t>
      </w:r>
    </w:p>
    <w:p w14:paraId="2A09255D" w14:textId="77777777" w:rsidR="005858CD" w:rsidRPr="005858CD" w:rsidRDefault="005858CD" w:rsidP="008C041F">
      <w:pPr>
        <w:rPr>
          <w:rFonts w:ascii="Calibri" w:eastAsia="MS Mincho" w:hAnsi="Calibri" w:cs="Calibri"/>
          <w:b/>
          <w:color w:val="1A1A1A"/>
          <w:sz w:val="26"/>
          <w:szCs w:val="26"/>
        </w:rPr>
      </w:pPr>
      <w:r w:rsidRPr="005858CD">
        <w:rPr>
          <w:rFonts w:ascii="Calibri" w:eastAsia="MS Mincho" w:hAnsi="Calibri" w:cs="Calibri"/>
          <w:b/>
          <w:color w:val="1A1A1A"/>
          <w:sz w:val="26"/>
          <w:szCs w:val="26"/>
        </w:rPr>
        <w:lastRenderedPageBreak/>
        <w:t>KEY POINTS FROM PRESENTATION AND DISCUSSION</w:t>
      </w:r>
    </w:p>
    <w:p w14:paraId="3BEB263F" w14:textId="77777777" w:rsidR="005858CD" w:rsidRPr="005858CD" w:rsidRDefault="005858CD" w:rsidP="008C041F">
      <w:pPr>
        <w:rPr>
          <w:rFonts w:ascii="Calibri" w:eastAsia="MS Mincho" w:hAnsi="Calibri" w:cs="Calibri"/>
          <w:color w:val="1A1A1A"/>
          <w:sz w:val="26"/>
          <w:szCs w:val="26"/>
        </w:rPr>
      </w:pPr>
      <w:r w:rsidRPr="005858CD">
        <w:rPr>
          <w:rFonts w:ascii="Calibri" w:eastAsia="MS Mincho" w:hAnsi="Calibri" w:cs="Calibri"/>
          <w:color w:val="1A1A1A"/>
          <w:sz w:val="26"/>
          <w:szCs w:val="26"/>
        </w:rPr>
        <w:t>Three key issues emerged from the presentations and discussion, which are discussed in more detail in the following:</w:t>
      </w:r>
    </w:p>
    <w:p w14:paraId="472700F9" w14:textId="77777777" w:rsidR="005858CD" w:rsidRPr="005858CD" w:rsidRDefault="005858CD" w:rsidP="008C041F">
      <w:pPr>
        <w:rPr>
          <w:rFonts w:ascii="Calibri" w:eastAsia="MS Mincho" w:hAnsi="Calibri" w:cs="Calibri"/>
          <w:color w:val="1A1A1A"/>
          <w:sz w:val="26"/>
          <w:szCs w:val="26"/>
        </w:rPr>
      </w:pPr>
    </w:p>
    <w:p w14:paraId="3E5D323D" w14:textId="77777777" w:rsidR="005858CD" w:rsidRPr="005858CD" w:rsidRDefault="005858CD" w:rsidP="00293176">
      <w:pPr>
        <w:numPr>
          <w:ilvl w:val="0"/>
          <w:numId w:val="16"/>
        </w:numPr>
        <w:ind w:left="0"/>
        <w:contextualSpacing/>
        <w:rPr>
          <w:rFonts w:ascii="Calibri" w:eastAsia="MS Mincho" w:hAnsi="Calibri" w:cs="Calibri"/>
          <w:b/>
          <w:i/>
          <w:color w:val="1A1A1A"/>
          <w:sz w:val="26"/>
          <w:szCs w:val="26"/>
        </w:rPr>
      </w:pPr>
      <w:r w:rsidRPr="005858CD">
        <w:rPr>
          <w:rFonts w:ascii="Calibri" w:eastAsia="MS Mincho" w:hAnsi="Calibri" w:cs="Calibri"/>
          <w:b/>
          <w:i/>
          <w:color w:val="1A1A1A"/>
          <w:sz w:val="26"/>
          <w:szCs w:val="26"/>
        </w:rPr>
        <w:t>Building consensus among stakeholders and encouraging a participatory approach</w:t>
      </w:r>
    </w:p>
    <w:p w14:paraId="185D2993" w14:textId="77777777" w:rsidR="005858CD" w:rsidRPr="005858CD" w:rsidRDefault="005858CD" w:rsidP="008C041F">
      <w:pPr>
        <w:rPr>
          <w:rFonts w:ascii="Calibri" w:eastAsia="MS Mincho" w:hAnsi="Calibri" w:cs="Calibri"/>
          <w:color w:val="1A1A1A"/>
          <w:sz w:val="26"/>
          <w:szCs w:val="26"/>
        </w:rPr>
      </w:pPr>
      <w:r w:rsidRPr="005858CD">
        <w:rPr>
          <w:rFonts w:ascii="Calibri" w:eastAsia="MS Mincho" w:hAnsi="Calibri" w:cs="Calibri"/>
          <w:color w:val="1A1A1A"/>
          <w:sz w:val="26"/>
          <w:szCs w:val="26"/>
        </w:rPr>
        <w:t xml:space="preserve">There were several key points that emerged in the discussion related to the need to foster a common vision of unpaid care work among stakeholders in Fair Trade supply chains. In particular, participants expressed the need for a common definition of unpaid care work between all actors in a particular supply chain and within specific programs. Furthermore, participants agreed that a collaborative approach to tackling the issue of unpaid care work is needed across all sectors in order to maximise impact of this current movement, as making a business case together and creating positive pressure could spur others to follow suit. With regard to encouraging participation, the involvement of men and other family members in discussions, training, and programmes to assure their buy-in and maximise the impact of any programme was noted as being vital. Including and working with leaders and key players from local organizations was also mentioned as a crucial factor because governance structures can be a barrier to change. One point that was raised here concerned the importance of asking what enabling factors are provided by the cooperative and/or external organization to promote women’s participation. </w:t>
      </w:r>
    </w:p>
    <w:p w14:paraId="4910B6F5" w14:textId="77777777" w:rsidR="005858CD" w:rsidRPr="005858CD" w:rsidRDefault="005858CD" w:rsidP="00293176">
      <w:pPr>
        <w:contextualSpacing/>
        <w:rPr>
          <w:rFonts w:ascii="Calibri" w:eastAsia="MS Mincho" w:hAnsi="Calibri" w:cs="Calibri"/>
          <w:color w:val="1A1A1A"/>
          <w:sz w:val="26"/>
          <w:szCs w:val="26"/>
        </w:rPr>
      </w:pPr>
    </w:p>
    <w:p w14:paraId="2147A494" w14:textId="77777777" w:rsidR="005858CD" w:rsidRPr="005858CD" w:rsidRDefault="005858CD" w:rsidP="00293176">
      <w:pPr>
        <w:numPr>
          <w:ilvl w:val="0"/>
          <w:numId w:val="16"/>
        </w:numPr>
        <w:ind w:left="0"/>
        <w:contextualSpacing/>
        <w:rPr>
          <w:rFonts w:ascii="Cambria" w:eastAsia="MS Mincho" w:hAnsi="Cambria"/>
        </w:rPr>
      </w:pPr>
      <w:r w:rsidRPr="005858CD">
        <w:rPr>
          <w:rFonts w:ascii="Cambria" w:eastAsia="MS Mincho" w:hAnsi="Cambria"/>
          <w:b/>
          <w:i/>
        </w:rPr>
        <w:t>Opportunities and challenges for recognizing women’s unpaid care work</w:t>
      </w:r>
    </w:p>
    <w:p w14:paraId="548197DB" w14:textId="77777777" w:rsidR="005858CD" w:rsidRPr="005858CD" w:rsidRDefault="005858CD" w:rsidP="008C041F">
      <w:pPr>
        <w:rPr>
          <w:rFonts w:ascii="Calibri" w:eastAsia="MS Mincho" w:hAnsi="Calibri"/>
          <w:sz w:val="26"/>
          <w:szCs w:val="26"/>
        </w:rPr>
      </w:pPr>
      <w:r w:rsidRPr="005858CD">
        <w:rPr>
          <w:rFonts w:ascii="Calibri" w:eastAsia="MS Mincho" w:hAnsi="Calibri" w:cs="Calibri"/>
          <w:color w:val="1A1A1A"/>
          <w:sz w:val="26"/>
          <w:szCs w:val="26"/>
        </w:rPr>
        <w:t xml:space="preserve">Participants observed several opportunities for factoring in women’s unpaid care work in Fair Trade supply chains. First, </w:t>
      </w:r>
      <w:r w:rsidRPr="005858CD">
        <w:rPr>
          <w:rFonts w:ascii="Calibri" w:eastAsia="MS Mincho" w:hAnsi="Calibri"/>
          <w:sz w:val="26"/>
          <w:szCs w:val="26"/>
        </w:rPr>
        <w:t xml:space="preserve">it is important to ask the right questions throughout the supply chain regarding women’s unpaid care work, especially about the distribution and recognition of this work, as well as attitudes and perceptions surrounding it and the context. Asking questions can also sometimes be a trigger for change. </w:t>
      </w:r>
      <w:r w:rsidRPr="005858CD">
        <w:rPr>
          <w:rFonts w:ascii="Calibri" w:eastAsia="MS Mincho" w:hAnsi="Calibri" w:cs="Calibri"/>
          <w:color w:val="1A1A1A"/>
          <w:sz w:val="26"/>
          <w:szCs w:val="26"/>
        </w:rPr>
        <w:t>Furthermore, current trends on the issues of women in agricultural supply chains (specifically looking at unpaid work), such as</w:t>
      </w:r>
      <w:r w:rsidRPr="005858CD">
        <w:rPr>
          <w:rFonts w:ascii="Calibri" w:eastAsia="MS Mincho" w:hAnsi="Calibri"/>
          <w:sz w:val="26"/>
          <w:szCs w:val="26"/>
        </w:rPr>
        <w:t xml:space="preserve"> adding premiums to products,</w:t>
      </w:r>
      <w:r w:rsidRPr="005858CD">
        <w:rPr>
          <w:rFonts w:ascii="Calibri" w:eastAsia="MS Mincho" w:hAnsi="Calibri" w:cs="Calibri"/>
          <w:color w:val="1A1A1A"/>
          <w:sz w:val="26"/>
          <w:szCs w:val="26"/>
        </w:rPr>
        <w:t xml:space="preserve"> can serve as a lever to drive change in this area</w:t>
      </w:r>
      <w:r w:rsidRPr="005858CD">
        <w:rPr>
          <w:rFonts w:ascii="Calibri" w:eastAsia="MS Mincho" w:hAnsi="Calibri"/>
          <w:sz w:val="26"/>
          <w:szCs w:val="26"/>
        </w:rPr>
        <w:t xml:space="preserve">. Furthermore, market material </w:t>
      </w:r>
      <w:r w:rsidRPr="005858CD">
        <w:rPr>
          <w:rFonts w:ascii="Calibri" w:eastAsia="MS Mincho" w:hAnsi="Calibri" w:cs="Calibri"/>
          <w:color w:val="1A1A1A"/>
          <w:sz w:val="26"/>
          <w:szCs w:val="26"/>
        </w:rPr>
        <w:t>(e.g., success stories, examples of good practice) can be an effective means of sharing the importance of recognizing women’s unpaid care work and making a business case. One participating company proposed a data base/one stop shop, which would include different time use survey methodologies, handbooks, articles, blogs, and informational graphics related to unpaid care work.</w:t>
      </w:r>
    </w:p>
    <w:p w14:paraId="0AABA173" w14:textId="77777777" w:rsidR="005858CD" w:rsidRPr="005858CD" w:rsidRDefault="005858CD" w:rsidP="008C041F">
      <w:pPr>
        <w:rPr>
          <w:rFonts w:ascii="Calibri" w:eastAsia="MS Mincho" w:hAnsi="Calibri" w:cs="Calibri"/>
          <w:color w:val="1A1A1A"/>
          <w:sz w:val="26"/>
          <w:szCs w:val="26"/>
        </w:rPr>
      </w:pPr>
      <w:r w:rsidRPr="005858CD">
        <w:rPr>
          <w:rFonts w:ascii="Calibri" w:eastAsia="MS Mincho" w:hAnsi="Calibri"/>
          <w:sz w:val="26"/>
          <w:szCs w:val="26"/>
        </w:rPr>
        <w:t xml:space="preserve">The participants also expounded upon some of the challenges raised in the above discussion of the guiding questions. The issue of care and care work was particularly highlighted, specifically concerning the implications of the </w:t>
      </w:r>
      <w:r w:rsidRPr="005858CD">
        <w:rPr>
          <w:rFonts w:ascii="Calibri" w:eastAsia="MS Mincho" w:hAnsi="Calibri" w:cs="Calibri"/>
          <w:color w:val="1A1A1A"/>
          <w:sz w:val="26"/>
          <w:szCs w:val="26"/>
        </w:rPr>
        <w:t xml:space="preserve">lack of co-responsibility for care within family and external organizations etc. The noted effect of this is the hindering of advances in gender equality and </w:t>
      </w:r>
      <w:r w:rsidRPr="005858CD">
        <w:rPr>
          <w:rFonts w:ascii="Calibri" w:eastAsia="MS Mincho" w:hAnsi="Calibri" w:cs="Calibri"/>
          <w:color w:val="1A1A1A"/>
          <w:sz w:val="26"/>
          <w:szCs w:val="26"/>
        </w:rPr>
        <w:lastRenderedPageBreak/>
        <w:t>the further entrenching of gender stereotypes. For example, attitudes such as ‘women don</w:t>
      </w:r>
      <w:r w:rsidRPr="005858CD">
        <w:rPr>
          <w:rFonts w:ascii="Calibri" w:eastAsia="MS Mincho" w:hAnsi="Calibri" w:cs="Calibri"/>
          <w:color w:val="1A1A1A"/>
          <w:sz w:val="26"/>
          <w:szCs w:val="26"/>
          <w:lang w:val="fr-FR"/>
        </w:rPr>
        <w:t>’</w:t>
      </w:r>
      <w:r w:rsidRPr="005858CD">
        <w:rPr>
          <w:rFonts w:ascii="Calibri" w:eastAsia="MS Mincho" w:hAnsi="Calibri" w:cs="Calibri"/>
          <w:color w:val="1A1A1A"/>
          <w:sz w:val="26"/>
          <w:szCs w:val="26"/>
        </w:rPr>
        <w:t>t participate because they don</w:t>
      </w:r>
      <w:r w:rsidRPr="005858CD">
        <w:rPr>
          <w:rFonts w:ascii="Calibri" w:eastAsia="MS Mincho" w:hAnsi="Calibri" w:cs="Calibri"/>
          <w:color w:val="1A1A1A"/>
          <w:sz w:val="26"/>
          <w:szCs w:val="26"/>
          <w:lang w:val="fr-FR"/>
        </w:rPr>
        <w:t>’</w:t>
      </w:r>
      <w:r w:rsidRPr="005858CD">
        <w:rPr>
          <w:rFonts w:ascii="Calibri" w:eastAsia="MS Mincho" w:hAnsi="Calibri" w:cs="Calibri"/>
          <w:color w:val="1A1A1A"/>
          <w:sz w:val="26"/>
          <w:szCs w:val="26"/>
        </w:rPr>
        <w:t>t have time and don’t want to be in leadership roles’ upholds the constructed understanding of care as being ‘woman specific’, and this must be examined in the context of the collective response to care. A related obstacle is the absence of tools that can help teams/businesses (sourcing, CSR, values) identify the role of women in supply chains. It was acknowledged that improved time use data is important but so are impact measurement methods, which must also be prioritised.</w:t>
      </w:r>
    </w:p>
    <w:p w14:paraId="755D7A09" w14:textId="77777777" w:rsidR="005858CD" w:rsidRPr="005858CD" w:rsidRDefault="005858CD" w:rsidP="00293176">
      <w:pPr>
        <w:numPr>
          <w:ilvl w:val="0"/>
          <w:numId w:val="16"/>
        </w:numPr>
        <w:ind w:left="0"/>
        <w:contextualSpacing/>
        <w:rPr>
          <w:rFonts w:ascii="Calibri" w:eastAsia="MS Mincho" w:hAnsi="Calibri" w:cs="Calibri"/>
          <w:b/>
          <w:color w:val="1A1A1A"/>
          <w:sz w:val="26"/>
          <w:szCs w:val="26"/>
        </w:rPr>
      </w:pPr>
      <w:r w:rsidRPr="005858CD">
        <w:rPr>
          <w:rFonts w:ascii="Calibri" w:eastAsia="MS Mincho" w:hAnsi="Calibri" w:cs="Calibri"/>
          <w:b/>
          <w:i/>
          <w:color w:val="1A1A1A"/>
          <w:sz w:val="26"/>
          <w:szCs w:val="26"/>
        </w:rPr>
        <w:t>Sustainability</w:t>
      </w:r>
    </w:p>
    <w:p w14:paraId="1E1FB37E" w14:textId="77777777" w:rsidR="005858CD" w:rsidRPr="005858CD" w:rsidRDefault="005858CD" w:rsidP="008C041F">
      <w:pPr>
        <w:rPr>
          <w:rFonts w:ascii="Calibri" w:eastAsia="MS Mincho" w:hAnsi="Calibri"/>
          <w:sz w:val="26"/>
          <w:szCs w:val="26"/>
        </w:rPr>
      </w:pPr>
      <w:r w:rsidRPr="005858CD">
        <w:rPr>
          <w:rFonts w:ascii="Calibri" w:eastAsia="MS Mincho" w:hAnsi="Calibri" w:cs="Calibri"/>
          <w:color w:val="1A1A1A"/>
          <w:sz w:val="26"/>
          <w:szCs w:val="26"/>
        </w:rPr>
        <w:t xml:space="preserve">Investing in women through recognizing and remunerating unpaid care is critical for achieving for longer-term sustainability objectives. Gender rights are critical for Corporate Social Responsibility. </w:t>
      </w:r>
      <w:r w:rsidRPr="005858CD">
        <w:rPr>
          <w:rFonts w:ascii="Calibri" w:eastAsia="MS Mincho" w:hAnsi="Calibri"/>
          <w:sz w:val="26"/>
          <w:szCs w:val="26"/>
        </w:rPr>
        <w:t>The importance of not maintaining the current situation/status quo or increase work for women as part of any program was stressed by all organizations. Participants shared stories where women’s work has increased as a result of women’s economic empowerment initiatives. It was suggested that a tool could be developed to measure and evaluate these risks.</w:t>
      </w:r>
    </w:p>
    <w:p w14:paraId="4135A4F1" w14:textId="77777777" w:rsidR="005858CD" w:rsidRPr="005858CD" w:rsidRDefault="005858CD" w:rsidP="008C041F">
      <w:pPr>
        <w:rPr>
          <w:rFonts w:ascii="Calibri" w:eastAsia="MS Mincho" w:hAnsi="Calibri" w:cs="Calibri"/>
          <w:color w:val="18376A"/>
          <w:sz w:val="30"/>
          <w:szCs w:val="30"/>
        </w:rPr>
      </w:pPr>
    </w:p>
    <w:p w14:paraId="420585EC" w14:textId="77777777" w:rsidR="005858CD" w:rsidRPr="005858CD" w:rsidRDefault="005858CD" w:rsidP="008C041F">
      <w:pPr>
        <w:rPr>
          <w:rFonts w:ascii="Calibri" w:eastAsia="MS Mincho" w:hAnsi="Calibri"/>
          <w:b/>
          <w:sz w:val="26"/>
          <w:szCs w:val="26"/>
        </w:rPr>
      </w:pPr>
      <w:r w:rsidRPr="005858CD">
        <w:rPr>
          <w:rFonts w:ascii="Calibri" w:eastAsia="MS Mincho" w:hAnsi="Calibri"/>
          <w:b/>
          <w:sz w:val="26"/>
          <w:szCs w:val="26"/>
        </w:rPr>
        <w:t>SUMMARY OF DISCUSSION &amp; CLOSING POINTS</w:t>
      </w:r>
    </w:p>
    <w:p w14:paraId="68EF7670" w14:textId="77777777" w:rsidR="005858CD" w:rsidRPr="005858CD" w:rsidRDefault="005858CD" w:rsidP="008C041F">
      <w:pPr>
        <w:rPr>
          <w:rFonts w:ascii="Calibri" w:eastAsia="MS Mincho" w:hAnsi="Calibri"/>
          <w:sz w:val="26"/>
          <w:szCs w:val="26"/>
        </w:rPr>
      </w:pPr>
      <w:r w:rsidRPr="005858CD">
        <w:rPr>
          <w:rFonts w:ascii="Calibri" w:eastAsia="MS Mincho" w:hAnsi="Calibri"/>
          <w:sz w:val="26"/>
          <w:szCs w:val="26"/>
        </w:rPr>
        <w:t xml:space="preserve">Key points expressed at the closing of the roundtable session underscored important elements of the discussion. Regarding the needs of businesses, companies agreed that a tool to quantify the risks to business if unpaid work disappeared (i.e., a way to show the impact of this unpaid work and what it means to businesses in reality) would be very useful. It was also agreed that a stronger body of evidence must be compiled to support the business case for recognising women’s unpaid work, as more information is needed. One company argued that If data collection is too resource intensive or hard to justify, it is important to ask the right questions when engaging with actors in the supply chain, especially cooperatives and farmers and their households, on the issue of women’s unpaid work. As mentioned above, sometimes just asking the questions can be an important catalyst for change. </w:t>
      </w:r>
    </w:p>
    <w:p w14:paraId="459FA05F" w14:textId="77777777" w:rsidR="005858CD" w:rsidRPr="005858CD" w:rsidRDefault="005858CD" w:rsidP="008C041F">
      <w:pPr>
        <w:rPr>
          <w:rFonts w:ascii="Calibri" w:eastAsia="MS Mincho" w:hAnsi="Calibri"/>
          <w:sz w:val="26"/>
          <w:szCs w:val="26"/>
        </w:rPr>
      </w:pPr>
      <w:r w:rsidRPr="005858CD">
        <w:rPr>
          <w:rFonts w:ascii="Calibri" w:eastAsia="MS Mincho" w:hAnsi="Calibri"/>
          <w:sz w:val="26"/>
          <w:szCs w:val="26"/>
        </w:rPr>
        <w:t xml:space="preserve">It was also agreed that it is important to develop a more holistic approach to gender, including sustainability, and to develop and foster long term relationships at all levels of the supply chain. Participants agreed that it is essential to include and engage with men, as well as other family members and leaders in the organizations, as it is vital that they become supporters. Without them, the programme will not work. A number of companies said that it would be important to develop a tool to ensure that any project undertaken to address unpaid care work does not maintain the same/current situation in terms of the reinforcement of gender inequality and roles, power, and intra-household dynamics. </w:t>
      </w:r>
    </w:p>
    <w:p w14:paraId="17D835C1" w14:textId="77777777" w:rsidR="005858CD" w:rsidRPr="005858CD" w:rsidRDefault="005858CD" w:rsidP="008C041F">
      <w:pPr>
        <w:rPr>
          <w:rFonts w:ascii="Calibri" w:eastAsia="MS Mincho" w:hAnsi="Calibri"/>
          <w:sz w:val="26"/>
          <w:szCs w:val="26"/>
        </w:rPr>
      </w:pPr>
      <w:r w:rsidRPr="005858CD">
        <w:rPr>
          <w:rFonts w:ascii="Calibri" w:eastAsia="MS Mincho" w:hAnsi="Calibri"/>
          <w:sz w:val="26"/>
          <w:szCs w:val="26"/>
        </w:rPr>
        <w:t xml:space="preserve">With regard to raising awareness, one participant mentioned the need to harmonise buying and ethical trading teams to influence ethical purchasing </w:t>
      </w:r>
      <w:r w:rsidRPr="005858CD">
        <w:rPr>
          <w:rFonts w:ascii="Calibri" w:eastAsia="MS Mincho" w:hAnsi="Calibri"/>
          <w:sz w:val="26"/>
          <w:szCs w:val="26"/>
        </w:rPr>
        <w:lastRenderedPageBreak/>
        <w:t xml:space="preserve">trading practices and to ensure that the cost of both paid and unpaid labour is integrated into prices. Another participant highlighted the importance of </w:t>
      </w:r>
      <w:r w:rsidRPr="005858CD">
        <w:rPr>
          <w:rFonts w:ascii="Calibri" w:eastAsia="MS Mincho" w:hAnsi="Calibri"/>
          <w:iCs/>
          <w:sz w:val="26"/>
          <w:szCs w:val="26"/>
        </w:rPr>
        <w:t>stories and testimonies to share with other businesses and consumers in order to raise awareness and consumer pressure. All companies agreed on the need for improved marketing tools such as info graphics and videos both for internal and external outreach work.</w:t>
      </w:r>
      <w:r w:rsidRPr="005858CD">
        <w:rPr>
          <w:rFonts w:ascii="Calibri" w:eastAsia="MS Mincho" w:hAnsi="Calibri"/>
          <w:sz w:val="26"/>
          <w:szCs w:val="26"/>
        </w:rPr>
        <w:t xml:space="preserve"> It was also agreed that any future work must include a collaborative approach across different sectors (e.g., food/beverage sector) to maximise the impact of individual initiatives. </w:t>
      </w:r>
    </w:p>
    <w:p w14:paraId="5C92ED66" w14:textId="77777777" w:rsidR="005858CD" w:rsidRPr="005858CD" w:rsidRDefault="005858CD" w:rsidP="008C041F">
      <w:pPr>
        <w:spacing w:after="240"/>
        <w:rPr>
          <w:rFonts w:ascii="Calibri" w:eastAsia="MS Mincho" w:hAnsi="Calibri"/>
          <w:sz w:val="26"/>
          <w:szCs w:val="26"/>
        </w:rPr>
      </w:pPr>
      <w:r w:rsidRPr="005858CD">
        <w:rPr>
          <w:rFonts w:ascii="Calibri" w:eastAsia="MS Mincho" w:hAnsi="Calibri"/>
          <w:sz w:val="26"/>
          <w:szCs w:val="26"/>
        </w:rPr>
        <w:t>The roundtable discussion concluded by participants agreeing it would be important to continue this conversation in the future and in particular to map different initiatives that are working in the same area and to further discuss where to collaborate, what would be of value, and where to locate any future alliances and work.</w:t>
      </w:r>
    </w:p>
    <w:p w14:paraId="0BAA5C6B" w14:textId="77777777" w:rsidR="005858CD" w:rsidRPr="00293176" w:rsidRDefault="005858CD" w:rsidP="00293176">
      <w:pPr>
        <w:rPr>
          <w:rFonts w:asciiTheme="minorHAnsi" w:eastAsia="Cambria" w:hAnsiTheme="minorHAnsi"/>
          <w:b/>
          <w:sz w:val="28"/>
        </w:rPr>
      </w:pPr>
      <w:r w:rsidRPr="00293176">
        <w:rPr>
          <w:rFonts w:asciiTheme="minorHAnsi" w:eastAsia="Cambria" w:hAnsiTheme="minorHAnsi"/>
          <w:b/>
          <w:sz w:val="28"/>
        </w:rPr>
        <w:t>Next steps</w:t>
      </w:r>
    </w:p>
    <w:p w14:paraId="21A819BD"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 xml:space="preserve">We gained great insights from our participants and hope participants also took away new learning from the discussions. All agreed that there are no easy solutions and acting alone is inefficient. Sharing best practices and learning from others is essential for progress. A suggestion for a virtual platform and/or further roundtable discussions will be reviewed. It was agreed that a follow up report from the discussion would be disseminated and once Felicity Butler’s PhD is completed, a final report and discussion paper for The Body Shop and practitioner communities with lessons learnt, including practical recommendations for policy and businesses, will be shared. A methodological toolkit document for The Body Shop (and potentially for the practitioner community) to guide the gender sensitive mapping of the impact of community trade is also planned. </w:t>
      </w:r>
    </w:p>
    <w:p w14:paraId="48F02939" w14:textId="77777777" w:rsidR="005858CD" w:rsidRPr="005858CD" w:rsidRDefault="005858CD">
      <w:pPr>
        <w:rPr>
          <w:rFonts w:ascii="Calibri" w:eastAsia="MS Mincho" w:hAnsi="Calibri"/>
          <w:sz w:val="26"/>
          <w:szCs w:val="26"/>
        </w:rPr>
      </w:pPr>
    </w:p>
    <w:p w14:paraId="406A4713" w14:textId="77777777" w:rsidR="005858CD" w:rsidRPr="005858CD" w:rsidRDefault="005858CD">
      <w:pPr>
        <w:rPr>
          <w:rFonts w:ascii="Calibri" w:eastAsia="MS Mincho" w:hAnsi="Calibri"/>
          <w:sz w:val="26"/>
          <w:szCs w:val="26"/>
        </w:rPr>
      </w:pPr>
      <w:r w:rsidRPr="005858CD">
        <w:rPr>
          <w:rFonts w:ascii="Calibri" w:eastAsia="MS Mincho" w:hAnsi="Calibri"/>
          <w:sz w:val="26"/>
          <w:szCs w:val="26"/>
        </w:rPr>
        <w:t>For updates on the project and more information see: www.womenincommunitytrade.org</w:t>
      </w:r>
    </w:p>
    <w:p w14:paraId="483575CC" w14:textId="77777777" w:rsidR="005858CD" w:rsidRPr="005858CD" w:rsidRDefault="005858CD">
      <w:pPr>
        <w:rPr>
          <w:rFonts w:ascii="Calibri" w:eastAsia="MS Mincho" w:hAnsi="Calibri"/>
          <w:noProof/>
          <w:sz w:val="26"/>
          <w:szCs w:val="26"/>
        </w:rPr>
      </w:pPr>
      <w:r w:rsidRPr="005858CD">
        <w:rPr>
          <w:rFonts w:ascii="Calibri" w:eastAsia="MS Mincho" w:hAnsi="Calibri"/>
          <w:noProof/>
          <w:sz w:val="26"/>
          <w:szCs w:val="26"/>
        </w:rPr>
        <w:t xml:space="preserve"> </w:t>
      </w:r>
    </w:p>
    <w:p w14:paraId="45F50167" w14:textId="77777777" w:rsidR="005858CD" w:rsidRPr="005858CD" w:rsidRDefault="005858CD">
      <w:pPr>
        <w:rPr>
          <w:rFonts w:eastAsiaTheme="minorHAnsi"/>
          <w:b/>
        </w:rPr>
      </w:pPr>
    </w:p>
    <w:p w14:paraId="6343B4A4" w14:textId="77777777" w:rsidR="005858CD" w:rsidRPr="005858CD" w:rsidRDefault="005858CD">
      <w:pPr>
        <w:rPr>
          <w:rFonts w:eastAsiaTheme="minorHAnsi"/>
        </w:rPr>
      </w:pPr>
    </w:p>
    <w:p w14:paraId="2EAAE68F" w14:textId="77777777" w:rsidR="008C041F" w:rsidRDefault="008C041F" w:rsidP="00FE246F">
      <w:pPr>
        <w:rPr>
          <w:rFonts w:eastAsiaTheme="minorHAnsi"/>
        </w:rPr>
        <w:sectPr w:rsidR="008C041F" w:rsidSect="00171CF0">
          <w:footnotePr>
            <w:numRestart w:val="eachSect"/>
          </w:footnotePr>
          <w:pgSz w:w="11907" w:h="16839" w:code="9"/>
          <w:pgMar w:top="1440" w:right="1440" w:bottom="1440" w:left="2160" w:header="706" w:footer="706" w:gutter="0"/>
          <w:cols w:space="708"/>
          <w:docGrid w:linePitch="360"/>
        </w:sectPr>
      </w:pPr>
    </w:p>
    <w:p w14:paraId="5BCF861C" w14:textId="6A86FB84" w:rsidR="005858CD" w:rsidRPr="005858CD" w:rsidRDefault="005858CD" w:rsidP="00293176">
      <w:pPr>
        <w:pStyle w:val="Heading1"/>
      </w:pPr>
      <w:bookmarkStart w:id="187" w:name="_Toc526819385"/>
      <w:r w:rsidRPr="005858CD">
        <w:lastRenderedPageBreak/>
        <w:t xml:space="preserve">APPENDIX </w:t>
      </w:r>
      <w:r w:rsidR="008C041F">
        <w:t>C</w:t>
      </w:r>
      <w:r w:rsidRPr="005858CD">
        <w:t>: A VISUALISATION OF DEPLETION</w:t>
      </w:r>
      <w:bookmarkEnd w:id="187"/>
    </w:p>
    <w:p w14:paraId="4358BB0F" w14:textId="77777777" w:rsidR="005858CD" w:rsidRPr="005858CD" w:rsidRDefault="005858CD">
      <w:pPr>
        <w:outlineLvl w:val="0"/>
        <w:rPr>
          <w:rFonts w:eastAsiaTheme="minorHAnsi"/>
          <w:b/>
        </w:rPr>
      </w:pPr>
    </w:p>
    <w:p w14:paraId="3E0D14F4" w14:textId="77777777" w:rsidR="005858CD" w:rsidRPr="005858CD" w:rsidRDefault="005858CD" w:rsidP="00293176">
      <w:pPr>
        <w:rPr>
          <w:rFonts w:eastAsia="MS Mincho"/>
        </w:rPr>
      </w:pPr>
      <w:r w:rsidRPr="005858CD">
        <w:rPr>
          <w:rFonts w:eastAsia="MS Mincho"/>
        </w:rPr>
        <w:t>This figure from Rai et al (2010) depicts depletion as leaving the system when they argue that it is in fact integral to sustaining the system (Rai et al, 2010, p.16)</w:t>
      </w:r>
    </w:p>
    <w:p w14:paraId="16E99AB4" w14:textId="77777777" w:rsidR="005858CD" w:rsidRPr="005858CD" w:rsidRDefault="005858CD">
      <w:pPr>
        <w:rPr>
          <w:rFonts w:eastAsiaTheme="minorHAnsi"/>
          <w:b/>
          <w:u w:val="single"/>
        </w:rPr>
      </w:pPr>
    </w:p>
    <w:p w14:paraId="1AE09880" w14:textId="77777777" w:rsidR="005858CD" w:rsidRPr="005858CD" w:rsidRDefault="005858CD">
      <w:pPr>
        <w:rPr>
          <w:rFonts w:eastAsiaTheme="minorHAnsi"/>
          <w:b/>
          <w:u w:val="single"/>
        </w:rPr>
      </w:pPr>
      <w:r w:rsidRPr="005858CD">
        <w:rPr>
          <w:rFonts w:asciiTheme="minorHAnsi" w:eastAsia="MS Mincho" w:hAnsiTheme="minorHAnsi" w:cstheme="minorBidi"/>
          <w:b/>
          <w:noProof/>
          <w:lang w:eastAsia="en-GB"/>
        </w:rPr>
        <w:drawing>
          <wp:inline distT="0" distB="0" distL="0" distR="0" wp14:anchorId="4471B82D" wp14:editId="59B35E0E">
            <wp:extent cx="4232275" cy="5853837"/>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08917" cy="5959844"/>
                    </a:xfrm>
                    <a:prstGeom prst="rect">
                      <a:avLst/>
                    </a:prstGeom>
                    <a:noFill/>
                    <a:ln>
                      <a:noFill/>
                    </a:ln>
                  </pic:spPr>
                </pic:pic>
              </a:graphicData>
            </a:graphic>
          </wp:inline>
        </w:drawing>
      </w:r>
    </w:p>
    <w:p w14:paraId="35472750" w14:textId="77777777" w:rsidR="005858CD" w:rsidRPr="005858CD" w:rsidRDefault="005858CD">
      <w:pPr>
        <w:rPr>
          <w:rFonts w:eastAsiaTheme="minorHAnsi"/>
          <w:b/>
          <w:u w:val="single"/>
        </w:rPr>
      </w:pPr>
    </w:p>
    <w:p w14:paraId="05BC067A" w14:textId="77777777" w:rsidR="005858CD" w:rsidRPr="005858CD" w:rsidRDefault="005858CD">
      <w:pPr>
        <w:rPr>
          <w:rFonts w:eastAsiaTheme="minorHAnsi"/>
          <w:b/>
          <w:u w:val="single"/>
        </w:rPr>
      </w:pPr>
    </w:p>
    <w:p w14:paraId="195124B4" w14:textId="77777777" w:rsidR="005858CD" w:rsidRPr="005858CD" w:rsidRDefault="005858CD">
      <w:pPr>
        <w:rPr>
          <w:rFonts w:eastAsiaTheme="minorHAnsi"/>
          <w:b/>
          <w:u w:val="single"/>
        </w:rPr>
      </w:pPr>
    </w:p>
    <w:p w14:paraId="58F9D193" w14:textId="77777777" w:rsidR="005858CD" w:rsidRPr="005858CD" w:rsidRDefault="005858CD">
      <w:pPr>
        <w:rPr>
          <w:rFonts w:eastAsiaTheme="minorHAnsi"/>
          <w:b/>
          <w:u w:val="single"/>
        </w:rPr>
      </w:pPr>
    </w:p>
    <w:p w14:paraId="02E9D97C" w14:textId="77777777" w:rsidR="005858CD" w:rsidRPr="005858CD" w:rsidRDefault="005858CD">
      <w:pPr>
        <w:rPr>
          <w:rFonts w:eastAsiaTheme="minorHAnsi"/>
        </w:rPr>
      </w:pPr>
    </w:p>
    <w:p w14:paraId="60491ECB" w14:textId="77777777" w:rsidR="005858CD" w:rsidRPr="005858CD" w:rsidRDefault="005858CD">
      <w:pPr>
        <w:rPr>
          <w:rFonts w:eastAsiaTheme="minorHAnsi"/>
        </w:rPr>
      </w:pPr>
    </w:p>
    <w:p w14:paraId="702F4D27" w14:textId="77777777" w:rsidR="005858CD" w:rsidRPr="005858CD" w:rsidRDefault="005858CD">
      <w:pPr>
        <w:rPr>
          <w:rFonts w:eastAsiaTheme="minorHAnsi"/>
        </w:rPr>
      </w:pPr>
    </w:p>
    <w:p w14:paraId="61AFC83A" w14:textId="77777777" w:rsidR="005858CD" w:rsidRPr="005858CD" w:rsidRDefault="005858CD">
      <w:pPr>
        <w:rPr>
          <w:rFonts w:eastAsiaTheme="minorHAnsi"/>
        </w:rPr>
      </w:pPr>
    </w:p>
    <w:p w14:paraId="2FA14B0A" w14:textId="77777777" w:rsidR="005858CD" w:rsidRPr="005858CD" w:rsidRDefault="005858CD">
      <w:pPr>
        <w:rPr>
          <w:rFonts w:eastAsiaTheme="minorHAnsi"/>
        </w:rPr>
      </w:pPr>
    </w:p>
    <w:p w14:paraId="72CFF579" w14:textId="77777777" w:rsidR="008C041F" w:rsidRDefault="008C041F" w:rsidP="00FE246F">
      <w:pPr>
        <w:rPr>
          <w:rFonts w:eastAsiaTheme="minorHAnsi"/>
        </w:rPr>
        <w:sectPr w:rsidR="008C041F" w:rsidSect="00171CF0">
          <w:footnotePr>
            <w:numRestart w:val="eachSect"/>
          </w:footnotePr>
          <w:pgSz w:w="11907" w:h="16839" w:code="9"/>
          <w:pgMar w:top="1440" w:right="1440" w:bottom="1440" w:left="2160" w:header="706" w:footer="706" w:gutter="0"/>
          <w:cols w:space="708"/>
          <w:docGrid w:linePitch="360"/>
        </w:sectPr>
      </w:pPr>
    </w:p>
    <w:p w14:paraId="11153F58" w14:textId="454913E6" w:rsidR="005858CD" w:rsidRPr="005858CD" w:rsidRDefault="005858CD" w:rsidP="00293176">
      <w:pPr>
        <w:pStyle w:val="Heading1"/>
      </w:pPr>
      <w:bookmarkStart w:id="188" w:name="_Toc526819386"/>
      <w:r w:rsidRPr="005858CD">
        <w:lastRenderedPageBreak/>
        <w:t xml:space="preserve">APPENDIX </w:t>
      </w:r>
      <w:r w:rsidR="008C041F">
        <w:t>D</w:t>
      </w:r>
      <w:r w:rsidRPr="005858CD">
        <w:t>: TUS 1</w:t>
      </w:r>
      <w:bookmarkEnd w:id="188"/>
    </w:p>
    <w:p w14:paraId="772BCBB0" w14:textId="77777777" w:rsidR="005858CD" w:rsidRPr="005858CD" w:rsidRDefault="005858CD">
      <w:pPr>
        <w:rPr>
          <w:rFonts w:eastAsiaTheme="minorHAnsi"/>
        </w:rPr>
      </w:pPr>
      <w:r w:rsidRPr="005858CD">
        <w:rPr>
          <w:rFonts w:eastAsiaTheme="minorHAnsi"/>
          <w:noProof/>
          <w:lang w:eastAsia="en-GB"/>
        </w:rPr>
        <w:drawing>
          <wp:inline distT="0" distB="0" distL="0" distR="0" wp14:anchorId="512C1268" wp14:editId="22CAF906">
            <wp:extent cx="5715000" cy="7404100"/>
            <wp:effectExtent l="0" t="0" r="0" b="0"/>
            <wp:docPr id="42" name="Picture 42" descr="../Encuesta%20Uso%20del%20Tiempo%20Version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uesta%20Uso%20del%20Tiempo%20VersionFINAL.pd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7404100"/>
                    </a:xfrm>
                    <a:prstGeom prst="rect">
                      <a:avLst/>
                    </a:prstGeom>
                    <a:noFill/>
                    <a:ln>
                      <a:noFill/>
                    </a:ln>
                  </pic:spPr>
                </pic:pic>
              </a:graphicData>
            </a:graphic>
          </wp:inline>
        </w:drawing>
      </w:r>
    </w:p>
    <w:p w14:paraId="66321788" w14:textId="77777777" w:rsidR="005858CD" w:rsidRPr="005858CD" w:rsidRDefault="005858CD">
      <w:pPr>
        <w:rPr>
          <w:rFonts w:eastAsiaTheme="minorHAnsi"/>
        </w:rPr>
      </w:pPr>
    </w:p>
    <w:p w14:paraId="2ABDB6EA" w14:textId="77777777" w:rsidR="005858CD" w:rsidRPr="005858CD" w:rsidRDefault="005858CD">
      <w:pPr>
        <w:rPr>
          <w:rFonts w:eastAsiaTheme="minorHAnsi"/>
        </w:rPr>
      </w:pPr>
    </w:p>
    <w:p w14:paraId="3CC8F22D" w14:textId="77777777" w:rsidR="008C041F" w:rsidRDefault="008C041F" w:rsidP="00FE246F">
      <w:pPr>
        <w:rPr>
          <w:rFonts w:eastAsiaTheme="minorHAnsi"/>
          <w:b/>
          <w:u w:val="single"/>
        </w:rPr>
        <w:sectPr w:rsidR="008C041F" w:rsidSect="00171CF0">
          <w:footnotePr>
            <w:numRestart w:val="eachSect"/>
          </w:footnotePr>
          <w:pgSz w:w="11907" w:h="16839" w:code="9"/>
          <w:pgMar w:top="1440" w:right="1440" w:bottom="1440" w:left="2160" w:header="706" w:footer="706" w:gutter="0"/>
          <w:cols w:space="708"/>
          <w:docGrid w:linePitch="360"/>
        </w:sectPr>
      </w:pPr>
    </w:p>
    <w:p w14:paraId="498BDC0A" w14:textId="05C802BE" w:rsidR="005858CD" w:rsidRPr="00293176" w:rsidRDefault="005858CD" w:rsidP="00293176">
      <w:pPr>
        <w:pStyle w:val="Heading1"/>
      </w:pPr>
      <w:bookmarkStart w:id="189" w:name="_Toc526819387"/>
      <w:r w:rsidRPr="00293176">
        <w:lastRenderedPageBreak/>
        <w:t xml:space="preserve">APPENDIX </w:t>
      </w:r>
      <w:r w:rsidR="008C041F" w:rsidRPr="00293176">
        <w:t>E</w:t>
      </w:r>
      <w:r w:rsidRPr="00293176">
        <w:t>:  HCS</w:t>
      </w:r>
      <w:bookmarkEnd w:id="189"/>
    </w:p>
    <w:p w14:paraId="1585597B" w14:textId="77777777" w:rsidR="005858CD" w:rsidRPr="005858CD" w:rsidRDefault="005858CD">
      <w:pPr>
        <w:rPr>
          <w:rFonts w:eastAsiaTheme="minorHAnsi"/>
        </w:rPr>
      </w:pPr>
    </w:p>
    <w:p w14:paraId="37C6821A" w14:textId="77777777" w:rsidR="005858CD" w:rsidRPr="005858CD" w:rsidRDefault="005858CD">
      <w:pPr>
        <w:ind w:right="-11"/>
        <w:jc w:val="center"/>
        <w:rPr>
          <w:rFonts w:ascii="Book Antiqua" w:hAnsi="Book Antiqua" w:cs="Arial"/>
          <w:color w:val="000000"/>
        </w:rPr>
      </w:pPr>
    </w:p>
    <w:p w14:paraId="5579DEAF" w14:textId="77777777" w:rsidR="005858CD" w:rsidRPr="005858CD" w:rsidRDefault="005858CD">
      <w:pPr>
        <w:ind w:right="-11"/>
        <w:jc w:val="center"/>
        <w:rPr>
          <w:rFonts w:ascii="Arial" w:hAnsi="Arial" w:cs="Arial"/>
          <w:color w:val="000000"/>
        </w:rPr>
      </w:pPr>
      <w:r w:rsidRPr="005858CD">
        <w:rPr>
          <w:rFonts w:ascii="Book Antiqua" w:hAnsi="Book Antiqua" w:cs="Arial"/>
          <w:b/>
          <w:color w:val="000000"/>
          <w:lang w:val="es-NI"/>
        </w:rPr>
        <w:t>ENCUESTA USO DEL TIEMPO. NICARAGUA 14/15</w:t>
      </w:r>
    </w:p>
    <w:p w14:paraId="3F60C51A" w14:textId="77777777" w:rsidR="005858CD" w:rsidRPr="005858CD" w:rsidRDefault="005858CD">
      <w:pPr>
        <w:jc w:val="center"/>
        <w:rPr>
          <w:rFonts w:ascii="Arial" w:hAnsi="Arial" w:cs="Arial"/>
          <w:b/>
          <w:bCs/>
          <w:color w:val="000000"/>
          <w:szCs w:val="20"/>
        </w:rPr>
      </w:pPr>
      <w:r w:rsidRPr="005858CD">
        <w:rPr>
          <w:rFonts w:ascii="Arial" w:eastAsia="Arial Unicode MS" w:hAnsi="Arial" w:cs="Arial"/>
          <w:b/>
          <w:bCs/>
          <w:noProof/>
          <w:sz w:val="28"/>
          <w:szCs w:val="20"/>
          <w:lang w:eastAsia="en-GB"/>
        </w:rPr>
        <mc:AlternateContent>
          <mc:Choice Requires="wps">
            <w:drawing>
              <wp:anchor distT="0" distB="0" distL="114300" distR="114300" simplePos="0" relativeHeight="251659264" behindDoc="0" locked="0" layoutInCell="1" allowOverlap="1" wp14:anchorId="5FC01B77" wp14:editId="67EA9E96">
                <wp:simplePos x="0" y="0"/>
                <wp:positionH relativeFrom="column">
                  <wp:posOffset>3843020</wp:posOffset>
                </wp:positionH>
                <wp:positionV relativeFrom="paragraph">
                  <wp:posOffset>106680</wp:posOffset>
                </wp:positionV>
                <wp:extent cx="3202305" cy="4610735"/>
                <wp:effectExtent l="13970" t="11430" r="12700" b="6985"/>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4610735"/>
                        </a:xfrm>
                        <a:prstGeom prst="rect">
                          <a:avLst/>
                        </a:prstGeom>
                        <a:solidFill>
                          <a:srgbClr val="FFFFFF"/>
                        </a:solidFill>
                        <a:ln w="9525">
                          <a:solidFill>
                            <a:srgbClr val="000000"/>
                          </a:solidFill>
                          <a:miter lim="800000"/>
                          <a:headEnd/>
                          <a:tailEnd/>
                        </a:ln>
                      </wps:spPr>
                      <wps:txbx>
                        <w:txbxContent>
                          <w:p w14:paraId="33A629C0"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Mi nombre es _________</w:t>
                            </w:r>
                            <w:r>
                              <w:rPr>
                                <w:rFonts w:ascii="Book Antiqua" w:hAnsi="Book Antiqua" w:cs="Arial"/>
                                <w:color w:val="212121"/>
                                <w:sz w:val="16"/>
                                <w:szCs w:val="16"/>
                                <w:lang w:val="es-ES"/>
                              </w:rPr>
                              <w:t>___</w:t>
                            </w:r>
                            <w:r w:rsidRPr="00D04275">
                              <w:rPr>
                                <w:rFonts w:ascii="Book Antiqua" w:hAnsi="Book Antiqua" w:cs="Arial"/>
                                <w:color w:val="212121"/>
                                <w:sz w:val="16"/>
                                <w:szCs w:val="16"/>
                                <w:lang w:val="es-ES"/>
                              </w:rPr>
                              <w:t>. Soy/ Estoy trabajando con Felicity Butler, estudiante doctoral de la Universidad de Royal Holloway en Londres. Estamos llevando a cabo una encuesta para ayuda</w:t>
                            </w:r>
                            <w:r>
                              <w:rPr>
                                <w:rFonts w:ascii="Book Antiqua" w:hAnsi="Book Antiqua" w:cs="Arial"/>
                                <w:color w:val="212121"/>
                                <w:sz w:val="16"/>
                                <w:szCs w:val="16"/>
                                <w:lang w:val="es-ES"/>
                              </w:rPr>
                              <w:t xml:space="preserve">rnos a entender </w:t>
                            </w:r>
                            <w:r w:rsidRPr="00D04275">
                              <w:rPr>
                                <w:rFonts w:ascii="Book Antiqua" w:hAnsi="Book Antiqua" w:cs="Arial"/>
                                <w:color w:val="212121"/>
                                <w:sz w:val="16"/>
                                <w:szCs w:val="16"/>
                                <w:lang w:val="es-ES"/>
                              </w:rPr>
                              <w:t xml:space="preserve">el trabajo </w:t>
                            </w:r>
                            <w:r w:rsidRPr="00D04275">
                              <w:rPr>
                                <w:rFonts w:ascii="Book Antiqua" w:hAnsi="Book Antiqua" w:cs="Arial"/>
                                <w:sz w:val="16"/>
                                <w:szCs w:val="16"/>
                                <w:lang w:val="es-ES"/>
                              </w:rPr>
                              <w:t>de</w:t>
                            </w:r>
                            <w:r w:rsidRPr="00D04275">
                              <w:rPr>
                                <w:rStyle w:val="apple-converted-space"/>
                                <w:rFonts w:ascii="Book Antiqua" w:hAnsi="Book Antiqua" w:cs="Arial"/>
                                <w:sz w:val="16"/>
                                <w:szCs w:val="16"/>
                                <w:lang w:val="es-ES"/>
                              </w:rPr>
                              <w:t> </w:t>
                            </w:r>
                            <w:r>
                              <w:rPr>
                                <w:rFonts w:ascii="Book Antiqua" w:hAnsi="Book Antiqua" w:cs="Arial"/>
                                <w:sz w:val="16"/>
                                <w:szCs w:val="16"/>
                                <w:lang w:val="es-ES"/>
                              </w:rPr>
                              <w:t>cuidado/no remun</w:t>
                            </w:r>
                            <w:r w:rsidRPr="00D04275">
                              <w:rPr>
                                <w:rFonts w:ascii="Book Antiqua" w:hAnsi="Book Antiqua" w:cs="Arial"/>
                                <w:sz w:val="16"/>
                                <w:szCs w:val="16"/>
                                <w:lang w:val="es-ES"/>
                              </w:rPr>
                              <w:t>erado</w:t>
                            </w:r>
                            <w:r w:rsidRPr="00D04275">
                              <w:rPr>
                                <w:rStyle w:val="apple-converted-space"/>
                                <w:rFonts w:ascii="Book Antiqua" w:hAnsi="Book Antiqua" w:cs="Arial"/>
                                <w:color w:val="212121"/>
                                <w:sz w:val="16"/>
                                <w:szCs w:val="16"/>
                                <w:lang w:val="es-ES"/>
                              </w:rPr>
                              <w:t> </w:t>
                            </w:r>
                            <w:r w:rsidRPr="00D04275">
                              <w:rPr>
                                <w:rFonts w:ascii="Book Antiqua" w:hAnsi="Book Antiqua" w:cs="Arial"/>
                                <w:color w:val="212121"/>
                                <w:sz w:val="16"/>
                                <w:szCs w:val="16"/>
                                <w:lang w:val="es-ES"/>
                              </w:rPr>
                              <w:t>en los hogares y la comunidad  y su relación al trabajo productivo en las cadenas de café y ajonjolí. Nuestro objetivo es hacer un seguimiento de estos cuestionarios para entrevistar a la gente de nuevo en unos 6 meses. Es de suma importancia para la investigación que levantamos información en la cosecha y post cosecha, por esta razón volveremos a sus casas en un futuro próximo, si están de acuerdo.</w:t>
                            </w:r>
                          </w:p>
                          <w:p w14:paraId="089C6772"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733938D5"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No hay compensación material por participar en la encuesta y no hay un apoyo especial que vendrá a su hogar como resultado de sus respuestas a las preguntas. Su participación es completamente voluntaria. Queremos asegurarles que está bien si usted decide no responder a una pregunta en particular o desea interrumpir el cuestionario por completo en cualquier momento.</w:t>
                            </w:r>
                          </w:p>
                          <w:p w14:paraId="75463AF6"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2250EBAD"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Los registros de esta investigación se mantendrán privadas. En cualquier publicación sobre la base de este cuestionario, no se incluirá ninguna información que permita identificar a los participantes.</w:t>
                            </w:r>
                          </w:p>
                          <w:p w14:paraId="156E0C84"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39E2CE10" w14:textId="77777777" w:rsidR="00A96CF7" w:rsidRPr="00D04275" w:rsidRDefault="00A96CF7" w:rsidP="005858CD">
                            <w:pPr>
                              <w:shd w:val="clear" w:color="auto" w:fill="FFFFFF"/>
                              <w:jc w:val="both"/>
                              <w:rPr>
                                <w:rFonts w:ascii="Arial" w:hAnsi="Arial" w:cs="Arial"/>
                                <w:color w:val="222222"/>
                                <w:sz w:val="19"/>
                                <w:szCs w:val="19"/>
                                <w:lang w:val="es-NI"/>
                              </w:rPr>
                            </w:pPr>
                            <w:r w:rsidRPr="00D04275">
                              <w:rPr>
                                <w:rFonts w:ascii="Book Antiqua" w:hAnsi="Book Antiqua" w:cs="Arial"/>
                                <w:color w:val="212121"/>
                                <w:sz w:val="16"/>
                                <w:szCs w:val="16"/>
                                <w:lang w:val="es-ES"/>
                              </w:rPr>
                              <w:t>Nos interesa lo que opina de las preguntas. Siéntase libre de hacer cualquier comentario; no hay res</w:t>
                            </w:r>
                            <w:r>
                              <w:rPr>
                                <w:rFonts w:ascii="Book Antiqua" w:hAnsi="Book Antiqua" w:cs="Arial"/>
                                <w:color w:val="212121"/>
                                <w:sz w:val="16"/>
                                <w:szCs w:val="16"/>
                                <w:lang w:val="es-ES"/>
                              </w:rPr>
                              <w:t>puestas correctas o incorrectas.</w:t>
                            </w:r>
                            <w:r>
                              <w:rPr>
                                <w:rFonts w:ascii="Arial" w:hAnsi="Arial" w:cs="Arial"/>
                                <w:color w:val="212121"/>
                                <w:sz w:val="20"/>
                                <w:szCs w:val="20"/>
                                <w:lang w:val="es-ES"/>
                              </w:rPr>
                              <w:t> </w:t>
                            </w:r>
                          </w:p>
                          <w:p w14:paraId="4D0818CC"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¿Tiene alguna pregunta sobre lo que he mencionado hasta ahora?</w:t>
                            </w:r>
                          </w:p>
                          <w:p w14:paraId="4AAC33E8"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r>
                              <w:rPr>
                                <w:rFonts w:ascii="Book Antiqua" w:hAnsi="Book Antiqua" w:cs="Arial"/>
                                <w:color w:val="212121"/>
                                <w:sz w:val="16"/>
                                <w:szCs w:val="16"/>
                                <w:lang w:val="es-ES"/>
                              </w:rPr>
                              <w:t>¿Está usted dispuesto/a</w:t>
                            </w:r>
                            <w:r w:rsidRPr="00D04275">
                              <w:rPr>
                                <w:rFonts w:ascii="Book Antiqua" w:hAnsi="Book Antiqua" w:cs="Arial"/>
                                <w:color w:val="212121"/>
                                <w:sz w:val="16"/>
                                <w:szCs w:val="16"/>
                                <w:lang w:val="es-ES"/>
                              </w:rPr>
                              <w:t xml:space="preserve"> a dar aproximadamente 1 hora de participar en esta encuesta?</w:t>
                            </w:r>
                          </w:p>
                          <w:p w14:paraId="4B503767" w14:textId="77777777" w:rsidR="00A96CF7" w:rsidRPr="00D04275" w:rsidRDefault="00A96CF7" w:rsidP="005858CD">
                            <w:pPr>
                              <w:shd w:val="clear" w:color="auto" w:fill="FFFFFF"/>
                              <w:rPr>
                                <w:rFonts w:ascii="Book Antiqua" w:hAnsi="Book Antiqua" w:cs="Arial"/>
                                <w:color w:val="222222"/>
                                <w:sz w:val="16"/>
                                <w:szCs w:val="16"/>
                                <w:lang w:val="es-NI"/>
                              </w:rPr>
                            </w:pPr>
                            <w:r>
                              <w:rPr>
                                <w:rFonts w:ascii="Arial" w:hAnsi="Arial" w:cs="Arial"/>
                                <w:color w:val="212121"/>
                                <w:sz w:val="20"/>
                                <w:szCs w:val="20"/>
                                <w:lang w:val="es-ES"/>
                              </w:rPr>
                              <w:t> </w:t>
                            </w:r>
                          </w:p>
                          <w:p w14:paraId="5F6A4860"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Si la</w:t>
                            </w:r>
                            <w:r>
                              <w:rPr>
                                <w:rFonts w:ascii="Book Antiqua" w:hAnsi="Book Antiqua" w:cs="Arial"/>
                                <w:color w:val="212121"/>
                                <w:sz w:val="16"/>
                                <w:szCs w:val="16"/>
                                <w:lang w:val="es-ES"/>
                              </w:rPr>
                              <w:t>/el</w:t>
                            </w:r>
                            <w:r w:rsidRPr="00D04275">
                              <w:rPr>
                                <w:rFonts w:ascii="Book Antiqua" w:hAnsi="Book Antiqua" w:cs="Arial"/>
                                <w:color w:val="212121"/>
                                <w:sz w:val="16"/>
                                <w:szCs w:val="16"/>
                                <w:lang w:val="es-ES"/>
                              </w:rPr>
                              <w:t xml:space="preserve"> participante está de acuerdo, marque esta casilla</w:t>
                            </w:r>
                          </w:p>
                          <w:p w14:paraId="0B67828A" w14:textId="77777777" w:rsidR="00A96CF7" w:rsidRPr="00D04275" w:rsidRDefault="00A96CF7" w:rsidP="005858CD">
                            <w:pPr>
                              <w:shd w:val="clear" w:color="auto" w:fill="FFFFFF"/>
                              <w:rPr>
                                <w:rFonts w:ascii="Book Antiqua" w:hAnsi="Book Antiqua" w:cs="Arial"/>
                                <w:sz w:val="16"/>
                                <w:szCs w:val="16"/>
                                <w:lang w:val="es-NI"/>
                              </w:rPr>
                            </w:pPr>
                            <w:r w:rsidRPr="00D04275">
                              <w:rPr>
                                <w:rFonts w:ascii="Arial" w:hAnsi="Arial" w:cs="Arial"/>
                                <w:color w:val="222222"/>
                                <w:sz w:val="19"/>
                                <w:szCs w:val="19"/>
                                <w:lang w:val="es-NI"/>
                              </w:rPr>
                              <w:t> </w:t>
                            </w:r>
                          </w:p>
                          <w:p w14:paraId="1D079EAF" w14:textId="77777777" w:rsidR="00A96CF7" w:rsidRPr="009421F9" w:rsidRDefault="00A96CF7" w:rsidP="005858CD">
                            <w:pPr>
                              <w:jc w:val="center"/>
                              <w:rPr>
                                <w:rFonts w:ascii="Book Antiqua" w:hAnsi="Book Antiqua" w:cs="Arial"/>
                                <w:sz w:val="16"/>
                                <w:szCs w:val="16"/>
                              </w:rPr>
                            </w:pPr>
                            <w:r>
                              <w:rPr>
                                <w:rFonts w:ascii="Book Antiqua" w:hAnsi="Book Antiqua" w:cs="Arial"/>
                                <w:noProof/>
                                <w:sz w:val="16"/>
                                <w:szCs w:val="16"/>
                                <w:lang w:eastAsia="en-GB"/>
                              </w:rPr>
                              <w:drawing>
                                <wp:inline distT="0" distB="0" distL="0" distR="0" wp14:anchorId="485F5C0B" wp14:editId="0D5ADBE1">
                                  <wp:extent cx="1600200" cy="4191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1600200" cy="419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C01B77" id="_x0000_t202" coordsize="21600,21600" o:spt="202" path="m,l,21600r21600,l21600,xe">
                <v:stroke joinstyle="miter"/>
                <v:path gradientshapeok="t" o:connecttype="rect"/>
              </v:shapetype>
              <v:shape id="Text Box 34" o:spid="_x0000_s1026" type="#_x0000_t202" style="position:absolute;left:0;text-align:left;margin-left:302.6pt;margin-top:8.4pt;width:252.15pt;height:36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">
                <v:textbox>
                  <w:txbxContent>
                    <w:p w14:paraId="33A629C0"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Mi nombre es _________</w:t>
                      </w:r>
                      <w:r>
                        <w:rPr>
                          <w:rFonts w:ascii="Book Antiqua" w:hAnsi="Book Antiqua" w:cs="Arial"/>
                          <w:color w:val="212121"/>
                          <w:sz w:val="16"/>
                          <w:szCs w:val="16"/>
                          <w:lang w:val="es-ES"/>
                        </w:rPr>
                        <w:t>___</w:t>
                      </w:r>
                      <w:r w:rsidRPr="00D04275">
                        <w:rPr>
                          <w:rFonts w:ascii="Book Antiqua" w:hAnsi="Book Antiqua" w:cs="Arial"/>
                          <w:color w:val="212121"/>
                          <w:sz w:val="16"/>
                          <w:szCs w:val="16"/>
                          <w:lang w:val="es-ES"/>
                        </w:rPr>
                        <w:t>. Soy/ Estoy trabajando con Felicity Butler, estudiante doctoral de la Universidad de Royal Holloway en Londres. Estamos llevando a cabo una encuesta para ayuda</w:t>
                      </w:r>
                      <w:r>
                        <w:rPr>
                          <w:rFonts w:ascii="Book Antiqua" w:hAnsi="Book Antiqua" w:cs="Arial"/>
                          <w:color w:val="212121"/>
                          <w:sz w:val="16"/>
                          <w:szCs w:val="16"/>
                          <w:lang w:val="es-ES"/>
                        </w:rPr>
                        <w:t xml:space="preserve">rnos a entender </w:t>
                      </w:r>
                      <w:r w:rsidRPr="00D04275">
                        <w:rPr>
                          <w:rFonts w:ascii="Book Antiqua" w:hAnsi="Book Antiqua" w:cs="Arial"/>
                          <w:color w:val="212121"/>
                          <w:sz w:val="16"/>
                          <w:szCs w:val="16"/>
                          <w:lang w:val="es-ES"/>
                        </w:rPr>
                        <w:t xml:space="preserve">el trabajo </w:t>
                      </w:r>
                      <w:r w:rsidRPr="00D04275">
                        <w:rPr>
                          <w:rFonts w:ascii="Book Antiqua" w:hAnsi="Book Antiqua" w:cs="Arial"/>
                          <w:sz w:val="16"/>
                          <w:szCs w:val="16"/>
                          <w:lang w:val="es-ES"/>
                        </w:rPr>
                        <w:t>de</w:t>
                      </w:r>
                      <w:r w:rsidRPr="00D04275">
                        <w:rPr>
                          <w:rStyle w:val="apple-converted-space"/>
                          <w:rFonts w:ascii="Book Antiqua" w:hAnsi="Book Antiqua" w:cs="Arial"/>
                          <w:sz w:val="16"/>
                          <w:szCs w:val="16"/>
                          <w:lang w:val="es-ES"/>
                        </w:rPr>
                        <w:t> </w:t>
                      </w:r>
                      <w:r>
                        <w:rPr>
                          <w:rFonts w:ascii="Book Antiqua" w:hAnsi="Book Antiqua" w:cs="Arial"/>
                          <w:sz w:val="16"/>
                          <w:szCs w:val="16"/>
                          <w:lang w:val="es-ES"/>
                        </w:rPr>
                        <w:t>cuidado/no remun</w:t>
                      </w:r>
                      <w:r w:rsidRPr="00D04275">
                        <w:rPr>
                          <w:rFonts w:ascii="Book Antiqua" w:hAnsi="Book Antiqua" w:cs="Arial"/>
                          <w:sz w:val="16"/>
                          <w:szCs w:val="16"/>
                          <w:lang w:val="es-ES"/>
                        </w:rPr>
                        <w:t>erado</w:t>
                      </w:r>
                      <w:r w:rsidRPr="00D04275">
                        <w:rPr>
                          <w:rStyle w:val="apple-converted-space"/>
                          <w:rFonts w:ascii="Book Antiqua" w:hAnsi="Book Antiqua" w:cs="Arial"/>
                          <w:color w:val="212121"/>
                          <w:sz w:val="16"/>
                          <w:szCs w:val="16"/>
                          <w:lang w:val="es-ES"/>
                        </w:rPr>
                        <w:t> </w:t>
                      </w:r>
                      <w:r w:rsidRPr="00D04275">
                        <w:rPr>
                          <w:rFonts w:ascii="Book Antiqua" w:hAnsi="Book Antiqua" w:cs="Arial"/>
                          <w:color w:val="212121"/>
                          <w:sz w:val="16"/>
                          <w:szCs w:val="16"/>
                          <w:lang w:val="es-ES"/>
                        </w:rPr>
                        <w:t>en los hogares y la comunidad  y su relación al trabajo productivo en las cadenas de café y ajonjolí. Nuestro objetivo es hacer un seguimiento de estos cuestionarios para entrevistar a la gente de nuevo en unos 6 meses. Es de suma importancia para la investigación que levantamos información en la cosecha y post cosecha, por esta razón volveremos a sus casas en un futuro próximo, si están de acuerdo.</w:t>
                      </w:r>
                    </w:p>
                    <w:p w14:paraId="089C6772"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733938D5"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No hay compensación material por participar en la encuesta y no hay un apoyo especial que vendrá a su hogar como resultado de sus respuestas a las preguntas. Su participación es completamente voluntaria. Queremos asegurarles que está bien si usted decide no responder a una pregunta en particular o desea interrumpir el cuestionario por completo en cualquier momento.</w:t>
                      </w:r>
                    </w:p>
                    <w:p w14:paraId="75463AF6"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2250EBAD"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Los registros de esta investigación se mantendrán privadas. En cualquier publicación sobre la base de este cuestionario, no se incluirá ninguna información que permita identificar a los participantes.</w:t>
                      </w:r>
                    </w:p>
                    <w:p w14:paraId="156E0C84" w14:textId="77777777" w:rsidR="00A96CF7" w:rsidRPr="00D04275" w:rsidRDefault="00A96CF7" w:rsidP="005858CD">
                      <w:pPr>
                        <w:shd w:val="clear" w:color="auto" w:fill="FFFFFF"/>
                        <w:jc w:val="both"/>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p>
                    <w:p w14:paraId="39E2CE10" w14:textId="77777777" w:rsidR="00A96CF7" w:rsidRPr="00D04275" w:rsidRDefault="00A96CF7" w:rsidP="005858CD">
                      <w:pPr>
                        <w:shd w:val="clear" w:color="auto" w:fill="FFFFFF"/>
                        <w:jc w:val="both"/>
                        <w:rPr>
                          <w:rFonts w:ascii="Arial" w:hAnsi="Arial" w:cs="Arial"/>
                          <w:color w:val="222222"/>
                          <w:sz w:val="19"/>
                          <w:szCs w:val="19"/>
                          <w:lang w:val="es-NI"/>
                        </w:rPr>
                      </w:pPr>
                      <w:r w:rsidRPr="00D04275">
                        <w:rPr>
                          <w:rFonts w:ascii="Book Antiqua" w:hAnsi="Book Antiqua" w:cs="Arial"/>
                          <w:color w:val="212121"/>
                          <w:sz w:val="16"/>
                          <w:szCs w:val="16"/>
                          <w:lang w:val="es-ES"/>
                        </w:rPr>
                        <w:t>Nos interesa lo que opina de las preguntas. Siéntase libre de hacer cualquier comentario; no hay res</w:t>
                      </w:r>
                      <w:r>
                        <w:rPr>
                          <w:rFonts w:ascii="Book Antiqua" w:hAnsi="Book Antiqua" w:cs="Arial"/>
                          <w:color w:val="212121"/>
                          <w:sz w:val="16"/>
                          <w:szCs w:val="16"/>
                          <w:lang w:val="es-ES"/>
                        </w:rPr>
                        <w:t>puestas correctas o incorrectas.</w:t>
                      </w:r>
                      <w:r>
                        <w:rPr>
                          <w:rFonts w:ascii="Arial" w:hAnsi="Arial" w:cs="Arial"/>
                          <w:color w:val="212121"/>
                          <w:sz w:val="20"/>
                          <w:szCs w:val="20"/>
                          <w:lang w:val="es-ES"/>
                        </w:rPr>
                        <w:t> </w:t>
                      </w:r>
                    </w:p>
                    <w:p w14:paraId="4D0818CC"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¿Tiene alguna pregunta sobre lo que he mencionado hasta ahora?</w:t>
                      </w:r>
                    </w:p>
                    <w:p w14:paraId="4AAC33E8"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 </w:t>
                      </w:r>
                      <w:r>
                        <w:rPr>
                          <w:rFonts w:ascii="Book Antiqua" w:hAnsi="Book Antiqua" w:cs="Arial"/>
                          <w:color w:val="212121"/>
                          <w:sz w:val="16"/>
                          <w:szCs w:val="16"/>
                          <w:lang w:val="es-ES"/>
                        </w:rPr>
                        <w:t>¿Está usted dispuesto/a</w:t>
                      </w:r>
                      <w:r w:rsidRPr="00D04275">
                        <w:rPr>
                          <w:rFonts w:ascii="Book Antiqua" w:hAnsi="Book Antiqua" w:cs="Arial"/>
                          <w:color w:val="212121"/>
                          <w:sz w:val="16"/>
                          <w:szCs w:val="16"/>
                          <w:lang w:val="es-ES"/>
                        </w:rPr>
                        <w:t xml:space="preserve"> a dar aproximadamente 1 hora de participar en esta encuesta?</w:t>
                      </w:r>
                    </w:p>
                    <w:p w14:paraId="4B503767" w14:textId="77777777" w:rsidR="00A96CF7" w:rsidRPr="00D04275" w:rsidRDefault="00A96CF7" w:rsidP="005858CD">
                      <w:pPr>
                        <w:shd w:val="clear" w:color="auto" w:fill="FFFFFF"/>
                        <w:rPr>
                          <w:rFonts w:ascii="Book Antiqua" w:hAnsi="Book Antiqua" w:cs="Arial"/>
                          <w:color w:val="222222"/>
                          <w:sz w:val="16"/>
                          <w:szCs w:val="16"/>
                          <w:lang w:val="es-NI"/>
                        </w:rPr>
                      </w:pPr>
                      <w:r>
                        <w:rPr>
                          <w:rFonts w:ascii="Arial" w:hAnsi="Arial" w:cs="Arial"/>
                          <w:color w:val="212121"/>
                          <w:sz w:val="20"/>
                          <w:szCs w:val="20"/>
                          <w:lang w:val="es-ES"/>
                        </w:rPr>
                        <w:t> </w:t>
                      </w:r>
                    </w:p>
                    <w:p w14:paraId="5F6A4860" w14:textId="77777777" w:rsidR="00A96CF7" w:rsidRPr="00D04275" w:rsidRDefault="00A96CF7" w:rsidP="005858CD">
                      <w:pPr>
                        <w:shd w:val="clear" w:color="auto" w:fill="FFFFFF"/>
                        <w:rPr>
                          <w:rFonts w:ascii="Book Antiqua" w:hAnsi="Book Antiqua" w:cs="Arial"/>
                          <w:color w:val="222222"/>
                          <w:sz w:val="16"/>
                          <w:szCs w:val="16"/>
                          <w:lang w:val="es-NI"/>
                        </w:rPr>
                      </w:pPr>
                      <w:r w:rsidRPr="00D04275">
                        <w:rPr>
                          <w:rFonts w:ascii="Book Antiqua" w:hAnsi="Book Antiqua" w:cs="Arial"/>
                          <w:color w:val="212121"/>
                          <w:sz w:val="16"/>
                          <w:szCs w:val="16"/>
                          <w:lang w:val="es-ES"/>
                        </w:rPr>
                        <w:t>Si la</w:t>
                      </w:r>
                      <w:r>
                        <w:rPr>
                          <w:rFonts w:ascii="Book Antiqua" w:hAnsi="Book Antiqua" w:cs="Arial"/>
                          <w:color w:val="212121"/>
                          <w:sz w:val="16"/>
                          <w:szCs w:val="16"/>
                          <w:lang w:val="es-ES"/>
                        </w:rPr>
                        <w:t>/el</w:t>
                      </w:r>
                      <w:r w:rsidRPr="00D04275">
                        <w:rPr>
                          <w:rFonts w:ascii="Book Antiqua" w:hAnsi="Book Antiqua" w:cs="Arial"/>
                          <w:color w:val="212121"/>
                          <w:sz w:val="16"/>
                          <w:szCs w:val="16"/>
                          <w:lang w:val="es-ES"/>
                        </w:rPr>
                        <w:t xml:space="preserve"> participante está de acuerdo, marque esta casilla</w:t>
                      </w:r>
                    </w:p>
                    <w:p w14:paraId="0B67828A" w14:textId="77777777" w:rsidR="00A96CF7" w:rsidRPr="00D04275" w:rsidRDefault="00A96CF7" w:rsidP="005858CD">
                      <w:pPr>
                        <w:shd w:val="clear" w:color="auto" w:fill="FFFFFF"/>
                        <w:rPr>
                          <w:rFonts w:ascii="Book Antiqua" w:hAnsi="Book Antiqua" w:cs="Arial"/>
                          <w:sz w:val="16"/>
                          <w:szCs w:val="16"/>
                          <w:lang w:val="es-NI"/>
                        </w:rPr>
                      </w:pPr>
                      <w:r w:rsidRPr="00D04275">
                        <w:rPr>
                          <w:rFonts w:ascii="Arial" w:hAnsi="Arial" w:cs="Arial"/>
                          <w:color w:val="222222"/>
                          <w:sz w:val="19"/>
                          <w:szCs w:val="19"/>
                          <w:lang w:val="es-NI"/>
                        </w:rPr>
                        <w:t> </w:t>
                      </w:r>
                    </w:p>
                    <w:p w14:paraId="1D079EAF" w14:textId="77777777" w:rsidR="00A96CF7" w:rsidRPr="009421F9" w:rsidRDefault="00A96CF7" w:rsidP="005858CD">
                      <w:pPr>
                        <w:jc w:val="center"/>
                        <w:rPr>
                          <w:rFonts w:ascii="Book Antiqua" w:hAnsi="Book Antiqua" w:cs="Arial"/>
                          <w:sz w:val="16"/>
                          <w:szCs w:val="16"/>
                        </w:rPr>
                      </w:pPr>
                      <w:r>
                        <w:rPr>
                          <w:rFonts w:ascii="Book Antiqua" w:hAnsi="Book Antiqua" w:cs="Arial"/>
                          <w:noProof/>
                          <w:sz w:val="16"/>
                          <w:szCs w:val="16"/>
                          <w:lang w:val="en-US"/>
                        </w:rPr>
                        <w:drawing>
                          <wp:inline distT="0" distB="0" distL="0" distR="0" wp14:anchorId="485F5C0B" wp14:editId="0D5ADBE1">
                            <wp:extent cx="1600200" cy="4191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1600200" cy="419100"/>
                                    </a:xfrm>
                                    <a:prstGeom prst="rect">
                                      <a:avLst/>
                                    </a:prstGeom>
                                    <a:noFill/>
                                    <a:ln w="9525">
                                      <a:noFill/>
                                      <a:miter lim="800000"/>
                                      <a:headEnd/>
                                      <a:tailEnd/>
                                    </a:ln>
                                  </pic:spPr>
                                </pic:pic>
                              </a:graphicData>
                            </a:graphic>
                          </wp:inline>
                        </w:drawing>
                      </w:r>
                    </w:p>
                  </w:txbxContent>
                </v:textbox>
              </v:shape>
            </w:pict>
          </mc:Fallback>
        </mc:AlternateContent>
      </w:r>
    </w:p>
    <w:tbl>
      <w:tblPr>
        <w:tblW w:w="5879" w:type="dxa"/>
        <w:tblInd w:w="40" w:type="dxa"/>
        <w:tblCellMar>
          <w:left w:w="0" w:type="dxa"/>
          <w:right w:w="0" w:type="dxa"/>
        </w:tblCellMar>
        <w:tblLook w:val="0000" w:firstRow="0" w:lastRow="0" w:firstColumn="0" w:lastColumn="0" w:noHBand="0" w:noVBand="0"/>
      </w:tblPr>
      <w:tblGrid>
        <w:gridCol w:w="2248"/>
        <w:gridCol w:w="3564"/>
        <w:gridCol w:w="91"/>
      </w:tblGrid>
      <w:tr w:rsidR="005858CD" w:rsidRPr="005858CD" w14:paraId="70CA8A60" w14:textId="77777777" w:rsidTr="00873A6E">
        <w:trPr>
          <w:trHeight w:val="499"/>
        </w:trPr>
        <w:tc>
          <w:tcPr>
            <w:tcW w:w="2232" w:type="dxa"/>
            <w:tcBorders>
              <w:top w:val="nil"/>
              <w:left w:val="nil"/>
              <w:bottom w:val="nil"/>
              <w:right w:val="single" w:sz="8" w:space="0" w:color="auto"/>
            </w:tcBorders>
            <w:noWrap/>
          </w:tcPr>
          <w:p w14:paraId="7E765500" w14:textId="77777777" w:rsidR="005858CD" w:rsidRPr="005858CD" w:rsidRDefault="005858CD">
            <w:pPr>
              <w:rPr>
                <w:rFonts w:ascii="Book Antiqua" w:eastAsia="Arial Unicode MS" w:hAnsi="Book Antiqua" w:cs="Arial"/>
                <w:color w:val="000000"/>
                <w:sz w:val="20"/>
                <w:szCs w:val="20"/>
              </w:rPr>
            </w:pPr>
            <w:r w:rsidRPr="005858CD">
              <w:rPr>
                <w:rFonts w:ascii="Book Antiqua" w:hAnsi="Book Antiqua" w:cs="Arial"/>
                <w:color w:val="000000"/>
                <w:sz w:val="20"/>
                <w:szCs w:val="20"/>
              </w:rPr>
              <w:t xml:space="preserve">Departamento:     </w:t>
            </w:r>
          </w:p>
        </w:tc>
        <w:tc>
          <w:tcPr>
            <w:tcW w:w="3647" w:type="dxa"/>
            <w:gridSpan w:val="2"/>
            <w:tcBorders>
              <w:top w:val="single" w:sz="8" w:space="0" w:color="auto"/>
              <w:left w:val="single" w:sz="8" w:space="0" w:color="auto"/>
              <w:bottom w:val="single" w:sz="8" w:space="0" w:color="auto"/>
              <w:right w:val="single" w:sz="8" w:space="0" w:color="auto"/>
            </w:tcBorders>
            <w:noWrap/>
            <w:vAlign w:val="center"/>
          </w:tcPr>
          <w:p w14:paraId="1CA7EA0C" w14:textId="77777777" w:rsidR="005858CD" w:rsidRPr="005858CD" w:rsidRDefault="005858CD">
            <w:pPr>
              <w:rPr>
                <w:rFonts w:ascii="Book Antiqua" w:eastAsia="Arial Unicode MS" w:hAnsi="Book Antiqua" w:cs="Arial"/>
                <w:sz w:val="20"/>
                <w:szCs w:val="20"/>
              </w:rPr>
            </w:pPr>
          </w:p>
        </w:tc>
      </w:tr>
      <w:tr w:rsidR="005858CD" w:rsidRPr="005858CD" w14:paraId="42EEABE5" w14:textId="77777777" w:rsidTr="00873A6E">
        <w:trPr>
          <w:trHeight w:val="526"/>
        </w:trPr>
        <w:tc>
          <w:tcPr>
            <w:tcW w:w="2232" w:type="dxa"/>
            <w:tcBorders>
              <w:top w:val="nil"/>
              <w:left w:val="nil"/>
              <w:bottom w:val="nil"/>
              <w:right w:val="single" w:sz="8" w:space="0" w:color="auto"/>
            </w:tcBorders>
            <w:noWrap/>
          </w:tcPr>
          <w:p w14:paraId="252B71AC" w14:textId="77777777" w:rsidR="005858CD" w:rsidRPr="005858CD" w:rsidRDefault="005858CD" w:rsidP="008C041F">
            <w:pPr>
              <w:rPr>
                <w:rFonts w:ascii="Book Antiqua" w:hAnsi="Book Antiqua" w:cs="Arial"/>
                <w:color w:val="000000"/>
                <w:sz w:val="20"/>
                <w:szCs w:val="20"/>
              </w:rPr>
            </w:pPr>
            <w:r w:rsidRPr="005858CD">
              <w:rPr>
                <w:rFonts w:ascii="Book Antiqua" w:hAnsi="Book Antiqua" w:cs="Arial"/>
                <w:color w:val="000000"/>
                <w:sz w:val="20"/>
                <w:szCs w:val="20"/>
              </w:rPr>
              <w:t>Municipio:</w:t>
            </w:r>
          </w:p>
        </w:tc>
        <w:tc>
          <w:tcPr>
            <w:tcW w:w="3647" w:type="dxa"/>
            <w:gridSpan w:val="2"/>
            <w:tcBorders>
              <w:top w:val="single" w:sz="8" w:space="0" w:color="auto"/>
              <w:left w:val="single" w:sz="8" w:space="0" w:color="auto"/>
              <w:bottom w:val="single" w:sz="8" w:space="0" w:color="auto"/>
              <w:right w:val="single" w:sz="8" w:space="0" w:color="auto"/>
            </w:tcBorders>
            <w:noWrap/>
            <w:vAlign w:val="center"/>
          </w:tcPr>
          <w:p w14:paraId="0EB4A370" w14:textId="77777777" w:rsidR="005858CD" w:rsidRPr="005858CD" w:rsidRDefault="005858CD" w:rsidP="008C041F">
            <w:pPr>
              <w:jc w:val="center"/>
              <w:rPr>
                <w:rFonts w:ascii="Book Antiqua" w:eastAsia="Arial Unicode MS" w:hAnsi="Book Antiqua" w:cs="Arial"/>
                <w:sz w:val="20"/>
                <w:szCs w:val="20"/>
              </w:rPr>
            </w:pPr>
          </w:p>
        </w:tc>
      </w:tr>
      <w:tr w:rsidR="005858CD" w:rsidRPr="005858CD" w14:paraId="3698DF32" w14:textId="77777777" w:rsidTr="00873A6E">
        <w:trPr>
          <w:trHeight w:val="427"/>
        </w:trPr>
        <w:tc>
          <w:tcPr>
            <w:tcW w:w="2232" w:type="dxa"/>
            <w:tcBorders>
              <w:top w:val="nil"/>
              <w:left w:val="nil"/>
              <w:bottom w:val="nil"/>
              <w:right w:val="single" w:sz="8" w:space="0" w:color="auto"/>
            </w:tcBorders>
            <w:noWrap/>
          </w:tcPr>
          <w:p w14:paraId="59455079" w14:textId="77777777" w:rsidR="005858CD" w:rsidRPr="005858CD" w:rsidRDefault="005858CD" w:rsidP="008C041F">
            <w:pPr>
              <w:rPr>
                <w:rFonts w:ascii="Book Antiqua" w:hAnsi="Book Antiqua" w:cs="Arial"/>
                <w:sz w:val="20"/>
                <w:szCs w:val="20"/>
              </w:rPr>
            </w:pPr>
            <w:r w:rsidRPr="005858CD">
              <w:rPr>
                <w:rFonts w:ascii="Book Antiqua" w:hAnsi="Book Antiqua" w:cs="Arial"/>
                <w:sz w:val="20"/>
                <w:szCs w:val="20"/>
              </w:rPr>
              <w:t>Comunidad:</w:t>
            </w:r>
          </w:p>
          <w:p w14:paraId="532D1B75" w14:textId="77777777" w:rsidR="005858CD" w:rsidRPr="005858CD" w:rsidRDefault="005858CD" w:rsidP="008C041F">
            <w:pPr>
              <w:rPr>
                <w:rFonts w:ascii="Book Antiqua" w:hAnsi="Book Antiqua" w:cs="Arial"/>
                <w:color w:val="000000"/>
                <w:sz w:val="20"/>
                <w:szCs w:val="20"/>
              </w:rPr>
            </w:pPr>
          </w:p>
        </w:tc>
        <w:tc>
          <w:tcPr>
            <w:tcW w:w="3647" w:type="dxa"/>
            <w:gridSpan w:val="2"/>
            <w:tcBorders>
              <w:top w:val="single" w:sz="8" w:space="0" w:color="auto"/>
              <w:left w:val="single" w:sz="8" w:space="0" w:color="auto"/>
              <w:bottom w:val="single" w:sz="8" w:space="0" w:color="auto"/>
              <w:right w:val="single" w:sz="8" w:space="0" w:color="auto"/>
            </w:tcBorders>
            <w:noWrap/>
            <w:vAlign w:val="center"/>
          </w:tcPr>
          <w:p w14:paraId="048327C2" w14:textId="77777777" w:rsidR="005858CD" w:rsidRPr="005858CD" w:rsidRDefault="005858CD" w:rsidP="008C041F">
            <w:pPr>
              <w:rPr>
                <w:rFonts w:ascii="Book Antiqua" w:hAnsi="Book Antiqua"/>
                <w:b/>
                <w:bCs/>
                <w:color w:val="808080"/>
                <w:sz w:val="20"/>
                <w:szCs w:val="20"/>
              </w:rPr>
            </w:pPr>
          </w:p>
        </w:tc>
      </w:tr>
      <w:tr w:rsidR="005858CD" w:rsidRPr="005858CD" w14:paraId="10A9D85E" w14:textId="77777777" w:rsidTr="00873A6E">
        <w:trPr>
          <w:gridAfter w:val="1"/>
          <w:wAfter w:w="99" w:type="dxa"/>
          <w:cantSplit/>
          <w:trHeight w:val="289"/>
        </w:trPr>
        <w:tc>
          <w:tcPr>
            <w:tcW w:w="5780" w:type="dxa"/>
            <w:gridSpan w:val="2"/>
            <w:tcBorders>
              <w:top w:val="nil"/>
              <w:left w:val="nil"/>
              <w:bottom w:val="nil"/>
            </w:tcBorders>
            <w:noWrap/>
          </w:tcPr>
          <w:p w14:paraId="21B750F7" w14:textId="77777777" w:rsidR="005858CD" w:rsidRPr="005858CD" w:rsidRDefault="005858CD" w:rsidP="008C041F">
            <w:pPr>
              <w:rPr>
                <w:rFonts w:ascii="Book Antiqua" w:hAnsi="Book Antiqua" w:cs="Arial"/>
                <w:sz w:val="20"/>
                <w:szCs w:val="20"/>
                <w:highlight w:val="yellow"/>
              </w:rPr>
            </w:pPr>
          </w:p>
        </w:tc>
      </w:tr>
      <w:tr w:rsidR="005858CD" w:rsidRPr="005858CD" w14:paraId="175426A6" w14:textId="77777777" w:rsidTr="00873A6E">
        <w:trPr>
          <w:gridAfter w:val="1"/>
          <w:wAfter w:w="99" w:type="dxa"/>
          <w:trHeight w:val="495"/>
        </w:trPr>
        <w:tc>
          <w:tcPr>
            <w:tcW w:w="2232" w:type="dxa"/>
            <w:tcBorders>
              <w:top w:val="nil"/>
              <w:left w:val="nil"/>
              <w:bottom w:val="nil"/>
              <w:right w:val="nil"/>
            </w:tcBorders>
            <w:noWrap/>
          </w:tcPr>
          <w:p w14:paraId="5EDE504F" w14:textId="77777777" w:rsidR="005858CD" w:rsidRPr="005858CD" w:rsidRDefault="005858CD" w:rsidP="008C041F">
            <w:pPr>
              <w:rPr>
                <w:rFonts w:ascii="Book Antiqua" w:hAnsi="Book Antiqua" w:cs="Arial"/>
                <w:sz w:val="20"/>
                <w:szCs w:val="20"/>
              </w:rPr>
            </w:pPr>
          </w:p>
          <w:p w14:paraId="11BBCF74"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Nombre:</w:t>
            </w:r>
          </w:p>
        </w:tc>
        <w:tc>
          <w:tcPr>
            <w:tcW w:w="3548" w:type="dxa"/>
            <w:tcBorders>
              <w:top w:val="single" w:sz="8" w:space="0" w:color="auto"/>
              <w:left w:val="single" w:sz="8" w:space="0" w:color="auto"/>
              <w:bottom w:val="single" w:sz="8" w:space="0" w:color="auto"/>
              <w:right w:val="single" w:sz="8" w:space="0" w:color="auto"/>
            </w:tcBorders>
            <w:noWrap/>
            <w:vAlign w:val="bottom"/>
          </w:tcPr>
          <w:p w14:paraId="6D124611" w14:textId="77777777" w:rsidR="005858CD" w:rsidRPr="005858CD" w:rsidRDefault="005858CD" w:rsidP="008C041F">
            <w:pPr>
              <w:jc w:val="center"/>
              <w:rPr>
                <w:rFonts w:ascii="Book Antiqua" w:hAnsi="Book Antiqua"/>
                <w:b/>
                <w:bCs/>
                <w:color w:val="000000"/>
                <w:sz w:val="20"/>
                <w:szCs w:val="20"/>
                <w:highlight w:val="yellow"/>
              </w:rPr>
            </w:pPr>
          </w:p>
          <w:p w14:paraId="7116EB77" w14:textId="77777777" w:rsidR="005858CD" w:rsidRPr="005858CD" w:rsidRDefault="005858CD" w:rsidP="008C041F">
            <w:pPr>
              <w:jc w:val="center"/>
              <w:rPr>
                <w:rFonts w:ascii="Book Antiqua" w:hAnsi="Book Antiqua"/>
                <w:b/>
                <w:bCs/>
                <w:color w:val="000000"/>
                <w:sz w:val="20"/>
                <w:szCs w:val="20"/>
              </w:rPr>
            </w:pPr>
          </w:p>
        </w:tc>
      </w:tr>
      <w:tr w:rsidR="005858CD" w:rsidRPr="005858CD" w14:paraId="7A3D4AA0" w14:textId="77777777" w:rsidTr="00873A6E">
        <w:trPr>
          <w:gridAfter w:val="1"/>
          <w:wAfter w:w="99" w:type="dxa"/>
          <w:trHeight w:val="301"/>
        </w:trPr>
        <w:tc>
          <w:tcPr>
            <w:tcW w:w="2232" w:type="dxa"/>
            <w:tcBorders>
              <w:top w:val="nil"/>
              <w:left w:val="nil"/>
              <w:bottom w:val="nil"/>
              <w:right w:val="nil"/>
            </w:tcBorders>
            <w:noWrap/>
          </w:tcPr>
          <w:p w14:paraId="125B6FDF" w14:textId="77777777" w:rsidR="005858CD" w:rsidRPr="005858CD" w:rsidRDefault="005858CD" w:rsidP="008C041F">
            <w:pPr>
              <w:rPr>
                <w:rFonts w:ascii="Book Antiqua" w:eastAsia="Arial Unicode MS" w:hAnsi="Book Antiqua" w:cs="Arial"/>
                <w:sz w:val="20"/>
                <w:szCs w:val="20"/>
              </w:rPr>
            </w:pPr>
          </w:p>
          <w:p w14:paraId="58DF6F03" w14:textId="77777777" w:rsidR="005858CD" w:rsidRPr="005858CD" w:rsidRDefault="005858CD" w:rsidP="008C041F">
            <w:pPr>
              <w:rPr>
                <w:rFonts w:ascii="Book Antiqua" w:eastAsia="Arial Unicode MS" w:hAnsi="Book Antiqua" w:cs="Arial"/>
                <w:sz w:val="20"/>
                <w:szCs w:val="20"/>
              </w:rPr>
            </w:pPr>
          </w:p>
        </w:tc>
        <w:tc>
          <w:tcPr>
            <w:tcW w:w="3548" w:type="dxa"/>
            <w:tcBorders>
              <w:top w:val="single" w:sz="8" w:space="0" w:color="auto"/>
              <w:left w:val="nil"/>
              <w:bottom w:val="single" w:sz="8" w:space="0" w:color="auto"/>
              <w:right w:val="nil"/>
            </w:tcBorders>
            <w:shd w:val="clear" w:color="auto" w:fill="auto"/>
            <w:noWrap/>
            <w:vAlign w:val="bottom"/>
          </w:tcPr>
          <w:p w14:paraId="0EB2BE5A" w14:textId="77777777" w:rsidR="005858CD" w:rsidRPr="005858CD" w:rsidRDefault="005858CD" w:rsidP="008C041F">
            <w:pPr>
              <w:rPr>
                <w:rFonts w:ascii="Book Antiqua" w:eastAsia="Arial Unicode MS" w:hAnsi="Book Antiqua" w:cs="Arial"/>
                <w:sz w:val="20"/>
                <w:szCs w:val="20"/>
              </w:rPr>
            </w:pPr>
          </w:p>
        </w:tc>
      </w:tr>
      <w:tr w:rsidR="005858CD" w:rsidRPr="005858CD" w14:paraId="32111567" w14:textId="77777777" w:rsidTr="00873A6E">
        <w:trPr>
          <w:gridAfter w:val="1"/>
          <w:wAfter w:w="99" w:type="dxa"/>
          <w:trHeight w:val="270"/>
        </w:trPr>
        <w:tc>
          <w:tcPr>
            <w:tcW w:w="2232" w:type="dxa"/>
            <w:tcBorders>
              <w:top w:val="nil"/>
              <w:left w:val="nil"/>
              <w:bottom w:val="nil"/>
              <w:right w:val="nil"/>
            </w:tcBorders>
          </w:tcPr>
          <w:p w14:paraId="1C64C45A"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Edad:</w:t>
            </w:r>
          </w:p>
        </w:tc>
        <w:tc>
          <w:tcPr>
            <w:tcW w:w="354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CD7DA5" w14:textId="77777777" w:rsidR="005858CD" w:rsidRPr="005858CD" w:rsidRDefault="005858CD" w:rsidP="008C041F">
            <w:pPr>
              <w:shd w:val="clear" w:color="auto" w:fill="FFFFFF"/>
              <w:rPr>
                <w:rFonts w:ascii="Book Antiqua" w:hAnsi="Book Antiqua" w:cs="Arial"/>
                <w:sz w:val="20"/>
                <w:szCs w:val="20"/>
              </w:rPr>
            </w:pPr>
            <w:r w:rsidRPr="005858CD">
              <w:rPr>
                <w:rFonts w:ascii="Book Antiqua" w:hAnsi="Book Antiqua" w:cs="Arial"/>
                <w:sz w:val="20"/>
                <w:szCs w:val="20"/>
              </w:rPr>
              <w:t> </w:t>
            </w:r>
          </w:p>
          <w:p w14:paraId="465A11AF" w14:textId="77777777" w:rsidR="005858CD" w:rsidRPr="005858CD" w:rsidRDefault="005858CD" w:rsidP="008C041F">
            <w:pPr>
              <w:rPr>
                <w:rFonts w:ascii="Book Antiqua" w:hAnsi="Book Antiqua" w:cs="Arial"/>
                <w:sz w:val="20"/>
                <w:szCs w:val="20"/>
              </w:rPr>
            </w:pPr>
          </w:p>
          <w:p w14:paraId="08655240" w14:textId="77777777" w:rsidR="005858CD" w:rsidRPr="005858CD" w:rsidRDefault="005858CD" w:rsidP="008C041F">
            <w:pPr>
              <w:rPr>
                <w:rFonts w:ascii="Book Antiqua" w:eastAsia="Arial Unicode MS" w:hAnsi="Book Antiqua" w:cs="Arial"/>
                <w:sz w:val="20"/>
                <w:szCs w:val="20"/>
              </w:rPr>
            </w:pPr>
          </w:p>
        </w:tc>
      </w:tr>
      <w:tr w:rsidR="005858CD" w:rsidRPr="005858CD" w14:paraId="4830518D" w14:textId="77777777" w:rsidTr="00873A6E">
        <w:trPr>
          <w:gridAfter w:val="1"/>
          <w:wAfter w:w="99" w:type="dxa"/>
          <w:trHeight w:val="270"/>
        </w:trPr>
        <w:tc>
          <w:tcPr>
            <w:tcW w:w="2232" w:type="dxa"/>
            <w:tcBorders>
              <w:top w:val="nil"/>
              <w:left w:val="nil"/>
              <w:bottom w:val="nil"/>
              <w:right w:val="nil"/>
            </w:tcBorders>
            <w:noWrap/>
          </w:tcPr>
          <w:p w14:paraId="546ED414" w14:textId="77777777" w:rsidR="005858CD" w:rsidRPr="005858CD" w:rsidRDefault="005858CD" w:rsidP="008C041F">
            <w:pPr>
              <w:rPr>
                <w:rFonts w:ascii="Book Antiqua" w:eastAsia="Arial Unicode MS" w:hAnsi="Book Antiqua" w:cs="Arial"/>
                <w:sz w:val="20"/>
                <w:szCs w:val="20"/>
              </w:rPr>
            </w:pPr>
          </w:p>
          <w:p w14:paraId="3ACADDEE" w14:textId="77777777" w:rsidR="005858CD" w:rsidRPr="005858CD" w:rsidRDefault="005858CD" w:rsidP="008C041F">
            <w:pPr>
              <w:rPr>
                <w:rFonts w:ascii="Book Antiqua" w:eastAsia="Arial Unicode MS" w:hAnsi="Book Antiqua" w:cs="Arial"/>
                <w:sz w:val="20"/>
                <w:szCs w:val="20"/>
              </w:rPr>
            </w:pPr>
            <w:r w:rsidRPr="005858CD">
              <w:rPr>
                <w:rFonts w:ascii="Book Antiqua" w:eastAsia="Arial Unicode MS" w:hAnsi="Book Antiqua" w:cs="Arial"/>
                <w:noProof/>
                <w:sz w:val="20"/>
                <w:szCs w:val="20"/>
                <w:lang w:eastAsia="en-GB"/>
              </w:rPr>
              <mc:AlternateContent>
                <mc:Choice Requires="wps">
                  <w:drawing>
                    <wp:anchor distT="0" distB="0" distL="114300" distR="114300" simplePos="0" relativeHeight="251660288" behindDoc="0" locked="0" layoutInCell="1" allowOverlap="1" wp14:anchorId="2ED2D216" wp14:editId="68D2578D">
                      <wp:simplePos x="0" y="0"/>
                      <wp:positionH relativeFrom="column">
                        <wp:posOffset>1407795</wp:posOffset>
                      </wp:positionH>
                      <wp:positionV relativeFrom="paragraph">
                        <wp:posOffset>15240</wp:posOffset>
                      </wp:positionV>
                      <wp:extent cx="2252345" cy="508000"/>
                      <wp:effectExtent l="7620" t="5715" r="6985" b="1016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08000"/>
                              </a:xfrm>
                              <a:prstGeom prst="rect">
                                <a:avLst/>
                              </a:prstGeom>
                              <a:solidFill>
                                <a:srgbClr val="FFFFFF"/>
                              </a:solidFill>
                              <a:ln w="9525">
                                <a:solidFill>
                                  <a:srgbClr val="000000"/>
                                </a:solidFill>
                                <a:miter lim="800000"/>
                                <a:headEnd/>
                                <a:tailEnd/>
                              </a:ln>
                            </wps:spPr>
                            <wps:txbx>
                              <w:txbxContent>
                                <w:p w14:paraId="71B1FDF5" w14:textId="77777777" w:rsidR="00A96CF7" w:rsidRDefault="00A96CF7" w:rsidP="005858CD">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2D216" id="Text Box 35" o:spid="_x0000_s1027" type="#_x0000_t202" style="position:absolute;margin-left:110.85pt;margin-top:1.2pt;width:177.35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">
                      <v:textbox>
                        <w:txbxContent>
                          <w:p w14:paraId="71B1FDF5" w14:textId="77777777" w:rsidR="00A96CF7" w:rsidRDefault="00A96CF7" w:rsidP="005858CD">
                            <w:pPr>
                              <w:rPr>
                                <w:lang w:val="es-ES"/>
                              </w:rPr>
                            </w:pPr>
                          </w:p>
                        </w:txbxContent>
                      </v:textbox>
                    </v:shape>
                  </w:pict>
                </mc:Fallback>
              </mc:AlternateContent>
            </w:r>
          </w:p>
          <w:p w14:paraId="13B0C510"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Estado civil</w:t>
            </w:r>
            <w:r w:rsidRPr="005858CD">
              <w:rPr>
                <w:rFonts w:ascii="Book Antiqua" w:eastAsia="Arial Unicode MS" w:hAnsi="Book Antiqua" w:cs="Arial"/>
                <w:sz w:val="20"/>
                <w:szCs w:val="20"/>
              </w:rPr>
              <w:t>:</w:t>
            </w:r>
          </w:p>
        </w:tc>
        <w:tc>
          <w:tcPr>
            <w:tcW w:w="3548" w:type="dxa"/>
            <w:tcBorders>
              <w:top w:val="single" w:sz="8" w:space="0" w:color="auto"/>
              <w:left w:val="nil"/>
              <w:right w:val="nil"/>
            </w:tcBorders>
            <w:shd w:val="clear" w:color="auto" w:fill="auto"/>
            <w:noWrap/>
            <w:vAlign w:val="bottom"/>
          </w:tcPr>
          <w:p w14:paraId="7F84A2DE" w14:textId="77777777" w:rsidR="005858CD" w:rsidRPr="005858CD" w:rsidRDefault="005858CD" w:rsidP="008C041F">
            <w:pPr>
              <w:rPr>
                <w:rFonts w:ascii="Book Antiqua" w:eastAsia="Arial Unicode MS" w:hAnsi="Book Antiqua" w:cs="Arial"/>
                <w:sz w:val="20"/>
                <w:szCs w:val="20"/>
              </w:rPr>
            </w:pPr>
          </w:p>
          <w:p w14:paraId="1E69175C" w14:textId="77777777" w:rsidR="005858CD" w:rsidRPr="005858CD" w:rsidRDefault="005858CD" w:rsidP="008C041F">
            <w:pPr>
              <w:rPr>
                <w:rFonts w:ascii="Book Antiqua" w:eastAsia="Arial Unicode MS" w:hAnsi="Book Antiqua" w:cs="Arial"/>
                <w:sz w:val="20"/>
                <w:szCs w:val="20"/>
              </w:rPr>
            </w:pPr>
          </w:p>
          <w:p w14:paraId="40B1EFE0" w14:textId="77777777" w:rsidR="005858CD" w:rsidRPr="005858CD" w:rsidRDefault="005858CD" w:rsidP="008C041F">
            <w:pPr>
              <w:rPr>
                <w:rFonts w:ascii="Book Antiqua" w:eastAsia="Arial Unicode MS" w:hAnsi="Book Antiqua" w:cs="Arial"/>
                <w:sz w:val="20"/>
                <w:szCs w:val="20"/>
              </w:rPr>
            </w:pPr>
          </w:p>
          <w:p w14:paraId="054C3AD9" w14:textId="77777777" w:rsidR="005858CD" w:rsidRPr="005858CD" w:rsidRDefault="005858CD" w:rsidP="008C041F">
            <w:pPr>
              <w:rPr>
                <w:rFonts w:ascii="Book Antiqua" w:eastAsia="Arial Unicode MS" w:hAnsi="Book Antiqua" w:cs="Arial"/>
                <w:sz w:val="20"/>
                <w:szCs w:val="20"/>
              </w:rPr>
            </w:pPr>
          </w:p>
          <w:p w14:paraId="587A3B79" w14:textId="77777777" w:rsidR="005858CD" w:rsidRPr="005858CD" w:rsidRDefault="005858CD">
            <w:pPr>
              <w:rPr>
                <w:rFonts w:ascii="Book Antiqua" w:eastAsia="Arial Unicode MS" w:hAnsi="Book Antiqua" w:cs="Arial"/>
                <w:sz w:val="20"/>
                <w:szCs w:val="20"/>
              </w:rPr>
            </w:pPr>
          </w:p>
          <w:p w14:paraId="644863FA" w14:textId="77777777" w:rsidR="005858CD" w:rsidRPr="005858CD" w:rsidRDefault="005858CD">
            <w:pPr>
              <w:rPr>
                <w:rFonts w:ascii="Book Antiqua" w:eastAsia="Arial Unicode MS" w:hAnsi="Book Antiqua" w:cs="Arial"/>
                <w:sz w:val="20"/>
                <w:szCs w:val="20"/>
              </w:rPr>
            </w:pPr>
          </w:p>
        </w:tc>
      </w:tr>
      <w:tr w:rsidR="005858CD" w:rsidRPr="005858CD" w14:paraId="1AFEB454" w14:textId="77777777" w:rsidTr="00873A6E">
        <w:trPr>
          <w:gridAfter w:val="1"/>
          <w:wAfter w:w="99" w:type="dxa"/>
          <w:trHeight w:val="270"/>
        </w:trPr>
        <w:tc>
          <w:tcPr>
            <w:tcW w:w="2232" w:type="dxa"/>
            <w:tcBorders>
              <w:top w:val="nil"/>
              <w:left w:val="nil"/>
              <w:bottom w:val="nil"/>
              <w:right w:val="nil"/>
            </w:tcBorders>
            <w:noWrap/>
          </w:tcPr>
          <w:p w14:paraId="00B55F00"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Sexo:</w:t>
            </w:r>
          </w:p>
        </w:tc>
        <w:tc>
          <w:tcPr>
            <w:tcW w:w="3548" w:type="dxa"/>
            <w:tcBorders>
              <w:top w:val="single" w:sz="8" w:space="0" w:color="auto"/>
              <w:left w:val="single" w:sz="8" w:space="0" w:color="auto"/>
              <w:bottom w:val="single" w:sz="8" w:space="0" w:color="auto"/>
              <w:right w:val="single" w:sz="8" w:space="0" w:color="auto"/>
            </w:tcBorders>
            <w:noWrap/>
            <w:vAlign w:val="bottom"/>
          </w:tcPr>
          <w:p w14:paraId="490A2F22" w14:textId="77777777" w:rsidR="005858CD" w:rsidRPr="005858CD" w:rsidRDefault="005858CD" w:rsidP="008C041F">
            <w:pPr>
              <w:rPr>
                <w:rFonts w:ascii="Book Antiqua" w:hAnsi="Book Antiqua" w:cs="Arial"/>
                <w:sz w:val="20"/>
                <w:szCs w:val="20"/>
              </w:rPr>
            </w:pPr>
            <w:r w:rsidRPr="005858CD">
              <w:rPr>
                <w:rFonts w:ascii="Book Antiqua" w:hAnsi="Book Antiqua" w:cs="Arial"/>
                <w:sz w:val="20"/>
                <w:szCs w:val="20"/>
              </w:rPr>
              <w:t xml:space="preserve">                     </w:t>
            </w:r>
          </w:p>
          <w:p w14:paraId="26BF04AB" w14:textId="77777777" w:rsidR="005858CD" w:rsidRPr="005858CD" w:rsidRDefault="005858CD" w:rsidP="008C041F">
            <w:pPr>
              <w:rPr>
                <w:rFonts w:ascii="Book Antiqua" w:hAnsi="Book Antiqua"/>
                <w:b/>
                <w:bCs/>
                <w:sz w:val="20"/>
                <w:szCs w:val="20"/>
              </w:rPr>
            </w:pPr>
            <w:r w:rsidRPr="005858CD">
              <w:rPr>
                <w:rFonts w:ascii="Book Antiqua" w:hAnsi="Book Antiqua" w:cs="Arial"/>
                <w:sz w:val="20"/>
                <w:szCs w:val="20"/>
              </w:rPr>
              <w:t xml:space="preserve">              </w:t>
            </w:r>
            <w:r w:rsidRPr="005858CD">
              <w:rPr>
                <w:rFonts w:ascii="Book Antiqua" w:hAnsi="Book Antiqua"/>
                <w:b/>
                <w:bCs/>
                <w:sz w:val="20"/>
                <w:szCs w:val="20"/>
              </w:rPr>
              <w:t>|M|                                 |F|</w:t>
            </w:r>
          </w:p>
          <w:p w14:paraId="0922E6D8"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 xml:space="preserve">                </w:t>
            </w:r>
          </w:p>
        </w:tc>
      </w:tr>
      <w:tr w:rsidR="005858CD" w:rsidRPr="005858CD" w14:paraId="0E1D1F63" w14:textId="77777777" w:rsidTr="00873A6E">
        <w:trPr>
          <w:gridAfter w:val="2"/>
          <w:wAfter w:w="3647" w:type="dxa"/>
          <w:trHeight w:val="270"/>
        </w:trPr>
        <w:tc>
          <w:tcPr>
            <w:tcW w:w="2232" w:type="dxa"/>
            <w:tcBorders>
              <w:top w:val="nil"/>
              <w:left w:val="nil"/>
              <w:bottom w:val="nil"/>
              <w:right w:val="nil"/>
            </w:tcBorders>
            <w:noWrap/>
          </w:tcPr>
          <w:p w14:paraId="3858B569" w14:textId="77777777" w:rsidR="005858CD" w:rsidRPr="005858CD" w:rsidRDefault="005858CD" w:rsidP="008C041F">
            <w:pPr>
              <w:rPr>
                <w:rFonts w:ascii="Book Antiqua" w:eastAsia="Arial Unicode MS" w:hAnsi="Book Antiqua" w:cs="Arial"/>
                <w:sz w:val="20"/>
                <w:szCs w:val="20"/>
              </w:rPr>
            </w:pPr>
          </w:p>
          <w:p w14:paraId="3E344E24"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noProof/>
                <w:sz w:val="20"/>
                <w:szCs w:val="20"/>
                <w:lang w:eastAsia="en-GB"/>
              </w:rPr>
              <mc:AlternateContent>
                <mc:Choice Requires="wps">
                  <w:drawing>
                    <wp:anchor distT="0" distB="0" distL="114300" distR="114300" simplePos="0" relativeHeight="251661312" behindDoc="0" locked="0" layoutInCell="1" allowOverlap="1" wp14:anchorId="6875B9F3" wp14:editId="076B978B">
                      <wp:simplePos x="0" y="0"/>
                      <wp:positionH relativeFrom="column">
                        <wp:posOffset>1407795</wp:posOffset>
                      </wp:positionH>
                      <wp:positionV relativeFrom="paragraph">
                        <wp:posOffset>5080</wp:posOffset>
                      </wp:positionV>
                      <wp:extent cx="2252345" cy="508000"/>
                      <wp:effectExtent l="7620" t="5080" r="6985" b="10795"/>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08000"/>
                              </a:xfrm>
                              <a:prstGeom prst="rect">
                                <a:avLst/>
                              </a:prstGeom>
                              <a:solidFill>
                                <a:srgbClr val="FFFFFF"/>
                              </a:solidFill>
                              <a:ln w="9525">
                                <a:solidFill>
                                  <a:srgbClr val="000000"/>
                                </a:solidFill>
                                <a:miter lim="800000"/>
                                <a:headEnd/>
                                <a:tailEnd/>
                              </a:ln>
                            </wps:spPr>
                            <wps:txbx>
                              <w:txbxContent>
                                <w:p w14:paraId="54689B2F" w14:textId="77777777" w:rsidR="00A96CF7" w:rsidRDefault="00A96CF7" w:rsidP="005858CD">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5B9F3" id="Text Box 36" o:spid="_x0000_s1028" type="#_x0000_t202" style="position:absolute;margin-left:110.85pt;margin-top:.4pt;width:177.3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">
                      <v:textbox>
                        <w:txbxContent>
                          <w:p w14:paraId="54689B2F" w14:textId="77777777" w:rsidR="00A96CF7" w:rsidRDefault="00A96CF7" w:rsidP="005858CD">
                            <w:pPr>
                              <w:rPr>
                                <w:lang w:val="es-ES"/>
                              </w:rPr>
                            </w:pPr>
                          </w:p>
                        </w:txbxContent>
                      </v:textbox>
                    </v:shape>
                  </w:pict>
                </mc:Fallback>
              </mc:AlternateContent>
            </w:r>
          </w:p>
          <w:p w14:paraId="77A6A27A" w14:textId="77777777" w:rsidR="005858CD" w:rsidRPr="005858CD" w:rsidRDefault="005858CD" w:rsidP="008C041F">
            <w:pPr>
              <w:rPr>
                <w:rFonts w:ascii="Book Antiqua" w:eastAsia="Arial Unicode MS" w:hAnsi="Book Antiqua" w:cs="Arial"/>
                <w:sz w:val="20"/>
                <w:szCs w:val="20"/>
              </w:rPr>
            </w:pPr>
            <w:r w:rsidRPr="005858CD">
              <w:rPr>
                <w:rFonts w:ascii="Book Antiqua" w:eastAsia="Arial Unicode MS" w:hAnsi="Book Antiqua" w:cs="Arial"/>
                <w:sz w:val="20"/>
                <w:szCs w:val="20"/>
              </w:rPr>
              <w:t>Escolaridad:</w:t>
            </w:r>
          </w:p>
          <w:p w14:paraId="4EB415A2" w14:textId="77777777" w:rsidR="005858CD" w:rsidRPr="005858CD" w:rsidRDefault="005858CD" w:rsidP="008C041F">
            <w:pPr>
              <w:rPr>
                <w:rFonts w:ascii="Book Antiqua" w:eastAsia="Arial Unicode MS" w:hAnsi="Book Antiqua" w:cs="Arial"/>
                <w:sz w:val="20"/>
                <w:szCs w:val="20"/>
              </w:rPr>
            </w:pPr>
          </w:p>
          <w:p w14:paraId="6DAED6AB" w14:textId="77777777" w:rsidR="005858CD" w:rsidRPr="005858CD" w:rsidRDefault="005858CD" w:rsidP="008C041F">
            <w:pPr>
              <w:rPr>
                <w:rFonts w:ascii="Book Antiqua" w:eastAsia="Arial Unicode MS" w:hAnsi="Book Antiqua" w:cs="Arial"/>
                <w:sz w:val="20"/>
                <w:szCs w:val="20"/>
              </w:rPr>
            </w:pPr>
          </w:p>
          <w:p w14:paraId="676E50C2" w14:textId="77777777" w:rsidR="005858CD" w:rsidRPr="005858CD" w:rsidRDefault="005858CD" w:rsidP="008C041F">
            <w:pPr>
              <w:rPr>
                <w:rFonts w:ascii="Book Antiqua" w:eastAsia="Arial Unicode MS" w:hAnsi="Book Antiqua" w:cs="Arial"/>
                <w:sz w:val="20"/>
                <w:szCs w:val="20"/>
              </w:rPr>
            </w:pPr>
          </w:p>
        </w:tc>
      </w:tr>
      <w:tr w:rsidR="005858CD" w:rsidRPr="005858CD" w14:paraId="0C231015" w14:textId="77777777" w:rsidTr="00873A6E">
        <w:trPr>
          <w:gridAfter w:val="1"/>
          <w:wAfter w:w="99" w:type="dxa"/>
          <w:trHeight w:val="270"/>
        </w:trPr>
        <w:tc>
          <w:tcPr>
            <w:tcW w:w="2232" w:type="dxa"/>
            <w:tcBorders>
              <w:top w:val="nil"/>
              <w:left w:val="nil"/>
              <w:bottom w:val="nil"/>
              <w:right w:val="single" w:sz="4" w:space="0" w:color="auto"/>
            </w:tcBorders>
            <w:noWrap/>
          </w:tcPr>
          <w:p w14:paraId="0E49C494"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lastRenderedPageBreak/>
              <w:t>Organización cooperativa:</w:t>
            </w:r>
          </w:p>
        </w:tc>
        <w:tc>
          <w:tcPr>
            <w:tcW w:w="3548" w:type="dxa"/>
            <w:tcBorders>
              <w:top w:val="single" w:sz="4" w:space="0" w:color="auto"/>
              <w:left w:val="single" w:sz="4" w:space="0" w:color="auto"/>
              <w:bottom w:val="single" w:sz="4" w:space="0" w:color="auto"/>
              <w:right w:val="single" w:sz="4" w:space="0" w:color="auto"/>
            </w:tcBorders>
            <w:noWrap/>
            <w:vAlign w:val="bottom"/>
          </w:tcPr>
          <w:p w14:paraId="3F070A4D" w14:textId="77777777" w:rsidR="005858CD" w:rsidRPr="005858CD" w:rsidRDefault="005858CD" w:rsidP="008C041F">
            <w:pPr>
              <w:jc w:val="center"/>
              <w:rPr>
                <w:rFonts w:ascii="Book Antiqua" w:eastAsia="Arial Unicode MS" w:hAnsi="Book Antiqua" w:cs="Arial"/>
                <w:sz w:val="20"/>
                <w:szCs w:val="20"/>
              </w:rPr>
            </w:pPr>
            <w:r w:rsidRPr="005858CD">
              <w:rPr>
                <w:rFonts w:ascii="Book Antiqua" w:hAnsi="Book Antiqua" w:cs="Arial"/>
                <w:noProof/>
                <w:sz w:val="20"/>
                <w:szCs w:val="20"/>
                <w:lang w:eastAsia="en-GB"/>
              </w:rPr>
              <mc:AlternateContent>
                <mc:Choice Requires="wps">
                  <w:drawing>
                    <wp:anchor distT="0" distB="0" distL="114300" distR="114300" simplePos="0" relativeHeight="251662336" behindDoc="0" locked="0" layoutInCell="1" allowOverlap="1" wp14:anchorId="45A15110" wp14:editId="58AFBB09">
                      <wp:simplePos x="0" y="0"/>
                      <wp:positionH relativeFrom="column">
                        <wp:posOffset>2419985</wp:posOffset>
                      </wp:positionH>
                      <wp:positionV relativeFrom="paragraph">
                        <wp:posOffset>-130175</wp:posOffset>
                      </wp:positionV>
                      <wp:extent cx="3223260" cy="942975"/>
                      <wp:effectExtent l="10160" t="12700" r="5080" b="635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942975"/>
                              </a:xfrm>
                              <a:prstGeom prst="rect">
                                <a:avLst/>
                              </a:prstGeom>
                              <a:solidFill>
                                <a:srgbClr val="FFFFFF"/>
                              </a:solidFill>
                              <a:ln w="9525">
                                <a:solidFill>
                                  <a:srgbClr val="000000"/>
                                </a:solidFill>
                                <a:miter lim="800000"/>
                                <a:headEnd/>
                                <a:tailEnd/>
                              </a:ln>
                            </wps:spPr>
                            <wps:txbx>
                              <w:txbxContent>
                                <w:p w14:paraId="4C164B97" w14:textId="77777777" w:rsidR="00A96CF7" w:rsidRPr="006C660A" w:rsidRDefault="00A96CF7" w:rsidP="005858CD">
                                  <w:pPr>
                                    <w:rPr>
                                      <w:rFonts w:ascii="Book Antiqua" w:hAnsi="Book Antiqua"/>
                                      <w:sz w:val="20"/>
                                      <w:szCs w:val="20"/>
                                      <w:lang w:val="es-NI"/>
                                    </w:rPr>
                                  </w:pPr>
                                  <w:r w:rsidRPr="004E55B4">
                                    <w:rPr>
                                      <w:rFonts w:ascii="Book Antiqua" w:hAnsi="Book Antiqua"/>
                                      <w:sz w:val="20"/>
                                      <w:szCs w:val="20"/>
                                      <w:lang w:val="es-ES"/>
                                    </w:rPr>
                                    <w:t>Fecha (dd/mm/aa)</w:t>
                                  </w:r>
                                  <w:r w:rsidRPr="006C660A">
                                    <w:rPr>
                                      <w:rFonts w:ascii="Book Antiqua" w:hAnsi="Book Antiqua"/>
                                      <w:sz w:val="20"/>
                                      <w:szCs w:val="20"/>
                                      <w:lang w:val="es-ES"/>
                                    </w:rPr>
                                    <w:t xml:space="preserve"> </w:t>
                                  </w:r>
                                  <w:r>
                                    <w:rPr>
                                      <w:rFonts w:ascii="Book Antiqua" w:hAnsi="Book Antiqua"/>
                                      <w:sz w:val="20"/>
                                      <w:szCs w:val="20"/>
                                      <w:lang w:val="es-ES"/>
                                    </w:rPr>
                                    <w:t xml:space="preserve">           </w:t>
                                  </w:r>
                                  <w:r w:rsidRPr="006C660A">
                                    <w:rPr>
                                      <w:rFonts w:ascii="Book Antiqua" w:hAnsi="Book Antiqua"/>
                                      <w:noProof/>
                                      <w:sz w:val="20"/>
                                      <w:szCs w:val="20"/>
                                      <w:lang w:val="es-NI" w:eastAsia="es-NI"/>
                                    </w:rPr>
                                    <w:t xml:space="preserve"> </w:t>
                                  </w:r>
                                  <w:r w:rsidRPr="006C660A">
                                    <w:rPr>
                                      <w:rFonts w:ascii="Book Antiqua" w:eastAsia="Arial Unicode MS" w:hAnsi="Book Antiqua" w:cs="Arial"/>
                                      <w:sz w:val="20"/>
                                      <w:szCs w:val="20"/>
                                      <w:lang w:val="es-NI"/>
                                    </w:rPr>
                                    <w:t>....../......../....................</w:t>
                                  </w:r>
                                </w:p>
                                <w:p w14:paraId="0E5EC0D1" w14:textId="77777777" w:rsidR="00A96CF7" w:rsidRDefault="00A96CF7" w:rsidP="005858CD">
                                  <w:pPr>
                                    <w:rPr>
                                      <w:rFonts w:ascii="Book Antiqua" w:hAnsi="Book Antiqua"/>
                                      <w:sz w:val="20"/>
                                      <w:szCs w:val="20"/>
                                      <w:lang w:val="es-ES"/>
                                    </w:rPr>
                                  </w:pPr>
                                </w:p>
                                <w:p w14:paraId="6417C70C" w14:textId="77777777" w:rsidR="00A96CF7" w:rsidRPr="006C660A" w:rsidRDefault="00A96CF7" w:rsidP="005858CD">
                                  <w:pPr>
                                    <w:rPr>
                                      <w:rFonts w:ascii="Book Antiqua" w:hAnsi="Book Antiqua"/>
                                      <w:sz w:val="20"/>
                                      <w:szCs w:val="20"/>
                                      <w:lang w:val="es-NI"/>
                                    </w:rPr>
                                  </w:pPr>
                                  <w:r>
                                    <w:rPr>
                                      <w:rFonts w:ascii="Book Antiqua" w:hAnsi="Book Antiqua"/>
                                      <w:sz w:val="20"/>
                                      <w:szCs w:val="20"/>
                                      <w:lang w:val="es-ES"/>
                                    </w:rPr>
                                    <w:t xml:space="preserve">Hora de inicio: </w:t>
                                  </w:r>
                                  <w:r w:rsidRPr="004E55B4">
                                    <w:rPr>
                                      <w:rFonts w:ascii="Book Antiqua" w:hAnsi="Book Antiqua"/>
                                      <w:sz w:val="20"/>
                                      <w:szCs w:val="20"/>
                                      <w:lang w:val="es-ES"/>
                                    </w:rPr>
                                    <w:t xml:space="preserve"> </w:t>
                                  </w:r>
                                  <w:r>
                                    <w:rPr>
                                      <w:rFonts w:ascii="Book Antiqua" w:hAnsi="Book Antiqua"/>
                                      <w:sz w:val="20"/>
                                      <w:szCs w:val="20"/>
                                      <w:lang w:val="es-ES"/>
                                    </w:rPr>
                                    <w:t xml:space="preserve">                   </w:t>
                                  </w:r>
                                  <w:r w:rsidRPr="006C660A">
                                    <w:rPr>
                                      <w:rFonts w:ascii="Book Antiqua" w:hAnsi="Book Antiqua" w:cs="Arial"/>
                                      <w:sz w:val="20"/>
                                      <w:szCs w:val="20"/>
                                      <w:lang w:val="es-NI"/>
                                    </w:rPr>
                                    <w:t>........</w:t>
                                  </w:r>
                                  <w:r w:rsidRPr="006C660A">
                                    <w:rPr>
                                      <w:rFonts w:ascii="Book Antiqua" w:hAnsi="Book Antiqua" w:cs="Arial"/>
                                      <w:b/>
                                      <w:sz w:val="20"/>
                                      <w:szCs w:val="20"/>
                                      <w:lang w:val="es-NI"/>
                                    </w:rPr>
                                    <w:t>:</w:t>
                                  </w:r>
                                  <w:r w:rsidRPr="006C660A">
                                    <w:rPr>
                                      <w:rFonts w:ascii="Book Antiqua" w:hAnsi="Book Antiqua" w:cs="Arial"/>
                                      <w:sz w:val="20"/>
                                      <w:szCs w:val="20"/>
                                      <w:lang w:val="es-NI"/>
                                    </w:rPr>
                                    <w:t>........AM  /  PM</w:t>
                                  </w:r>
                                </w:p>
                                <w:p w14:paraId="7F3C0F3E" w14:textId="77777777" w:rsidR="00A96CF7" w:rsidRDefault="00A96CF7" w:rsidP="005858CD">
                                  <w:pPr>
                                    <w:rPr>
                                      <w:rFonts w:ascii="Book Antiqua" w:hAnsi="Book Antiqua"/>
                                      <w:sz w:val="20"/>
                                      <w:szCs w:val="20"/>
                                      <w:lang w:val="es-ES"/>
                                    </w:rPr>
                                  </w:pPr>
                                </w:p>
                                <w:p w14:paraId="3E21AF57" w14:textId="77777777" w:rsidR="00A96CF7" w:rsidRPr="006C660A" w:rsidRDefault="00A96CF7" w:rsidP="005858CD">
                                  <w:pPr>
                                    <w:rPr>
                                      <w:rFonts w:ascii="Book Antiqua" w:hAnsi="Book Antiqua"/>
                                      <w:sz w:val="20"/>
                                      <w:szCs w:val="20"/>
                                      <w:lang w:val="es-NI"/>
                                    </w:rPr>
                                  </w:pPr>
                                  <w:r>
                                    <w:rPr>
                                      <w:rFonts w:ascii="Book Antiqua" w:hAnsi="Book Antiqua"/>
                                      <w:sz w:val="20"/>
                                      <w:szCs w:val="20"/>
                                      <w:lang w:val="es-ES"/>
                                    </w:rPr>
                                    <w:t xml:space="preserve">Hora de finalización:           </w:t>
                                  </w:r>
                                  <w:r w:rsidRPr="006C660A">
                                    <w:rPr>
                                      <w:rFonts w:ascii="Book Antiqua" w:hAnsi="Book Antiqua" w:cs="Arial"/>
                                      <w:sz w:val="20"/>
                                      <w:szCs w:val="20"/>
                                      <w:lang w:val="es-NI"/>
                                    </w:rPr>
                                    <w:t>........</w:t>
                                  </w:r>
                                  <w:r w:rsidRPr="006C660A">
                                    <w:rPr>
                                      <w:rFonts w:ascii="Book Antiqua" w:hAnsi="Book Antiqua" w:cs="Arial"/>
                                      <w:b/>
                                      <w:sz w:val="20"/>
                                      <w:szCs w:val="20"/>
                                      <w:lang w:val="es-NI"/>
                                    </w:rPr>
                                    <w:t>:</w:t>
                                  </w:r>
                                  <w:r w:rsidRPr="006C660A">
                                    <w:rPr>
                                      <w:rFonts w:ascii="Book Antiqua" w:hAnsi="Book Antiqua" w:cs="Arial"/>
                                      <w:sz w:val="20"/>
                                      <w:szCs w:val="20"/>
                                      <w:lang w:val="es-NI"/>
                                    </w:rPr>
                                    <w:t>........AM  /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15110" id="Text Box 37" o:spid="_x0000_s1029" type="#_x0000_t202" style="position:absolute;left:0;text-align:left;margin-left:190.55pt;margin-top:-10.25pt;width:253.8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shLQIAAFk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">
                      <v:textbox>
                        <w:txbxContent>
                          <w:p w14:paraId="4C164B97" w14:textId="77777777" w:rsidR="00A96CF7" w:rsidRPr="006C660A" w:rsidRDefault="00A96CF7" w:rsidP="005858CD">
                            <w:pPr>
                              <w:rPr>
                                <w:rFonts w:ascii="Book Antiqua" w:hAnsi="Book Antiqua"/>
                                <w:sz w:val="20"/>
                                <w:szCs w:val="20"/>
                                <w:lang w:val="es-NI"/>
                              </w:rPr>
                            </w:pPr>
                            <w:r w:rsidRPr="004E55B4">
                              <w:rPr>
                                <w:rFonts w:ascii="Book Antiqua" w:hAnsi="Book Antiqua"/>
                                <w:sz w:val="20"/>
                                <w:szCs w:val="20"/>
                                <w:lang w:val="es-ES"/>
                              </w:rPr>
                              <w:t>Fecha (dd/mm/aa)</w:t>
                            </w:r>
                            <w:r w:rsidRPr="006C660A">
                              <w:rPr>
                                <w:rFonts w:ascii="Book Antiqua" w:hAnsi="Book Antiqua"/>
                                <w:sz w:val="20"/>
                                <w:szCs w:val="20"/>
                                <w:lang w:val="es-ES"/>
                              </w:rPr>
                              <w:t xml:space="preserve"> </w:t>
                            </w:r>
                            <w:r>
                              <w:rPr>
                                <w:rFonts w:ascii="Book Antiqua" w:hAnsi="Book Antiqua"/>
                                <w:sz w:val="20"/>
                                <w:szCs w:val="20"/>
                                <w:lang w:val="es-ES"/>
                              </w:rPr>
                              <w:t xml:space="preserve">           </w:t>
                            </w:r>
                            <w:r w:rsidRPr="006C660A">
                              <w:rPr>
                                <w:rFonts w:ascii="Book Antiqua" w:hAnsi="Book Antiqua"/>
                                <w:noProof/>
                                <w:sz w:val="20"/>
                                <w:szCs w:val="20"/>
                                <w:lang w:val="es-NI" w:eastAsia="es-NI"/>
                              </w:rPr>
                              <w:t xml:space="preserve"> </w:t>
                            </w:r>
                            <w:r w:rsidRPr="006C660A">
                              <w:rPr>
                                <w:rFonts w:ascii="Book Antiqua" w:eastAsia="Arial Unicode MS" w:hAnsi="Book Antiqua" w:cs="Arial"/>
                                <w:sz w:val="20"/>
                                <w:szCs w:val="20"/>
                                <w:lang w:val="es-NI"/>
                              </w:rPr>
                              <w:t>....../......../....................</w:t>
                            </w:r>
                          </w:p>
                          <w:p w14:paraId="0E5EC0D1" w14:textId="77777777" w:rsidR="00A96CF7" w:rsidRDefault="00A96CF7" w:rsidP="005858CD">
                            <w:pPr>
                              <w:rPr>
                                <w:rFonts w:ascii="Book Antiqua" w:hAnsi="Book Antiqua"/>
                                <w:sz w:val="20"/>
                                <w:szCs w:val="20"/>
                                <w:lang w:val="es-ES"/>
                              </w:rPr>
                            </w:pPr>
                          </w:p>
                          <w:p w14:paraId="6417C70C" w14:textId="77777777" w:rsidR="00A96CF7" w:rsidRPr="006C660A" w:rsidRDefault="00A96CF7" w:rsidP="005858CD">
                            <w:pPr>
                              <w:rPr>
                                <w:rFonts w:ascii="Book Antiqua" w:hAnsi="Book Antiqua"/>
                                <w:sz w:val="20"/>
                                <w:szCs w:val="20"/>
                                <w:lang w:val="es-NI"/>
                              </w:rPr>
                            </w:pPr>
                            <w:r>
                              <w:rPr>
                                <w:rFonts w:ascii="Book Antiqua" w:hAnsi="Book Antiqua"/>
                                <w:sz w:val="20"/>
                                <w:szCs w:val="20"/>
                                <w:lang w:val="es-ES"/>
                              </w:rPr>
                              <w:t xml:space="preserve">Hora de inicio: </w:t>
                            </w:r>
                            <w:r w:rsidRPr="004E55B4">
                              <w:rPr>
                                <w:rFonts w:ascii="Book Antiqua" w:hAnsi="Book Antiqua"/>
                                <w:sz w:val="20"/>
                                <w:szCs w:val="20"/>
                                <w:lang w:val="es-ES"/>
                              </w:rPr>
                              <w:t xml:space="preserve"> </w:t>
                            </w:r>
                            <w:r>
                              <w:rPr>
                                <w:rFonts w:ascii="Book Antiqua" w:hAnsi="Book Antiqua"/>
                                <w:sz w:val="20"/>
                                <w:szCs w:val="20"/>
                                <w:lang w:val="es-ES"/>
                              </w:rPr>
                              <w:t xml:space="preserve">                   </w:t>
                            </w:r>
                            <w:r w:rsidRPr="006C660A">
                              <w:rPr>
                                <w:rFonts w:ascii="Book Antiqua" w:hAnsi="Book Antiqua" w:cs="Arial"/>
                                <w:sz w:val="20"/>
                                <w:szCs w:val="20"/>
                                <w:lang w:val="es-NI"/>
                              </w:rPr>
                              <w:t>........</w:t>
                            </w:r>
                            <w:r w:rsidRPr="006C660A">
                              <w:rPr>
                                <w:rFonts w:ascii="Book Antiqua" w:hAnsi="Book Antiqua" w:cs="Arial"/>
                                <w:b/>
                                <w:sz w:val="20"/>
                                <w:szCs w:val="20"/>
                                <w:lang w:val="es-NI"/>
                              </w:rPr>
                              <w:t>:</w:t>
                            </w:r>
                            <w:r w:rsidRPr="006C660A">
                              <w:rPr>
                                <w:rFonts w:ascii="Book Antiqua" w:hAnsi="Book Antiqua" w:cs="Arial"/>
                                <w:sz w:val="20"/>
                                <w:szCs w:val="20"/>
                                <w:lang w:val="es-NI"/>
                              </w:rPr>
                              <w:t>........AM  /  PM</w:t>
                            </w:r>
                          </w:p>
                          <w:p w14:paraId="7F3C0F3E" w14:textId="77777777" w:rsidR="00A96CF7" w:rsidRDefault="00A96CF7" w:rsidP="005858CD">
                            <w:pPr>
                              <w:rPr>
                                <w:rFonts w:ascii="Book Antiqua" w:hAnsi="Book Antiqua"/>
                                <w:sz w:val="20"/>
                                <w:szCs w:val="20"/>
                                <w:lang w:val="es-ES"/>
                              </w:rPr>
                            </w:pPr>
                          </w:p>
                          <w:p w14:paraId="3E21AF57" w14:textId="77777777" w:rsidR="00A96CF7" w:rsidRPr="006C660A" w:rsidRDefault="00A96CF7" w:rsidP="005858CD">
                            <w:pPr>
                              <w:rPr>
                                <w:rFonts w:ascii="Book Antiqua" w:hAnsi="Book Antiqua"/>
                                <w:sz w:val="20"/>
                                <w:szCs w:val="20"/>
                                <w:lang w:val="es-NI"/>
                              </w:rPr>
                            </w:pPr>
                            <w:r>
                              <w:rPr>
                                <w:rFonts w:ascii="Book Antiqua" w:hAnsi="Book Antiqua"/>
                                <w:sz w:val="20"/>
                                <w:szCs w:val="20"/>
                                <w:lang w:val="es-ES"/>
                              </w:rPr>
                              <w:t xml:space="preserve">Hora de finalización:           </w:t>
                            </w:r>
                            <w:r w:rsidRPr="006C660A">
                              <w:rPr>
                                <w:rFonts w:ascii="Book Antiqua" w:hAnsi="Book Antiqua" w:cs="Arial"/>
                                <w:sz w:val="20"/>
                                <w:szCs w:val="20"/>
                                <w:lang w:val="es-NI"/>
                              </w:rPr>
                              <w:t>........</w:t>
                            </w:r>
                            <w:r w:rsidRPr="006C660A">
                              <w:rPr>
                                <w:rFonts w:ascii="Book Antiqua" w:hAnsi="Book Antiqua" w:cs="Arial"/>
                                <w:b/>
                                <w:sz w:val="20"/>
                                <w:szCs w:val="20"/>
                                <w:lang w:val="es-NI"/>
                              </w:rPr>
                              <w:t>:</w:t>
                            </w:r>
                            <w:r w:rsidRPr="006C660A">
                              <w:rPr>
                                <w:rFonts w:ascii="Book Antiqua" w:hAnsi="Book Antiqua" w:cs="Arial"/>
                                <w:sz w:val="20"/>
                                <w:szCs w:val="20"/>
                                <w:lang w:val="es-NI"/>
                              </w:rPr>
                              <w:t>........AM  /  PM</w:t>
                            </w:r>
                          </w:p>
                        </w:txbxContent>
                      </v:textbox>
                    </v:shape>
                  </w:pict>
                </mc:Fallback>
              </mc:AlternateContent>
            </w:r>
          </w:p>
        </w:tc>
      </w:tr>
      <w:tr w:rsidR="005858CD" w:rsidRPr="005858CD" w14:paraId="3DADC471" w14:textId="77777777" w:rsidTr="00873A6E">
        <w:trPr>
          <w:gridAfter w:val="1"/>
          <w:wAfter w:w="99" w:type="dxa"/>
          <w:trHeight w:val="270"/>
        </w:trPr>
        <w:tc>
          <w:tcPr>
            <w:tcW w:w="2232" w:type="dxa"/>
            <w:tcBorders>
              <w:top w:val="nil"/>
              <w:left w:val="nil"/>
              <w:bottom w:val="nil"/>
              <w:right w:val="nil"/>
            </w:tcBorders>
            <w:noWrap/>
          </w:tcPr>
          <w:p w14:paraId="382C9C84" w14:textId="77777777" w:rsidR="005858CD" w:rsidRPr="005858CD" w:rsidRDefault="005858CD" w:rsidP="008C041F">
            <w:pPr>
              <w:rPr>
                <w:rFonts w:ascii="Book Antiqua" w:eastAsia="Arial Unicode MS" w:hAnsi="Book Antiqua" w:cs="Arial"/>
                <w:sz w:val="20"/>
                <w:szCs w:val="20"/>
              </w:rPr>
            </w:pPr>
          </w:p>
        </w:tc>
        <w:tc>
          <w:tcPr>
            <w:tcW w:w="3548" w:type="dxa"/>
            <w:tcBorders>
              <w:top w:val="nil"/>
              <w:left w:val="nil"/>
              <w:bottom w:val="nil"/>
              <w:right w:val="nil"/>
            </w:tcBorders>
            <w:noWrap/>
            <w:vAlign w:val="bottom"/>
          </w:tcPr>
          <w:p w14:paraId="227D5836" w14:textId="77777777" w:rsidR="005858CD" w:rsidRPr="005858CD" w:rsidRDefault="005858CD" w:rsidP="008C041F">
            <w:pPr>
              <w:rPr>
                <w:rFonts w:ascii="Book Antiqua" w:eastAsia="Arial Unicode MS" w:hAnsi="Book Antiqua" w:cs="Arial"/>
                <w:sz w:val="20"/>
                <w:szCs w:val="20"/>
              </w:rPr>
            </w:pPr>
          </w:p>
        </w:tc>
      </w:tr>
      <w:tr w:rsidR="005858CD" w:rsidRPr="005858CD" w14:paraId="0AFE61F0" w14:textId="77777777" w:rsidTr="00873A6E">
        <w:trPr>
          <w:gridAfter w:val="1"/>
          <w:wAfter w:w="99" w:type="dxa"/>
          <w:trHeight w:val="270"/>
        </w:trPr>
        <w:tc>
          <w:tcPr>
            <w:tcW w:w="2232" w:type="dxa"/>
            <w:tcBorders>
              <w:top w:val="nil"/>
              <w:left w:val="nil"/>
              <w:bottom w:val="nil"/>
              <w:right w:val="nil"/>
            </w:tcBorders>
            <w:noWrap/>
          </w:tcPr>
          <w:p w14:paraId="4E55FF10" w14:textId="77777777" w:rsidR="005858CD" w:rsidRPr="005858CD" w:rsidRDefault="005858CD" w:rsidP="008C041F">
            <w:pPr>
              <w:rPr>
                <w:rFonts w:ascii="Book Antiqua" w:eastAsia="Arial Unicode MS" w:hAnsi="Book Antiqua" w:cs="Arial"/>
                <w:sz w:val="20"/>
                <w:szCs w:val="20"/>
              </w:rPr>
            </w:pPr>
            <w:r w:rsidRPr="005858CD">
              <w:rPr>
                <w:rFonts w:ascii="Book Antiqua" w:hAnsi="Book Antiqua" w:cs="Arial"/>
                <w:sz w:val="20"/>
                <w:szCs w:val="20"/>
              </w:rPr>
              <w:t>Nombre del grupo:</w:t>
            </w:r>
          </w:p>
        </w:tc>
        <w:tc>
          <w:tcPr>
            <w:tcW w:w="3548" w:type="dxa"/>
            <w:tcBorders>
              <w:top w:val="single" w:sz="8" w:space="0" w:color="auto"/>
              <w:left w:val="single" w:sz="8" w:space="0" w:color="auto"/>
              <w:bottom w:val="single" w:sz="8" w:space="0" w:color="auto"/>
              <w:right w:val="single" w:sz="8" w:space="0" w:color="auto"/>
            </w:tcBorders>
            <w:noWrap/>
            <w:vAlign w:val="bottom"/>
          </w:tcPr>
          <w:p w14:paraId="5426E4C0" w14:textId="77777777" w:rsidR="005858CD" w:rsidRPr="005858CD" w:rsidRDefault="005858CD" w:rsidP="008C041F">
            <w:pPr>
              <w:jc w:val="center"/>
              <w:rPr>
                <w:rFonts w:ascii="Book Antiqua" w:hAnsi="Book Antiqua" w:cs="Arial"/>
                <w:sz w:val="20"/>
                <w:szCs w:val="20"/>
              </w:rPr>
            </w:pPr>
          </w:p>
          <w:p w14:paraId="73226EB7" w14:textId="77777777" w:rsidR="005858CD" w:rsidRPr="005858CD" w:rsidRDefault="005858CD" w:rsidP="008C041F">
            <w:pPr>
              <w:jc w:val="center"/>
              <w:rPr>
                <w:rFonts w:ascii="Book Antiqua" w:eastAsia="Arial Unicode MS" w:hAnsi="Book Antiqua" w:cs="Arial"/>
                <w:sz w:val="20"/>
                <w:szCs w:val="20"/>
              </w:rPr>
            </w:pPr>
          </w:p>
        </w:tc>
      </w:tr>
      <w:tr w:rsidR="005858CD" w:rsidRPr="005858CD" w14:paraId="21C628E2" w14:textId="77777777" w:rsidTr="00873A6E">
        <w:trPr>
          <w:gridAfter w:val="1"/>
          <w:wAfter w:w="99" w:type="dxa"/>
          <w:trHeight w:val="86"/>
        </w:trPr>
        <w:tc>
          <w:tcPr>
            <w:tcW w:w="2232" w:type="dxa"/>
            <w:tcBorders>
              <w:top w:val="nil"/>
              <w:left w:val="nil"/>
              <w:bottom w:val="nil"/>
              <w:right w:val="nil"/>
            </w:tcBorders>
            <w:noWrap/>
          </w:tcPr>
          <w:p w14:paraId="5BFFE69D" w14:textId="77777777" w:rsidR="005858CD" w:rsidRPr="005858CD" w:rsidRDefault="005858CD" w:rsidP="008C041F">
            <w:pPr>
              <w:rPr>
                <w:rFonts w:ascii="Book Antiqua" w:eastAsia="Arial Unicode MS" w:hAnsi="Book Antiqua" w:cs="Arial"/>
                <w:sz w:val="20"/>
                <w:szCs w:val="20"/>
              </w:rPr>
            </w:pPr>
          </w:p>
        </w:tc>
        <w:tc>
          <w:tcPr>
            <w:tcW w:w="3548" w:type="dxa"/>
            <w:tcBorders>
              <w:top w:val="nil"/>
              <w:left w:val="nil"/>
              <w:bottom w:val="nil"/>
              <w:right w:val="nil"/>
            </w:tcBorders>
            <w:noWrap/>
            <w:vAlign w:val="bottom"/>
          </w:tcPr>
          <w:p w14:paraId="033EF83F" w14:textId="77777777" w:rsidR="005858CD" w:rsidRPr="005858CD" w:rsidRDefault="005858CD" w:rsidP="008C041F">
            <w:pPr>
              <w:rPr>
                <w:rFonts w:ascii="Book Antiqua" w:eastAsia="Arial Unicode MS" w:hAnsi="Book Antiqua" w:cs="Arial"/>
                <w:sz w:val="20"/>
                <w:szCs w:val="20"/>
              </w:rPr>
            </w:pPr>
          </w:p>
        </w:tc>
      </w:tr>
    </w:tbl>
    <w:p w14:paraId="4A1B2F15" w14:textId="77777777" w:rsidR="005858CD" w:rsidRPr="005858CD" w:rsidRDefault="005858CD" w:rsidP="008C041F">
      <w:pPr>
        <w:jc w:val="center"/>
        <w:rPr>
          <w:rFonts w:ascii="Arial" w:hAnsi="Arial" w:cs="Arial"/>
          <w:b/>
          <w:bCs/>
          <w:noProof/>
          <w:sz w:val="28"/>
          <w:szCs w:val="20"/>
        </w:rPr>
      </w:pPr>
    </w:p>
    <w:p w14:paraId="0FEA2654" w14:textId="77777777" w:rsidR="005858CD" w:rsidRPr="005858CD" w:rsidRDefault="005858CD" w:rsidP="008C041F">
      <w:pPr>
        <w:rPr>
          <w:rFonts w:ascii="Book Antiqua" w:hAnsi="Book Antiqua" w:cs="Arial"/>
          <w:b/>
          <w:bCs/>
          <w:noProof/>
          <w:sz w:val="22"/>
          <w:szCs w:val="22"/>
        </w:rPr>
      </w:pPr>
      <w:r w:rsidRPr="005858CD">
        <w:rPr>
          <w:rFonts w:ascii="Book Antiqua" w:hAnsi="Book Antiqua" w:cs="Arial"/>
          <w:b/>
          <w:bCs/>
          <w:noProof/>
          <w:sz w:val="22"/>
          <w:szCs w:val="22"/>
        </w:rPr>
        <w:t>I.Cooperativa</w:t>
      </w:r>
    </w:p>
    <w:p w14:paraId="24CD14FF" w14:textId="77777777" w:rsidR="005858CD" w:rsidRPr="005858CD" w:rsidRDefault="005858CD" w:rsidP="008C041F">
      <w:pPr>
        <w:rPr>
          <w:rFonts w:ascii="Book Antiqua" w:hAnsi="Book Antiqua" w:cs="Arial"/>
          <w:b/>
          <w:bCs/>
          <w:noProof/>
          <w:sz w:val="22"/>
          <w:szCs w:val="22"/>
        </w:rPr>
      </w:pPr>
    </w:p>
    <w:p w14:paraId="6AAB421E" w14:textId="77777777" w:rsidR="005858CD" w:rsidRPr="005858CD" w:rsidRDefault="005858CD" w:rsidP="008C041F">
      <w:pPr>
        <w:rPr>
          <w:rFonts w:ascii="Book Antiqua" w:hAnsi="Book Antiqua" w:cs="Arial"/>
          <w:b/>
          <w:bCs/>
          <w:noProof/>
          <w:sz w:val="20"/>
          <w:szCs w:val="20"/>
          <w:lang w:val="es-NI"/>
        </w:rPr>
      </w:pPr>
      <w:r w:rsidRPr="005858CD">
        <w:rPr>
          <w:rFonts w:ascii="Book Antiqua" w:hAnsi="Book Antiqua" w:cs="Arial"/>
          <w:b/>
          <w:bCs/>
          <w:noProof/>
          <w:sz w:val="20"/>
          <w:szCs w:val="20"/>
          <w:lang w:val="es-NI"/>
        </w:rPr>
        <w:t xml:space="preserve">1.1 Tiempo de ser socia de la cooperativa (años) </w:t>
      </w:r>
      <w:r w:rsidRPr="005858CD">
        <w:rPr>
          <w:rFonts w:ascii="Book Antiqua" w:hAnsi="Book Antiqua" w:cs="Arial"/>
          <w:b/>
          <w:bCs/>
          <w:noProof/>
          <w:sz w:val="20"/>
          <w:szCs w:val="20"/>
          <w:lang w:val="es-NI"/>
        </w:rPr>
        <w:tab/>
      </w:r>
      <w:r w:rsidRPr="005858CD">
        <w:rPr>
          <w:rFonts w:ascii="Book Antiqua" w:hAnsi="Book Antiqua" w:cs="Arial"/>
          <w:b/>
          <w:bCs/>
          <w:noProof/>
          <w:sz w:val="20"/>
          <w:szCs w:val="20"/>
          <w:lang w:val="es-NI"/>
        </w:rPr>
        <w:tab/>
        <w:t>1.2 Tiene o ha tenido cargos en la cooperativa:</w:t>
      </w:r>
    </w:p>
    <w:p w14:paraId="47145DAD" w14:textId="77777777" w:rsidR="005858CD" w:rsidRPr="005858CD" w:rsidRDefault="005858CD" w:rsidP="008C041F">
      <w:pPr>
        <w:rPr>
          <w:rFonts w:ascii="Book Antiqua" w:hAnsi="Book Antiqua" w:cs="Arial"/>
          <w:b/>
          <w:bCs/>
          <w:noProof/>
          <w:sz w:val="20"/>
          <w:szCs w:val="20"/>
          <w:lang w:val="es-NI"/>
        </w:rPr>
      </w:pPr>
      <w:r w:rsidRPr="005858CD">
        <w:rPr>
          <w:rFonts w:ascii="Book Antiqua" w:hAnsi="Book Antiqua" w:cs="Arial"/>
          <w:b/>
          <w:bCs/>
          <w:noProof/>
          <w:sz w:val="20"/>
          <w:szCs w:val="20"/>
          <w:lang w:eastAsia="en-GB"/>
        </w:rPr>
        <mc:AlternateContent>
          <mc:Choice Requires="wps">
            <w:drawing>
              <wp:anchor distT="0" distB="0" distL="114300" distR="114300" simplePos="0" relativeHeight="251664384" behindDoc="0" locked="0" layoutInCell="1" allowOverlap="1" wp14:anchorId="68A73B82" wp14:editId="72A2D200">
                <wp:simplePos x="0" y="0"/>
                <wp:positionH relativeFrom="column">
                  <wp:posOffset>3609340</wp:posOffset>
                </wp:positionH>
                <wp:positionV relativeFrom="paragraph">
                  <wp:posOffset>118110</wp:posOffset>
                </wp:positionV>
                <wp:extent cx="3223260" cy="533400"/>
                <wp:effectExtent l="8890" t="13335" r="6350" b="5715"/>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533400"/>
                        </a:xfrm>
                        <a:prstGeom prst="rect">
                          <a:avLst/>
                        </a:prstGeom>
                        <a:solidFill>
                          <a:srgbClr val="FFFFFF"/>
                        </a:solidFill>
                        <a:ln w="9525">
                          <a:solidFill>
                            <a:srgbClr val="000000"/>
                          </a:solidFill>
                          <a:miter lim="800000"/>
                          <a:headEnd/>
                          <a:tailEnd/>
                        </a:ln>
                      </wps:spPr>
                      <wps:txbx>
                        <w:txbxContent>
                          <w:p w14:paraId="2D507326"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Consejo de Administración</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Junta de vigilancia</w:t>
                            </w:r>
                          </w:p>
                          <w:p w14:paraId="025E4AC8"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Comisión de Educación</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Crédito</w:t>
                            </w:r>
                          </w:p>
                          <w:p w14:paraId="76678331"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Género</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Ninguno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73B82" id="Text Box 40" o:spid="_x0000_s1030" type="#_x0000_t202" style="position:absolute;margin-left:284.2pt;margin-top:9.3pt;width:253.8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">
                <v:textbox>
                  <w:txbxContent>
                    <w:p w14:paraId="2D507326"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Consejo de Administración</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Junta de vigilancia</w:t>
                      </w:r>
                    </w:p>
                    <w:p w14:paraId="025E4AC8"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Comisión de Educación</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Crédito</w:t>
                      </w:r>
                    </w:p>
                    <w:p w14:paraId="76678331"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Género</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Ninguno </w:t>
                      </w:r>
                    </w:p>
                  </w:txbxContent>
                </v:textbox>
              </v:shape>
            </w:pict>
          </mc:Fallback>
        </mc:AlternateContent>
      </w:r>
      <w:r w:rsidRPr="005858CD">
        <w:rPr>
          <w:rFonts w:ascii="Book Antiqua" w:hAnsi="Book Antiqua" w:cs="Arial"/>
          <w:b/>
          <w:bCs/>
          <w:noProof/>
          <w:sz w:val="20"/>
          <w:szCs w:val="20"/>
          <w:lang w:eastAsia="en-GB"/>
        </w:rPr>
        <mc:AlternateContent>
          <mc:Choice Requires="wps">
            <w:drawing>
              <wp:anchor distT="0" distB="0" distL="114300" distR="114300" simplePos="0" relativeHeight="251663360" behindDoc="0" locked="0" layoutInCell="1" allowOverlap="1" wp14:anchorId="6B5F39CA" wp14:editId="3F38FAE3">
                <wp:simplePos x="0" y="0"/>
                <wp:positionH relativeFrom="column">
                  <wp:posOffset>8890</wp:posOffset>
                </wp:positionH>
                <wp:positionV relativeFrom="paragraph">
                  <wp:posOffset>118110</wp:posOffset>
                </wp:positionV>
                <wp:extent cx="3223260" cy="247650"/>
                <wp:effectExtent l="8890" t="13335" r="6350" b="571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47650"/>
                        </a:xfrm>
                        <a:prstGeom prst="rect">
                          <a:avLst/>
                        </a:prstGeom>
                        <a:solidFill>
                          <a:srgbClr val="FFFFFF"/>
                        </a:solidFill>
                        <a:ln w="9525">
                          <a:solidFill>
                            <a:srgbClr val="000000"/>
                          </a:solidFill>
                          <a:miter lim="800000"/>
                          <a:headEnd/>
                          <a:tailEnd/>
                        </a:ln>
                      </wps:spPr>
                      <wps:txbx>
                        <w:txbxContent>
                          <w:p w14:paraId="7C20D2E7"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Individual  .... Menos 3 .... 3 a 5 .... 5 a 7 .... 7 a 10 .... Más </w:t>
                            </w:r>
                            <w:r>
                              <w:rPr>
                                <w:rFonts w:ascii="Book Antiqua" w:eastAsia="Arial Unicode MS" w:hAnsi="Book Antiqua" w:cs="Arial"/>
                                <w:sz w:val="18"/>
                                <w:szCs w:val="18"/>
                                <w:lang w:val="es-NI"/>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F39CA" id="Text Box 39" o:spid="_x0000_s1031" type="#_x0000_t202" style="position:absolute;margin-left:.7pt;margin-top:9.3pt;width:253.8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">
                <v:textbox>
                  <w:txbxContent>
                    <w:p w14:paraId="7C20D2E7"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Individual  .... Menos 3 .... 3 a 5 .... 5 a 7 .... 7 a 10 .... Más </w:t>
                      </w:r>
                      <w:r>
                        <w:rPr>
                          <w:rFonts w:ascii="Book Antiqua" w:eastAsia="Arial Unicode MS" w:hAnsi="Book Antiqua" w:cs="Arial"/>
                          <w:sz w:val="18"/>
                          <w:szCs w:val="18"/>
                          <w:lang w:val="es-NI"/>
                        </w:rPr>
                        <w:t>10</w:t>
                      </w:r>
                    </w:p>
                  </w:txbxContent>
                </v:textbox>
              </v:shape>
            </w:pict>
          </mc:Fallback>
        </mc:AlternateContent>
      </w:r>
    </w:p>
    <w:p w14:paraId="735A9B73" w14:textId="77777777" w:rsidR="005858CD" w:rsidRPr="005858CD" w:rsidRDefault="005858CD" w:rsidP="008C041F">
      <w:pPr>
        <w:rPr>
          <w:rFonts w:ascii="Book Antiqua" w:hAnsi="Book Antiqua" w:cs="Arial"/>
          <w:b/>
          <w:bCs/>
          <w:noProof/>
          <w:sz w:val="22"/>
          <w:szCs w:val="22"/>
          <w:lang w:val="es-NI"/>
        </w:rPr>
      </w:pPr>
    </w:p>
    <w:p w14:paraId="760A704D" w14:textId="77777777" w:rsidR="005858CD" w:rsidRPr="005858CD" w:rsidRDefault="005858CD" w:rsidP="008C041F">
      <w:pPr>
        <w:rPr>
          <w:rFonts w:ascii="Arial" w:hAnsi="Arial" w:cs="Arial"/>
          <w:b/>
          <w:bCs/>
          <w:noProof/>
          <w:sz w:val="28"/>
          <w:szCs w:val="20"/>
          <w:lang w:val="es-NI"/>
        </w:rPr>
      </w:pPr>
    </w:p>
    <w:p w14:paraId="09833EF9" w14:textId="77777777" w:rsidR="005858CD" w:rsidRPr="005858CD" w:rsidRDefault="005858CD" w:rsidP="008C041F">
      <w:pPr>
        <w:rPr>
          <w:rFonts w:ascii="Arial" w:hAnsi="Arial" w:cs="Arial"/>
          <w:b/>
          <w:bCs/>
          <w:noProof/>
          <w:sz w:val="28"/>
          <w:szCs w:val="20"/>
          <w:lang w:val="es-NI"/>
        </w:rPr>
      </w:pPr>
    </w:p>
    <w:p w14:paraId="0B1399D2" w14:textId="77777777" w:rsidR="005858CD" w:rsidRPr="005858CD" w:rsidRDefault="005858CD">
      <w:pPr>
        <w:rPr>
          <w:rFonts w:ascii="Book Antiqua" w:hAnsi="Book Antiqua" w:cs="Arial"/>
          <w:b/>
          <w:bCs/>
          <w:noProof/>
          <w:sz w:val="20"/>
          <w:szCs w:val="20"/>
          <w:lang w:val="es-NI"/>
        </w:rPr>
      </w:pPr>
      <w:r w:rsidRPr="005858CD">
        <w:rPr>
          <w:rFonts w:ascii="Book Antiqua" w:hAnsi="Book Antiqua" w:cs="Arial"/>
          <w:b/>
          <w:bCs/>
          <w:noProof/>
          <w:sz w:val="20"/>
          <w:szCs w:val="20"/>
          <w:lang w:val="es-NI"/>
        </w:rPr>
        <w:t>1.3 En los casos que si, qué posición</w:t>
      </w:r>
      <w:r w:rsidRPr="005858CD">
        <w:rPr>
          <w:rFonts w:ascii="Book Antiqua" w:hAnsi="Book Antiqua" w:cs="Arial"/>
          <w:b/>
          <w:bCs/>
          <w:noProof/>
          <w:sz w:val="20"/>
          <w:szCs w:val="20"/>
          <w:lang w:val="es-NI"/>
        </w:rPr>
        <w:tab/>
      </w:r>
      <w:r w:rsidRPr="005858CD">
        <w:rPr>
          <w:rFonts w:ascii="Book Antiqua" w:hAnsi="Book Antiqua" w:cs="Arial"/>
          <w:b/>
          <w:bCs/>
          <w:noProof/>
          <w:sz w:val="20"/>
          <w:szCs w:val="20"/>
          <w:lang w:val="es-NI"/>
        </w:rPr>
        <w:tab/>
      </w:r>
      <w:r w:rsidRPr="005858CD">
        <w:rPr>
          <w:rFonts w:ascii="Book Antiqua" w:hAnsi="Book Antiqua" w:cs="Arial"/>
          <w:b/>
          <w:bCs/>
          <w:noProof/>
          <w:sz w:val="20"/>
          <w:szCs w:val="20"/>
          <w:lang w:val="es-NI"/>
        </w:rPr>
        <w:tab/>
      </w:r>
      <w:r w:rsidRPr="005858CD">
        <w:rPr>
          <w:rFonts w:ascii="Book Antiqua" w:hAnsi="Book Antiqua" w:cs="Arial"/>
          <w:b/>
          <w:bCs/>
          <w:noProof/>
          <w:sz w:val="20"/>
          <w:szCs w:val="20"/>
          <w:lang w:val="es-NI"/>
        </w:rPr>
        <w:tab/>
        <w:t>1.4 Aspira a tener cargos en la cooperativa:</w:t>
      </w:r>
    </w:p>
    <w:p w14:paraId="0A00CC15" w14:textId="77777777" w:rsidR="005858CD" w:rsidRPr="005858CD" w:rsidRDefault="005858CD">
      <w:pPr>
        <w:rPr>
          <w:rFonts w:ascii="Arial" w:hAnsi="Arial" w:cs="Arial"/>
          <w:b/>
          <w:bCs/>
          <w:noProof/>
          <w:sz w:val="28"/>
          <w:szCs w:val="20"/>
          <w:lang w:val="es-NI"/>
        </w:rPr>
      </w:pPr>
      <w:r w:rsidRPr="005858CD">
        <w:rPr>
          <w:rFonts w:ascii="Arial" w:hAnsi="Arial" w:cs="Arial"/>
          <w:b/>
          <w:bCs/>
          <w:noProof/>
          <w:sz w:val="28"/>
          <w:szCs w:val="20"/>
          <w:lang w:eastAsia="en-GB"/>
        </w:rPr>
        <mc:AlternateContent>
          <mc:Choice Requires="wps">
            <w:drawing>
              <wp:anchor distT="0" distB="0" distL="114300" distR="114300" simplePos="0" relativeHeight="251666432" behindDoc="0" locked="0" layoutInCell="1" allowOverlap="1" wp14:anchorId="07FD9DBA" wp14:editId="27989215">
                <wp:simplePos x="0" y="0"/>
                <wp:positionH relativeFrom="column">
                  <wp:posOffset>3609340</wp:posOffset>
                </wp:positionH>
                <wp:positionV relativeFrom="paragraph">
                  <wp:posOffset>68580</wp:posOffset>
                </wp:positionV>
                <wp:extent cx="3223260" cy="533400"/>
                <wp:effectExtent l="8890" t="11430" r="6350" b="7620"/>
                <wp:wrapNone/>
                <wp:docPr id="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533400"/>
                        </a:xfrm>
                        <a:prstGeom prst="rect">
                          <a:avLst/>
                        </a:prstGeom>
                        <a:solidFill>
                          <a:srgbClr val="FFFFFF"/>
                        </a:solidFill>
                        <a:ln w="9525">
                          <a:solidFill>
                            <a:srgbClr val="000000"/>
                          </a:solidFill>
                          <a:miter lim="800000"/>
                          <a:headEnd/>
                          <a:tailEnd/>
                        </a:ln>
                      </wps:spPr>
                      <wps:txbx>
                        <w:txbxContent>
                          <w:p w14:paraId="1247F29D"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Consejo de Administración</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Junta de vigilancia</w:t>
                            </w:r>
                          </w:p>
                          <w:p w14:paraId="6D332CE7"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Comisión de Educación</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Crédito</w:t>
                            </w:r>
                          </w:p>
                          <w:p w14:paraId="5F4E78C7"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Género</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Ninguno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D9DBA" id="Text Box 42" o:spid="_x0000_s1032" type="#_x0000_t202" style="position:absolute;margin-left:284.2pt;margin-top:5.4pt;width:253.8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">
                <v:textbox>
                  <w:txbxContent>
                    <w:p w14:paraId="1247F29D"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Consejo de Administración</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Junta de vigilancia</w:t>
                      </w:r>
                    </w:p>
                    <w:p w14:paraId="6D332CE7"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Comisión de Educación</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Crédito</w:t>
                      </w:r>
                    </w:p>
                    <w:p w14:paraId="5F4E78C7"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Comité de Género</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Ninguno </w:t>
                      </w:r>
                    </w:p>
                  </w:txbxContent>
                </v:textbox>
              </v:shape>
            </w:pict>
          </mc:Fallback>
        </mc:AlternateContent>
      </w:r>
      <w:r w:rsidRPr="005858CD">
        <w:rPr>
          <w:rFonts w:ascii="Arial" w:hAnsi="Arial" w:cs="Arial"/>
          <w:b/>
          <w:bCs/>
          <w:noProof/>
          <w:sz w:val="28"/>
          <w:szCs w:val="20"/>
          <w:lang w:eastAsia="en-GB"/>
        </w:rPr>
        <mc:AlternateContent>
          <mc:Choice Requires="wps">
            <w:drawing>
              <wp:anchor distT="0" distB="0" distL="114300" distR="114300" simplePos="0" relativeHeight="251665408" behindDoc="0" locked="0" layoutInCell="1" allowOverlap="1" wp14:anchorId="2328FB3C" wp14:editId="763AEAD6">
                <wp:simplePos x="0" y="0"/>
                <wp:positionH relativeFrom="column">
                  <wp:posOffset>8890</wp:posOffset>
                </wp:positionH>
                <wp:positionV relativeFrom="paragraph">
                  <wp:posOffset>123825</wp:posOffset>
                </wp:positionV>
                <wp:extent cx="3223260" cy="390525"/>
                <wp:effectExtent l="8890" t="9525" r="6350" b="9525"/>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90525"/>
                        </a:xfrm>
                        <a:prstGeom prst="rect">
                          <a:avLst/>
                        </a:prstGeom>
                        <a:solidFill>
                          <a:srgbClr val="FFFFFF"/>
                        </a:solidFill>
                        <a:ln w="9525">
                          <a:solidFill>
                            <a:srgbClr val="000000"/>
                          </a:solidFill>
                          <a:miter lim="800000"/>
                          <a:headEnd/>
                          <a:tailEnd/>
                        </a:ln>
                      </wps:spPr>
                      <wps:txbx>
                        <w:txbxContent>
                          <w:p w14:paraId="607C42A2"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Vice 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Secretaria</w:t>
                            </w:r>
                          </w:p>
                          <w:p w14:paraId="1A15209D"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Tesorera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Coordinadora</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Vocal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8FB3C" id="Text Box 41" o:spid="_x0000_s1033" type="#_x0000_t202" style="position:absolute;margin-left:.7pt;margin-top:9.75pt;width:253.8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">
                <v:textbox>
                  <w:txbxContent>
                    <w:p w14:paraId="607C42A2"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Vice 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Secretaria</w:t>
                      </w:r>
                    </w:p>
                    <w:p w14:paraId="1A15209D"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Tesorera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Coordinadora</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Vocal </w:t>
                      </w:r>
                    </w:p>
                  </w:txbxContent>
                </v:textbox>
              </v:shape>
            </w:pict>
          </mc:Fallback>
        </mc:AlternateContent>
      </w:r>
    </w:p>
    <w:p w14:paraId="5BA1FD58" w14:textId="77777777" w:rsidR="005858CD" w:rsidRPr="005858CD" w:rsidRDefault="005858CD">
      <w:pPr>
        <w:rPr>
          <w:rFonts w:ascii="Arial" w:hAnsi="Arial" w:cs="Arial"/>
          <w:b/>
          <w:bCs/>
          <w:noProof/>
          <w:sz w:val="28"/>
          <w:szCs w:val="20"/>
          <w:lang w:val="es-NI"/>
        </w:rPr>
      </w:pPr>
    </w:p>
    <w:p w14:paraId="70811040" w14:textId="77777777" w:rsidR="005858CD" w:rsidRPr="005858CD" w:rsidRDefault="005858CD">
      <w:pPr>
        <w:rPr>
          <w:rFonts w:ascii="Arial" w:hAnsi="Arial" w:cs="Arial"/>
          <w:b/>
          <w:bCs/>
          <w:noProof/>
          <w:sz w:val="28"/>
          <w:szCs w:val="20"/>
          <w:lang w:val="es-NI"/>
        </w:rPr>
      </w:pPr>
    </w:p>
    <w:p w14:paraId="22596E0C" w14:textId="77777777" w:rsidR="005858CD" w:rsidRPr="005858CD" w:rsidRDefault="005858CD">
      <w:pPr>
        <w:rPr>
          <w:rFonts w:ascii="Arial" w:hAnsi="Arial" w:cs="Arial"/>
          <w:b/>
          <w:bCs/>
          <w:noProof/>
          <w:sz w:val="28"/>
          <w:szCs w:val="20"/>
          <w:lang w:val="es-NI"/>
        </w:rPr>
      </w:pPr>
    </w:p>
    <w:p w14:paraId="5BDF9381" w14:textId="77777777" w:rsidR="005858CD" w:rsidRPr="005858CD" w:rsidRDefault="005858CD">
      <w:pPr>
        <w:rPr>
          <w:rFonts w:ascii="Book Antiqua" w:hAnsi="Book Antiqua" w:cs="Arial"/>
          <w:b/>
          <w:bCs/>
          <w:noProof/>
          <w:sz w:val="20"/>
          <w:szCs w:val="20"/>
          <w:lang w:val="es-NI"/>
        </w:rPr>
      </w:pPr>
      <w:r w:rsidRPr="005858CD">
        <w:rPr>
          <w:rFonts w:ascii="Book Antiqua" w:hAnsi="Book Antiqua" w:cs="Arial"/>
          <w:b/>
          <w:bCs/>
          <w:noProof/>
          <w:sz w:val="20"/>
          <w:szCs w:val="20"/>
          <w:lang w:eastAsia="en-GB"/>
        </w:rPr>
        <mc:AlternateContent>
          <mc:Choice Requires="wps">
            <w:drawing>
              <wp:anchor distT="0" distB="0" distL="114300" distR="114300" simplePos="0" relativeHeight="251667456" behindDoc="0" locked="0" layoutInCell="1" allowOverlap="1" wp14:anchorId="4D4FFCDE" wp14:editId="10A4A47F">
                <wp:simplePos x="0" y="0"/>
                <wp:positionH relativeFrom="column">
                  <wp:posOffset>8890</wp:posOffset>
                </wp:positionH>
                <wp:positionV relativeFrom="paragraph">
                  <wp:posOffset>280035</wp:posOffset>
                </wp:positionV>
                <wp:extent cx="3223260" cy="247650"/>
                <wp:effectExtent l="8890" t="13335" r="6350" b="571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47650"/>
                        </a:xfrm>
                        <a:prstGeom prst="rect">
                          <a:avLst/>
                        </a:prstGeom>
                        <a:solidFill>
                          <a:srgbClr val="FFFFFF"/>
                        </a:solidFill>
                        <a:ln w="9525">
                          <a:solidFill>
                            <a:srgbClr val="000000"/>
                          </a:solidFill>
                          <a:miter lim="800000"/>
                          <a:headEnd/>
                          <a:tailEnd/>
                        </a:ln>
                      </wps:spPr>
                      <wps:txbx>
                        <w:txbxContent>
                          <w:p w14:paraId="3790DFC2"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I</w:t>
                            </w:r>
                            <w:r>
                              <w:rPr>
                                <w:rFonts w:ascii="Book Antiqua" w:eastAsia="Arial Unicode MS" w:hAnsi="Book Antiqua" w:cs="Arial"/>
                                <w:sz w:val="18"/>
                                <w:szCs w:val="18"/>
                                <w:lang w:val="es-NI"/>
                              </w:rPr>
                              <w:t>ndividual</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Menos 3</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3 a 5 </w:t>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5 a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FFCDE" id="Text Box 43" o:spid="_x0000_s1034" type="#_x0000_t202" style="position:absolute;margin-left:.7pt;margin-top:22.05pt;width:253.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OrLwIAAFk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">
                <v:textbox>
                  <w:txbxContent>
                    <w:p w14:paraId="3790DFC2"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I</w:t>
                      </w:r>
                      <w:r>
                        <w:rPr>
                          <w:rFonts w:ascii="Book Antiqua" w:eastAsia="Arial Unicode MS" w:hAnsi="Book Antiqua" w:cs="Arial"/>
                          <w:sz w:val="18"/>
                          <w:szCs w:val="18"/>
                          <w:lang w:val="es-NI"/>
                        </w:rPr>
                        <w:t>ndividual</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Menos 3</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 xml:space="preserve">3 a 5 </w:t>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5 a 7</w:t>
                      </w:r>
                    </w:p>
                  </w:txbxContent>
                </v:textbox>
              </v:shape>
            </w:pict>
          </mc:Fallback>
        </mc:AlternateContent>
      </w:r>
      <w:r w:rsidRPr="005858CD">
        <w:rPr>
          <w:rFonts w:ascii="Book Antiqua" w:hAnsi="Book Antiqua" w:cs="Arial"/>
          <w:b/>
          <w:bCs/>
          <w:noProof/>
          <w:sz w:val="20"/>
          <w:szCs w:val="20"/>
          <w:lang w:val="es-NI"/>
        </w:rPr>
        <w:t>1.5 Tiempo de ser miembra de la iniciativa (años)</w:t>
      </w:r>
      <w:r w:rsidRPr="005858CD">
        <w:rPr>
          <w:rFonts w:ascii="Book Antiqua" w:hAnsi="Book Antiqua" w:cs="Arial"/>
          <w:b/>
          <w:bCs/>
          <w:noProof/>
          <w:sz w:val="20"/>
          <w:szCs w:val="20"/>
          <w:lang w:val="es-NI"/>
        </w:rPr>
        <w:tab/>
      </w:r>
      <w:r w:rsidRPr="005858CD">
        <w:rPr>
          <w:rFonts w:ascii="Book Antiqua" w:hAnsi="Book Antiqua" w:cs="Arial"/>
          <w:b/>
          <w:bCs/>
          <w:noProof/>
          <w:sz w:val="20"/>
          <w:szCs w:val="20"/>
          <w:lang w:val="es-NI"/>
        </w:rPr>
        <w:tab/>
        <w:t>1.6 Cargos en la iniciativa</w:t>
      </w:r>
    </w:p>
    <w:p w14:paraId="2B2AB134" w14:textId="77777777" w:rsidR="005858CD" w:rsidRPr="005858CD" w:rsidRDefault="005858CD">
      <w:pPr>
        <w:rPr>
          <w:rFonts w:ascii="Book Antiqua" w:hAnsi="Book Antiqua" w:cs="Arial"/>
          <w:b/>
          <w:bCs/>
          <w:noProof/>
          <w:sz w:val="20"/>
          <w:szCs w:val="20"/>
          <w:lang w:val="es-NI"/>
        </w:rPr>
        <w:sectPr w:rsidR="005858CD" w:rsidRPr="005858CD" w:rsidSect="00293176">
          <w:footnotePr>
            <w:numRestart w:val="eachSect"/>
          </w:footnotePr>
          <w:pgSz w:w="16839" w:h="11907" w:orient="landscape" w:code="9"/>
          <w:pgMar w:top="1440" w:right="1440" w:bottom="2160" w:left="1440" w:header="706" w:footer="706" w:gutter="0"/>
          <w:cols w:space="708"/>
          <w:docGrid w:linePitch="360"/>
        </w:sectPr>
      </w:pPr>
      <w:r w:rsidRPr="005858CD">
        <w:rPr>
          <w:rFonts w:ascii="Book Antiqua" w:hAnsi="Book Antiqua" w:cs="Arial"/>
          <w:b/>
          <w:bCs/>
          <w:noProof/>
          <w:sz w:val="20"/>
          <w:szCs w:val="20"/>
          <w:lang w:eastAsia="en-GB"/>
        </w:rPr>
        <mc:AlternateContent>
          <mc:Choice Requires="wps">
            <w:drawing>
              <wp:anchor distT="0" distB="0" distL="114300" distR="114300" simplePos="0" relativeHeight="251668480" behindDoc="0" locked="0" layoutInCell="1" allowOverlap="1" wp14:anchorId="1747596E" wp14:editId="273E9AC4">
                <wp:simplePos x="0" y="0"/>
                <wp:positionH relativeFrom="column">
                  <wp:posOffset>3609340</wp:posOffset>
                </wp:positionH>
                <wp:positionV relativeFrom="paragraph">
                  <wp:posOffset>126365</wp:posOffset>
                </wp:positionV>
                <wp:extent cx="3223260" cy="390525"/>
                <wp:effectExtent l="8890" t="12065" r="6350" b="6985"/>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90525"/>
                        </a:xfrm>
                        <a:prstGeom prst="rect">
                          <a:avLst/>
                        </a:prstGeom>
                        <a:solidFill>
                          <a:srgbClr val="FFFFFF"/>
                        </a:solidFill>
                        <a:ln w="9525">
                          <a:solidFill>
                            <a:srgbClr val="000000"/>
                          </a:solidFill>
                          <a:miter lim="800000"/>
                          <a:headEnd/>
                          <a:tailEnd/>
                        </a:ln>
                      </wps:spPr>
                      <wps:txbx>
                        <w:txbxContent>
                          <w:p w14:paraId="4BE4DC35"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Vice 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Secretaria</w:t>
                            </w:r>
                          </w:p>
                          <w:p w14:paraId="25E0C914"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Tesorera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Vocal</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Ninguno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7596E" id="Text Box 44" o:spid="_x0000_s1035" type="#_x0000_t202" style="position:absolute;margin-left:284.2pt;margin-top:9.95pt;width:253.8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">
                <v:textbox>
                  <w:txbxContent>
                    <w:p w14:paraId="4BE4DC35" w14:textId="77777777" w:rsidR="00A96CF7" w:rsidRDefault="00A96CF7" w:rsidP="005858CD">
                      <w:pPr>
                        <w:rPr>
                          <w:rFonts w:ascii="Book Antiqua" w:eastAsia="Arial Unicode MS" w:hAnsi="Book Antiqua" w:cs="Arial"/>
                          <w:sz w:val="18"/>
                          <w:szCs w:val="18"/>
                          <w:lang w:val="es-NI"/>
                        </w:rPr>
                      </w:pPr>
                      <w:r w:rsidRPr="0053401F">
                        <w:rPr>
                          <w:rFonts w:ascii="Book Antiqua" w:eastAsia="Arial Unicode MS" w:hAnsi="Book Antiqua" w:cs="Arial"/>
                          <w:sz w:val="18"/>
                          <w:szCs w:val="18"/>
                          <w:lang w:val="es-NI"/>
                        </w:rPr>
                        <w:t xml:space="preserve">.... </w:t>
                      </w:r>
                      <w:r>
                        <w:rPr>
                          <w:rFonts w:ascii="Book Antiqua" w:eastAsia="Arial Unicode MS" w:hAnsi="Book Antiqua" w:cs="Arial"/>
                          <w:sz w:val="18"/>
                          <w:szCs w:val="18"/>
                          <w:lang w:val="es-NI"/>
                        </w:rPr>
                        <w:t>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Vice presidenta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Secretaria</w:t>
                      </w:r>
                    </w:p>
                    <w:p w14:paraId="25E0C914" w14:textId="77777777" w:rsidR="00A96CF7" w:rsidRPr="0053401F" w:rsidRDefault="00A96CF7" w:rsidP="005858CD">
                      <w:pPr>
                        <w:rPr>
                          <w:rFonts w:ascii="Book Antiqua" w:hAnsi="Book Antiqua"/>
                          <w:sz w:val="18"/>
                          <w:szCs w:val="18"/>
                          <w:lang w:val="es-NI"/>
                        </w:rPr>
                      </w:pP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Tesorera</w:t>
                      </w:r>
                      <w:r>
                        <w:rPr>
                          <w:rFonts w:ascii="Book Antiqua" w:eastAsia="Arial Unicode MS" w:hAnsi="Book Antiqua" w:cs="Arial"/>
                          <w:sz w:val="18"/>
                          <w:szCs w:val="18"/>
                          <w:lang w:val="es-NI"/>
                        </w:rPr>
                        <w:tab/>
                      </w:r>
                      <w:r w:rsidRPr="0053401F">
                        <w:rPr>
                          <w:rFonts w:ascii="Book Antiqua" w:eastAsia="Arial Unicode MS" w:hAnsi="Book Antiqua" w:cs="Arial"/>
                          <w:sz w:val="18"/>
                          <w:szCs w:val="18"/>
                          <w:lang w:val="es-NI"/>
                        </w:rPr>
                        <w:t xml:space="preserve"> .... </w:t>
                      </w:r>
                      <w:r>
                        <w:rPr>
                          <w:rFonts w:ascii="Book Antiqua" w:eastAsia="Arial Unicode MS" w:hAnsi="Book Antiqua" w:cs="Arial"/>
                          <w:sz w:val="18"/>
                          <w:szCs w:val="18"/>
                          <w:lang w:val="es-NI"/>
                        </w:rPr>
                        <w:t>Vocal</w:t>
                      </w:r>
                      <w:r>
                        <w:rPr>
                          <w:rFonts w:ascii="Book Antiqua" w:eastAsia="Arial Unicode MS" w:hAnsi="Book Antiqua" w:cs="Arial"/>
                          <w:sz w:val="18"/>
                          <w:szCs w:val="18"/>
                          <w:lang w:val="es-NI"/>
                        </w:rPr>
                        <w:tab/>
                      </w:r>
                      <w:r>
                        <w:rPr>
                          <w:rFonts w:ascii="Book Antiqua" w:eastAsia="Arial Unicode MS" w:hAnsi="Book Antiqua" w:cs="Arial"/>
                          <w:sz w:val="18"/>
                          <w:szCs w:val="18"/>
                          <w:lang w:val="es-NI"/>
                        </w:rPr>
                        <w:tab/>
                        <w:t xml:space="preserve"> </w:t>
                      </w:r>
                      <w:r w:rsidRPr="0053401F">
                        <w:rPr>
                          <w:rFonts w:ascii="Book Antiqua" w:eastAsia="Arial Unicode MS" w:hAnsi="Book Antiqua" w:cs="Arial"/>
                          <w:sz w:val="18"/>
                          <w:szCs w:val="18"/>
                          <w:lang w:val="es-NI"/>
                        </w:rPr>
                        <w:t>....</w:t>
                      </w:r>
                      <w:r>
                        <w:rPr>
                          <w:rFonts w:ascii="Book Antiqua" w:eastAsia="Arial Unicode MS" w:hAnsi="Book Antiqua" w:cs="Arial"/>
                          <w:sz w:val="18"/>
                          <w:szCs w:val="18"/>
                          <w:lang w:val="es-NI"/>
                        </w:rPr>
                        <w:t xml:space="preserve"> Ninguno </w:t>
                      </w:r>
                    </w:p>
                  </w:txbxContent>
                </v:textbox>
              </v:shape>
            </w:pict>
          </mc:Fallback>
        </mc:AlternateContent>
      </w:r>
      <w:r w:rsidRPr="005858CD">
        <w:rPr>
          <w:rFonts w:ascii="Book Antiqua" w:hAnsi="Book Antiqua" w:cs="Arial"/>
          <w:b/>
          <w:bCs/>
          <w:noProof/>
          <w:sz w:val="20"/>
          <w:szCs w:val="20"/>
          <w:lang w:val="es-NI"/>
        </w:rPr>
        <w:tab/>
      </w:r>
    </w:p>
    <w:p w14:paraId="1FDCDC9A" w14:textId="77777777" w:rsidR="005858CD" w:rsidRPr="005858CD" w:rsidRDefault="005858CD">
      <w:pPr>
        <w:rPr>
          <w:rFonts w:ascii="Book Antiqua" w:hAnsi="Book Antiqua" w:cs="Arial"/>
          <w:b/>
          <w:bCs/>
          <w:color w:val="000000"/>
          <w:sz w:val="18"/>
          <w:szCs w:val="18"/>
          <w:u w:val="single"/>
          <w:lang w:val="es-NI"/>
        </w:rPr>
      </w:pPr>
      <w:r w:rsidRPr="005858CD">
        <w:rPr>
          <w:rFonts w:ascii="Book Antiqua" w:hAnsi="Book Antiqua" w:cs="Arial"/>
          <w:b/>
          <w:bCs/>
          <w:color w:val="000000"/>
          <w:sz w:val="18"/>
          <w:szCs w:val="18"/>
          <w:u w:val="single"/>
          <w:lang w:val="es-NI"/>
        </w:rPr>
        <w:t>2) Lista de personas que habitan el hogar</w:t>
      </w:r>
    </w:p>
    <w:p w14:paraId="7707C913" w14:textId="77777777" w:rsidR="005858CD" w:rsidRPr="005858CD" w:rsidRDefault="005858CD">
      <w:pPr>
        <w:rPr>
          <w:rFonts w:ascii="Book Antiqua" w:hAnsi="Book Antiqua" w:cs="Arial"/>
          <w:b/>
          <w:bCs/>
          <w:color w:val="000000"/>
          <w:sz w:val="18"/>
          <w:szCs w:val="18"/>
          <w:lang w:val="es-NI"/>
        </w:rPr>
      </w:pPr>
      <w:r w:rsidRPr="005858CD">
        <w:rPr>
          <w:rFonts w:ascii="Book Antiqua" w:hAnsi="Book Antiqua" w:cs="Arial"/>
          <w:b/>
          <w:bCs/>
          <w:color w:val="000000"/>
          <w:sz w:val="18"/>
          <w:szCs w:val="18"/>
          <w:lang w:val="es-NI"/>
        </w:rPr>
        <w:t>Se incluyen personas que hayan permanecido en algún momento en el hogar, al menos 4 noches por semana:</w:t>
      </w:r>
    </w:p>
    <w:p w14:paraId="00B9C289" w14:textId="77777777" w:rsidR="005858CD" w:rsidRPr="005858CD" w:rsidRDefault="005858CD">
      <w:pPr>
        <w:rPr>
          <w:rFonts w:ascii="Arial" w:hAnsi="Arial" w:cs="Arial"/>
          <w:i/>
          <w:sz w:val="18"/>
          <w:szCs w:val="18"/>
          <w:lang w:val="es-NI"/>
        </w:rPr>
      </w:pPr>
      <w:r w:rsidRPr="005858CD">
        <w:rPr>
          <w:rFonts w:ascii="Book Antiqua" w:hAnsi="Book Antiqua" w:cs="Arial"/>
          <w:bCs/>
          <w:i/>
          <w:color w:val="000000"/>
          <w:sz w:val="18"/>
          <w:szCs w:val="18"/>
          <w:lang w:val="es-NI"/>
        </w:rPr>
        <w:t>(Se incluyen las personas que hayan permanecido en algún momento durante los últimos 30 días o más)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
        <w:gridCol w:w="87"/>
        <w:gridCol w:w="510"/>
        <w:gridCol w:w="1078"/>
        <w:gridCol w:w="1572"/>
        <w:gridCol w:w="774"/>
        <w:gridCol w:w="1086"/>
        <w:gridCol w:w="1598"/>
        <w:gridCol w:w="32"/>
        <w:gridCol w:w="1855"/>
        <w:gridCol w:w="1767"/>
        <w:gridCol w:w="1308"/>
        <w:gridCol w:w="1205"/>
      </w:tblGrid>
      <w:tr w:rsidR="005858CD" w:rsidRPr="005858CD" w14:paraId="23E0C4F7" w14:textId="77777777" w:rsidTr="00873A6E">
        <w:trPr>
          <w:gridBefore w:val="2"/>
          <w:gridAfter w:val="3"/>
          <w:wBefore w:w="161" w:type="pct"/>
          <w:wAfter w:w="1620" w:type="pct"/>
          <w:trHeight w:val="349"/>
        </w:trPr>
        <w:tc>
          <w:tcPr>
            <w:tcW w:w="193" w:type="pct"/>
            <w:tcBorders>
              <w:top w:val="single" w:sz="12" w:space="0" w:color="auto"/>
              <w:left w:val="single" w:sz="12" w:space="0" w:color="auto"/>
              <w:bottom w:val="single" w:sz="12" w:space="0" w:color="auto"/>
            </w:tcBorders>
          </w:tcPr>
          <w:p w14:paraId="7168B325"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2.1</w:t>
            </w:r>
          </w:p>
        </w:tc>
        <w:tc>
          <w:tcPr>
            <w:tcW w:w="2312" w:type="pct"/>
            <w:gridSpan w:val="5"/>
            <w:tcBorders>
              <w:top w:val="single" w:sz="12" w:space="0" w:color="auto"/>
              <w:bottom w:val="single" w:sz="12" w:space="0" w:color="auto"/>
            </w:tcBorders>
          </w:tcPr>
          <w:p w14:paraId="58AD872E" w14:textId="77777777" w:rsidR="005858CD" w:rsidRPr="005858CD" w:rsidRDefault="005858CD">
            <w:pPr>
              <w:rPr>
                <w:rFonts w:ascii="Book Antiqua" w:hAnsi="Book Antiqua" w:cs="Arial"/>
                <w:b/>
                <w:sz w:val="16"/>
                <w:szCs w:val="16"/>
                <w:lang w:val="es-NI"/>
              </w:rPr>
            </w:pPr>
            <w:r w:rsidRPr="005858CD">
              <w:rPr>
                <w:rFonts w:ascii="Book Antiqua" w:hAnsi="Book Antiqua" w:cs="Arial"/>
                <w:b/>
                <w:sz w:val="16"/>
                <w:szCs w:val="16"/>
                <w:lang w:val="es-NI"/>
              </w:rPr>
              <w:t>Cuántas personas viven en su hogar?</w:t>
            </w:r>
          </w:p>
        </w:tc>
        <w:tc>
          <w:tcPr>
            <w:tcW w:w="714" w:type="pct"/>
            <w:gridSpan w:val="2"/>
            <w:tcBorders>
              <w:top w:val="single" w:sz="12" w:space="0" w:color="auto"/>
              <w:bottom w:val="single" w:sz="12" w:space="0" w:color="auto"/>
              <w:right w:val="single" w:sz="12" w:space="0" w:color="auto"/>
            </w:tcBorders>
          </w:tcPr>
          <w:p w14:paraId="1427D4F1" w14:textId="77777777" w:rsidR="005858CD" w:rsidRPr="005858CD" w:rsidRDefault="005858CD">
            <w:pPr>
              <w:rPr>
                <w:rFonts w:ascii="Book Antiqua" w:hAnsi="Book Antiqua" w:cs="Arial"/>
                <w:b/>
                <w:bCs/>
                <w:sz w:val="16"/>
                <w:szCs w:val="16"/>
                <w:lang w:val="es-NI"/>
              </w:rPr>
            </w:pPr>
          </w:p>
          <w:p w14:paraId="5720E43C"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|__|__|</w:t>
            </w:r>
          </w:p>
        </w:tc>
      </w:tr>
      <w:tr w:rsidR="005858CD" w:rsidRPr="005858CD" w14:paraId="1334C162"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val="152"/>
        </w:trPr>
        <w:tc>
          <w:tcPr>
            <w:tcW w:w="128" w:type="pct"/>
            <w:tcBorders>
              <w:top w:val="single" w:sz="12" w:space="0" w:color="auto"/>
              <w:left w:val="single" w:sz="12" w:space="0" w:color="auto"/>
              <w:bottom w:val="single" w:sz="4" w:space="0" w:color="auto"/>
              <w:right w:val="single" w:sz="8" w:space="0" w:color="auto"/>
            </w:tcBorders>
            <w:noWrap/>
          </w:tcPr>
          <w:p w14:paraId="00F0F22E"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No</w:t>
            </w:r>
          </w:p>
        </w:tc>
        <w:tc>
          <w:tcPr>
            <w:tcW w:w="634" w:type="pct"/>
            <w:gridSpan w:val="3"/>
            <w:tcBorders>
              <w:top w:val="single" w:sz="12" w:space="0" w:color="auto"/>
              <w:left w:val="single" w:sz="8" w:space="0" w:color="auto"/>
              <w:bottom w:val="single" w:sz="4" w:space="0" w:color="auto"/>
              <w:right w:val="single" w:sz="8" w:space="0" w:color="auto"/>
            </w:tcBorders>
          </w:tcPr>
          <w:p w14:paraId="368775E6" w14:textId="77777777" w:rsidR="005858CD" w:rsidRPr="005858CD" w:rsidRDefault="005858CD" w:rsidP="008C041F">
            <w:pPr>
              <w:rPr>
                <w:rFonts w:ascii="Book Antiqua" w:hAnsi="Book Antiqua" w:cs="Arial"/>
                <w:sz w:val="16"/>
                <w:szCs w:val="16"/>
              </w:rPr>
            </w:pPr>
            <w:r w:rsidRPr="005858CD">
              <w:rPr>
                <w:rFonts w:ascii="Book Antiqua" w:hAnsi="Book Antiqua" w:cs="Arial"/>
                <w:bCs/>
                <w:sz w:val="16"/>
                <w:szCs w:val="16"/>
              </w:rPr>
              <w:t xml:space="preserve">2.2                                   </w:t>
            </w:r>
          </w:p>
        </w:tc>
        <w:tc>
          <w:tcPr>
            <w:tcW w:w="595" w:type="pct"/>
            <w:tcBorders>
              <w:top w:val="single" w:sz="12" w:space="0" w:color="auto"/>
              <w:left w:val="single" w:sz="8" w:space="0" w:color="auto"/>
              <w:bottom w:val="single" w:sz="4" w:space="0" w:color="auto"/>
              <w:right w:val="single" w:sz="8" w:space="0" w:color="auto"/>
            </w:tcBorders>
          </w:tcPr>
          <w:p w14:paraId="05C2D253"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 xml:space="preserve">2.3                      </w:t>
            </w:r>
          </w:p>
        </w:tc>
        <w:tc>
          <w:tcPr>
            <w:tcW w:w="293" w:type="pct"/>
            <w:tcBorders>
              <w:top w:val="single" w:sz="12" w:space="0" w:color="auto"/>
              <w:left w:val="single" w:sz="8" w:space="0" w:color="auto"/>
              <w:bottom w:val="single" w:sz="4" w:space="0" w:color="auto"/>
              <w:right w:val="single" w:sz="8" w:space="0" w:color="auto"/>
            </w:tcBorders>
          </w:tcPr>
          <w:p w14:paraId="1E0B69F6"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2.4</w:t>
            </w:r>
          </w:p>
        </w:tc>
        <w:tc>
          <w:tcPr>
            <w:tcW w:w="411" w:type="pct"/>
            <w:tcBorders>
              <w:top w:val="single" w:sz="12" w:space="0" w:color="auto"/>
              <w:left w:val="single" w:sz="8" w:space="0" w:color="auto"/>
              <w:bottom w:val="single" w:sz="4" w:space="0" w:color="auto"/>
              <w:right w:val="single" w:sz="8" w:space="0" w:color="auto"/>
            </w:tcBorders>
            <w:noWrap/>
          </w:tcPr>
          <w:p w14:paraId="36ECB17F"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2.5</w:t>
            </w:r>
          </w:p>
        </w:tc>
        <w:tc>
          <w:tcPr>
            <w:tcW w:w="617" w:type="pct"/>
            <w:gridSpan w:val="2"/>
            <w:tcBorders>
              <w:top w:val="single" w:sz="12" w:space="0" w:color="auto"/>
              <w:left w:val="single" w:sz="8" w:space="0" w:color="auto"/>
              <w:bottom w:val="single" w:sz="4" w:space="0" w:color="auto"/>
              <w:right w:val="single" w:sz="8" w:space="0" w:color="auto"/>
            </w:tcBorders>
          </w:tcPr>
          <w:p w14:paraId="316238A5"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2.6</w:t>
            </w:r>
          </w:p>
        </w:tc>
        <w:tc>
          <w:tcPr>
            <w:tcW w:w="702" w:type="pct"/>
            <w:tcBorders>
              <w:top w:val="single" w:sz="12" w:space="0" w:color="auto"/>
              <w:left w:val="single" w:sz="8" w:space="0" w:color="auto"/>
              <w:bottom w:val="single" w:sz="4" w:space="0" w:color="auto"/>
              <w:right w:val="single" w:sz="8" w:space="0" w:color="auto"/>
            </w:tcBorders>
          </w:tcPr>
          <w:p w14:paraId="2023CDD0"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2.7</w:t>
            </w:r>
          </w:p>
        </w:tc>
        <w:tc>
          <w:tcPr>
            <w:tcW w:w="669" w:type="pct"/>
            <w:tcBorders>
              <w:top w:val="single" w:sz="12" w:space="0" w:color="auto"/>
              <w:left w:val="single" w:sz="8" w:space="0" w:color="auto"/>
              <w:bottom w:val="single" w:sz="4" w:space="0" w:color="auto"/>
              <w:right w:val="single" w:sz="48" w:space="0" w:color="auto"/>
            </w:tcBorders>
          </w:tcPr>
          <w:p w14:paraId="189B5D10"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2.8</w:t>
            </w:r>
          </w:p>
        </w:tc>
        <w:tc>
          <w:tcPr>
            <w:tcW w:w="495" w:type="pct"/>
            <w:tcBorders>
              <w:top w:val="single" w:sz="12" w:space="0" w:color="auto"/>
              <w:left w:val="single" w:sz="48" w:space="0" w:color="auto"/>
              <w:bottom w:val="single" w:sz="4" w:space="0" w:color="auto"/>
              <w:right w:val="single" w:sz="12" w:space="0" w:color="auto"/>
            </w:tcBorders>
          </w:tcPr>
          <w:p w14:paraId="1B4DE0A4"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2.9</w:t>
            </w:r>
          </w:p>
        </w:tc>
        <w:tc>
          <w:tcPr>
            <w:tcW w:w="456" w:type="pct"/>
            <w:tcBorders>
              <w:top w:val="single" w:sz="12" w:space="0" w:color="auto"/>
              <w:left w:val="single" w:sz="48" w:space="0" w:color="auto"/>
              <w:bottom w:val="single" w:sz="4" w:space="0" w:color="auto"/>
              <w:right w:val="single" w:sz="12" w:space="0" w:color="auto"/>
            </w:tcBorders>
          </w:tcPr>
          <w:p w14:paraId="15AFC567"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2.10</w:t>
            </w:r>
          </w:p>
        </w:tc>
      </w:tr>
      <w:tr w:rsidR="005858CD" w:rsidRPr="005858CD" w14:paraId="35D641A4"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val="4057"/>
        </w:trPr>
        <w:tc>
          <w:tcPr>
            <w:tcW w:w="128" w:type="pct"/>
            <w:tcBorders>
              <w:top w:val="single" w:sz="4" w:space="0" w:color="auto"/>
              <w:left w:val="single" w:sz="12" w:space="0" w:color="auto"/>
              <w:bottom w:val="single" w:sz="8" w:space="0" w:color="auto"/>
              <w:right w:val="single" w:sz="8" w:space="0" w:color="auto"/>
            </w:tcBorders>
            <w:noWrap/>
          </w:tcPr>
          <w:p w14:paraId="69EB9295" w14:textId="77777777" w:rsidR="005858CD" w:rsidRPr="005858CD" w:rsidRDefault="005858CD" w:rsidP="008C041F">
            <w:pPr>
              <w:rPr>
                <w:rFonts w:ascii="Book Antiqua" w:hAnsi="Book Antiqua" w:cs="Arial"/>
                <w:b/>
                <w:bCs/>
                <w:sz w:val="16"/>
                <w:szCs w:val="16"/>
                <w:lang w:val="es-NI"/>
              </w:rPr>
            </w:pPr>
          </w:p>
        </w:tc>
        <w:tc>
          <w:tcPr>
            <w:tcW w:w="634" w:type="pct"/>
            <w:gridSpan w:val="3"/>
            <w:tcBorders>
              <w:top w:val="single" w:sz="4" w:space="0" w:color="auto"/>
              <w:left w:val="single" w:sz="8" w:space="0" w:color="auto"/>
              <w:bottom w:val="nil"/>
              <w:right w:val="single" w:sz="8" w:space="0" w:color="auto"/>
            </w:tcBorders>
          </w:tcPr>
          <w:p w14:paraId="0D6350FF" w14:textId="77777777" w:rsidR="005858CD" w:rsidRPr="005858CD" w:rsidRDefault="005858CD" w:rsidP="008C041F">
            <w:pPr>
              <w:rPr>
                <w:rFonts w:ascii="Book Antiqua" w:hAnsi="Book Antiqua" w:cs="Arial"/>
                <w:b/>
                <w:iCs/>
                <w:sz w:val="16"/>
                <w:szCs w:val="16"/>
                <w:lang w:val="es-NI"/>
              </w:rPr>
            </w:pPr>
            <w:r w:rsidRPr="005858CD">
              <w:rPr>
                <w:rFonts w:ascii="Book Antiqua" w:hAnsi="Book Antiqua" w:cs="Arial"/>
                <w:b/>
                <w:iCs/>
                <w:sz w:val="16"/>
                <w:szCs w:val="16"/>
                <w:lang w:val="es-NI"/>
              </w:rPr>
              <w:t>Nombres y apellidos</w:t>
            </w:r>
          </w:p>
          <w:p w14:paraId="36270B92" w14:textId="77777777" w:rsidR="005858CD" w:rsidRPr="005858CD" w:rsidRDefault="005858CD" w:rsidP="008C041F">
            <w:pPr>
              <w:rPr>
                <w:rFonts w:ascii="Book Antiqua" w:hAnsi="Book Antiqua" w:cs="Arial"/>
                <w:b/>
                <w:iCs/>
                <w:sz w:val="16"/>
                <w:szCs w:val="16"/>
                <w:lang w:val="es-NI"/>
              </w:rPr>
            </w:pPr>
          </w:p>
        </w:tc>
        <w:tc>
          <w:tcPr>
            <w:tcW w:w="595" w:type="pct"/>
            <w:tcBorders>
              <w:top w:val="single" w:sz="4" w:space="0" w:color="auto"/>
              <w:left w:val="single" w:sz="8" w:space="0" w:color="auto"/>
              <w:bottom w:val="nil"/>
              <w:right w:val="single" w:sz="8" w:space="0" w:color="auto"/>
            </w:tcBorders>
          </w:tcPr>
          <w:p w14:paraId="12F3BE14" w14:textId="77777777" w:rsidR="005858CD" w:rsidRPr="005858CD" w:rsidRDefault="005858CD" w:rsidP="008C041F">
            <w:pPr>
              <w:rPr>
                <w:rFonts w:ascii="Book Antiqua" w:hAnsi="Book Antiqua" w:cs="Arial"/>
                <w:b/>
                <w:sz w:val="16"/>
                <w:szCs w:val="16"/>
                <w:lang w:val="es-NI"/>
              </w:rPr>
            </w:pPr>
            <w:r w:rsidRPr="005858CD">
              <w:rPr>
                <w:rFonts w:ascii="Book Antiqua" w:hAnsi="Book Antiqua" w:cs="Arial"/>
                <w:b/>
                <w:sz w:val="16"/>
                <w:szCs w:val="16"/>
                <w:lang w:val="es-NI"/>
              </w:rPr>
              <w:t xml:space="preserve">Cuál es su relación con la persona? </w:t>
            </w:r>
          </w:p>
          <w:p w14:paraId="2BCFB72B"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1 = Yo misma</w:t>
            </w:r>
          </w:p>
          <w:p w14:paraId="5AB2C569"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2 = Pareja</w:t>
            </w:r>
          </w:p>
          <w:p w14:paraId="174C305A"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3 = Hijo/hija</w:t>
            </w:r>
          </w:p>
          <w:p w14:paraId="60E7B30D"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4 =Hermano/hermana </w:t>
            </w:r>
          </w:p>
          <w:p w14:paraId="33CCE911"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5 = Padre/madre</w:t>
            </w:r>
          </w:p>
          <w:p w14:paraId="571607DE"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6 = Nieto/nieta</w:t>
            </w:r>
          </w:p>
          <w:p w14:paraId="0338AF90"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7 = Abuela/abuelo</w:t>
            </w:r>
          </w:p>
          <w:p w14:paraId="30B3C79C"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8 = Yerno/Nuera</w:t>
            </w:r>
          </w:p>
          <w:p w14:paraId="7BFD6A29"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9 = Sobrino(a)</w:t>
            </w:r>
          </w:p>
          <w:p w14:paraId="43DEAA78"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 10 = Cuñado (a)</w:t>
            </w:r>
          </w:p>
          <w:p w14:paraId="503E95EF"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11 = Otro pariente </w:t>
            </w:r>
          </w:p>
          <w:p w14:paraId="0C0AD196"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12 = No es familia</w:t>
            </w:r>
          </w:p>
        </w:tc>
        <w:tc>
          <w:tcPr>
            <w:tcW w:w="293" w:type="pct"/>
            <w:tcBorders>
              <w:top w:val="single" w:sz="4" w:space="0" w:color="auto"/>
              <w:left w:val="single" w:sz="8" w:space="0" w:color="auto"/>
              <w:right w:val="single" w:sz="8" w:space="0" w:color="auto"/>
            </w:tcBorders>
          </w:tcPr>
          <w:p w14:paraId="16172037" w14:textId="77777777" w:rsidR="005858CD" w:rsidRPr="005858CD" w:rsidRDefault="005858CD">
            <w:pPr>
              <w:rPr>
                <w:rFonts w:ascii="Book Antiqua" w:hAnsi="Book Antiqua" w:cs="Arial"/>
                <w:b/>
                <w:sz w:val="16"/>
                <w:szCs w:val="16"/>
              </w:rPr>
            </w:pPr>
            <w:r w:rsidRPr="005858CD">
              <w:rPr>
                <w:rFonts w:ascii="Book Antiqua" w:hAnsi="Book Antiqua" w:cs="Arial"/>
                <w:b/>
                <w:sz w:val="16"/>
                <w:szCs w:val="16"/>
              </w:rPr>
              <w:t>Género</w:t>
            </w:r>
          </w:p>
          <w:p w14:paraId="103BA4B7" w14:textId="77777777" w:rsidR="005858CD" w:rsidRPr="005858CD" w:rsidRDefault="005858CD">
            <w:pPr>
              <w:rPr>
                <w:rFonts w:ascii="Book Antiqua" w:hAnsi="Book Antiqua" w:cs="Arial"/>
                <w:bCs/>
                <w:sz w:val="16"/>
                <w:szCs w:val="16"/>
              </w:rPr>
            </w:pPr>
            <w:r w:rsidRPr="005858CD">
              <w:rPr>
                <w:rFonts w:ascii="Book Antiqua" w:hAnsi="Book Antiqua" w:cs="Arial"/>
                <w:bCs/>
                <w:sz w:val="16"/>
                <w:szCs w:val="16"/>
              </w:rPr>
              <w:t>M</w:t>
            </w:r>
          </w:p>
          <w:p w14:paraId="5B2AC5F0" w14:textId="77777777" w:rsidR="005858CD" w:rsidRPr="005858CD" w:rsidRDefault="005858CD">
            <w:pPr>
              <w:rPr>
                <w:rFonts w:ascii="Book Antiqua" w:hAnsi="Book Antiqua" w:cs="Arial"/>
                <w:bCs/>
                <w:sz w:val="16"/>
                <w:szCs w:val="16"/>
              </w:rPr>
            </w:pPr>
            <w:r w:rsidRPr="005858CD">
              <w:rPr>
                <w:rFonts w:ascii="Book Antiqua" w:hAnsi="Book Antiqua" w:cs="Arial"/>
                <w:bCs/>
                <w:sz w:val="16"/>
                <w:szCs w:val="16"/>
              </w:rPr>
              <w:t>F</w:t>
            </w:r>
          </w:p>
        </w:tc>
        <w:tc>
          <w:tcPr>
            <w:tcW w:w="411" w:type="pct"/>
            <w:tcBorders>
              <w:top w:val="single" w:sz="4" w:space="0" w:color="auto"/>
              <w:left w:val="single" w:sz="8" w:space="0" w:color="auto"/>
              <w:bottom w:val="nil"/>
              <w:right w:val="single" w:sz="8" w:space="0" w:color="auto"/>
            </w:tcBorders>
            <w:noWrap/>
          </w:tcPr>
          <w:p w14:paraId="12F870A4" w14:textId="77777777" w:rsidR="005858CD" w:rsidRPr="005858CD" w:rsidRDefault="005858CD">
            <w:pPr>
              <w:rPr>
                <w:rFonts w:ascii="Book Antiqua" w:hAnsi="Book Antiqua" w:cs="Arial"/>
                <w:sz w:val="16"/>
                <w:szCs w:val="16"/>
              </w:rPr>
            </w:pPr>
            <w:r w:rsidRPr="005858CD">
              <w:rPr>
                <w:rFonts w:ascii="Book Antiqua" w:hAnsi="Book Antiqua" w:cs="Arial"/>
                <w:b/>
                <w:sz w:val="16"/>
                <w:szCs w:val="16"/>
              </w:rPr>
              <w:t>Edad (años)</w:t>
            </w:r>
          </w:p>
          <w:p w14:paraId="6005FEFF" w14:textId="77777777" w:rsidR="005858CD" w:rsidRPr="005858CD" w:rsidRDefault="005858CD">
            <w:pPr>
              <w:rPr>
                <w:rFonts w:ascii="Book Antiqua" w:hAnsi="Book Antiqua" w:cs="Arial"/>
                <w:i/>
                <w:sz w:val="16"/>
                <w:szCs w:val="16"/>
              </w:rPr>
            </w:pPr>
          </w:p>
        </w:tc>
        <w:tc>
          <w:tcPr>
            <w:tcW w:w="617" w:type="pct"/>
            <w:gridSpan w:val="2"/>
            <w:tcBorders>
              <w:top w:val="single" w:sz="4" w:space="0" w:color="auto"/>
              <w:left w:val="single" w:sz="8" w:space="0" w:color="auto"/>
              <w:bottom w:val="nil"/>
              <w:right w:val="single" w:sz="8" w:space="0" w:color="auto"/>
            </w:tcBorders>
          </w:tcPr>
          <w:p w14:paraId="6114580C" w14:textId="77777777" w:rsidR="005858CD" w:rsidRPr="005858CD" w:rsidRDefault="005858CD">
            <w:pPr>
              <w:rPr>
                <w:rFonts w:ascii="Book Antiqua" w:hAnsi="Book Antiqua" w:cs="Arial"/>
                <w:b/>
                <w:sz w:val="16"/>
                <w:szCs w:val="16"/>
                <w:lang w:val="es-NI"/>
              </w:rPr>
            </w:pPr>
            <w:r w:rsidRPr="005858CD">
              <w:rPr>
                <w:rFonts w:ascii="Book Antiqua" w:hAnsi="Book Antiqua" w:cs="Arial"/>
                <w:b/>
                <w:sz w:val="16"/>
                <w:szCs w:val="16"/>
                <w:lang w:val="es-NI"/>
              </w:rPr>
              <w:t>Escolaridad</w:t>
            </w:r>
          </w:p>
          <w:p w14:paraId="6482B546"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0 = Ninguno</w:t>
            </w:r>
          </w:p>
          <w:p w14:paraId="0571345F"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1=  Preescolar</w:t>
            </w:r>
          </w:p>
          <w:p w14:paraId="62F2D03D"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2 = Primaria incompleta</w:t>
            </w:r>
          </w:p>
          <w:p w14:paraId="182BA90D"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3 = Primaria completa</w:t>
            </w:r>
          </w:p>
          <w:p w14:paraId="5E0118FC"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4 = Secundaria incompleta</w:t>
            </w:r>
          </w:p>
          <w:p w14:paraId="6B285D67" w14:textId="77777777" w:rsidR="005858CD" w:rsidRPr="005858CD" w:rsidRDefault="005858CD">
            <w:pPr>
              <w:rPr>
                <w:rFonts w:ascii="Book Antiqua" w:hAnsi="Book Antiqua" w:cs="Arial"/>
                <w:b/>
                <w:sz w:val="16"/>
                <w:szCs w:val="16"/>
                <w:lang w:val="es-NI"/>
              </w:rPr>
            </w:pPr>
            <w:r w:rsidRPr="005858CD">
              <w:rPr>
                <w:rFonts w:ascii="Book Antiqua" w:hAnsi="Book Antiqua" w:cs="Arial"/>
                <w:bCs/>
                <w:sz w:val="16"/>
                <w:szCs w:val="16"/>
                <w:lang w:val="es-NI"/>
              </w:rPr>
              <w:t>5 = Secundaria completa</w:t>
            </w:r>
          </w:p>
          <w:p w14:paraId="06941ACD"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6 = Universitario</w:t>
            </w:r>
          </w:p>
          <w:p w14:paraId="7AD4F0FA" w14:textId="77777777" w:rsidR="005858CD" w:rsidRPr="005858CD" w:rsidRDefault="005858CD">
            <w:pPr>
              <w:rPr>
                <w:rFonts w:ascii="Book Antiqua" w:hAnsi="Book Antiqua" w:cs="Arial"/>
                <w:bCs/>
                <w:sz w:val="16"/>
                <w:szCs w:val="16"/>
              </w:rPr>
            </w:pPr>
            <w:r w:rsidRPr="005858CD">
              <w:rPr>
                <w:rFonts w:ascii="Book Antiqua" w:hAnsi="Book Antiqua" w:cs="Arial"/>
                <w:bCs/>
                <w:sz w:val="16"/>
                <w:szCs w:val="16"/>
                <w:lang w:val="es-NI"/>
              </w:rPr>
              <w:t>7</w:t>
            </w:r>
            <w:r w:rsidRPr="005858CD">
              <w:rPr>
                <w:rFonts w:ascii="Book Antiqua" w:hAnsi="Book Antiqua" w:cs="Arial"/>
                <w:bCs/>
                <w:sz w:val="16"/>
                <w:szCs w:val="16"/>
              </w:rPr>
              <w:t xml:space="preserve"> = No sé</w:t>
            </w:r>
          </w:p>
        </w:tc>
        <w:tc>
          <w:tcPr>
            <w:tcW w:w="702" w:type="pct"/>
            <w:tcBorders>
              <w:top w:val="single" w:sz="4" w:space="0" w:color="auto"/>
              <w:left w:val="single" w:sz="8" w:space="0" w:color="auto"/>
              <w:bottom w:val="nil"/>
              <w:right w:val="single" w:sz="8" w:space="0" w:color="auto"/>
            </w:tcBorders>
          </w:tcPr>
          <w:p w14:paraId="562DA419" w14:textId="77777777" w:rsidR="005858CD" w:rsidRPr="005858CD" w:rsidRDefault="005858CD">
            <w:pPr>
              <w:rPr>
                <w:rFonts w:ascii="Book Antiqua" w:hAnsi="Book Antiqua" w:cs="Arial"/>
                <w:i/>
                <w:sz w:val="16"/>
                <w:szCs w:val="16"/>
                <w:lang w:val="es-NI"/>
              </w:rPr>
            </w:pPr>
            <w:r w:rsidRPr="005858CD">
              <w:rPr>
                <w:rFonts w:ascii="Book Antiqua" w:hAnsi="Book Antiqua" w:cs="Arial"/>
                <w:b/>
                <w:sz w:val="16"/>
                <w:szCs w:val="16"/>
                <w:lang w:val="es-NI"/>
              </w:rPr>
              <w:t>En los últimos 6 meses en qué tipo de trabajo ha estado involucrado/a? (hasta 2 opciones)</w:t>
            </w:r>
          </w:p>
          <w:p w14:paraId="2FFD47E6"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0 = Desempleado/a</w:t>
            </w:r>
          </w:p>
          <w:p w14:paraId="22BBFCDA"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1 = Trabajo doméstico</w:t>
            </w:r>
          </w:p>
          <w:p w14:paraId="20DFF6D0" w14:textId="77777777" w:rsidR="005858CD" w:rsidRPr="005858CD" w:rsidRDefault="005858CD">
            <w:pPr>
              <w:rPr>
                <w:rFonts w:ascii="Book Antiqua" w:hAnsi="Book Antiqua" w:cs="Arial"/>
                <w:sz w:val="16"/>
                <w:szCs w:val="16"/>
                <w:lang w:val="es-NI"/>
              </w:rPr>
            </w:pPr>
            <w:r w:rsidRPr="005858CD">
              <w:rPr>
                <w:rFonts w:ascii="Book Antiqua" w:hAnsi="Book Antiqua" w:cs="Arial"/>
                <w:bCs/>
                <w:sz w:val="16"/>
                <w:szCs w:val="16"/>
                <w:lang w:val="es-NI"/>
              </w:rPr>
              <w:t>2 = Estudiante</w:t>
            </w:r>
          </w:p>
          <w:p w14:paraId="4B0C4534"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3 = En retiro</w:t>
            </w:r>
          </w:p>
          <w:p w14:paraId="30C7CC36"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4 = Discapacidad permanente </w:t>
            </w:r>
          </w:p>
          <w:p w14:paraId="7BF1F1CE"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5 = Trabajo no remunerado en negocio familiar  </w:t>
            </w:r>
          </w:p>
          <w:p w14:paraId="0BD662E7"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6 = Trabajo remunerado informal </w:t>
            </w:r>
          </w:p>
          <w:p w14:paraId="3A9CDD28"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7 = Trabajo asalariado </w:t>
            </w:r>
          </w:p>
          <w:p w14:paraId="2EDD2BF0"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8 = Agricultura</w:t>
            </w:r>
          </w:p>
          <w:p w14:paraId="75EB58F2"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9 = Otro</w:t>
            </w:r>
          </w:p>
          <w:p w14:paraId="60C0360C" w14:textId="77777777" w:rsidR="005858CD" w:rsidRPr="005858CD" w:rsidRDefault="005858CD">
            <w:pPr>
              <w:rPr>
                <w:rFonts w:ascii="Book Antiqua" w:hAnsi="Book Antiqua" w:cs="Arial"/>
                <w:bCs/>
                <w:sz w:val="16"/>
                <w:szCs w:val="16"/>
              </w:rPr>
            </w:pPr>
            <w:r w:rsidRPr="005858CD">
              <w:rPr>
                <w:rFonts w:ascii="Book Antiqua" w:hAnsi="Book Antiqua" w:cs="Arial"/>
                <w:sz w:val="16"/>
                <w:szCs w:val="16"/>
              </w:rPr>
              <w:t>10= No sé</w:t>
            </w:r>
          </w:p>
        </w:tc>
        <w:tc>
          <w:tcPr>
            <w:tcW w:w="669" w:type="pct"/>
            <w:tcBorders>
              <w:top w:val="single" w:sz="4" w:space="0" w:color="auto"/>
              <w:left w:val="single" w:sz="8" w:space="0" w:color="auto"/>
              <w:bottom w:val="nil"/>
              <w:right w:val="single" w:sz="48" w:space="0" w:color="auto"/>
            </w:tcBorders>
          </w:tcPr>
          <w:p w14:paraId="48E64732" w14:textId="77777777" w:rsidR="005858CD" w:rsidRPr="005858CD" w:rsidRDefault="005858CD">
            <w:pPr>
              <w:rPr>
                <w:rFonts w:ascii="Book Antiqua" w:hAnsi="Book Antiqua" w:cs="Arial"/>
                <w:b/>
                <w:bCs/>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sz w:val="16"/>
                <w:szCs w:val="16"/>
                <w:lang w:val="es-NI"/>
              </w:rPr>
              <w:t>En el ultimo mes cuánto cuidados ha recibido de otro/as miembro/as del hogar?</w:t>
            </w:r>
          </w:p>
          <w:p w14:paraId="45462507" w14:textId="77777777" w:rsidR="005858CD" w:rsidRPr="005858CD" w:rsidRDefault="005858CD">
            <w:pPr>
              <w:rPr>
                <w:rFonts w:ascii="Book Antiqua" w:hAnsi="Book Antiqua" w:cs="Arial"/>
                <w:bCs/>
                <w:sz w:val="16"/>
                <w:szCs w:val="16"/>
                <w:lang w:val="es-NI"/>
              </w:rPr>
            </w:pPr>
          </w:p>
          <w:p w14:paraId="2F074B8B"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 xml:space="preserve">0 = Ninguno o casi ninguno </w:t>
            </w:r>
          </w:p>
          <w:p w14:paraId="45E9F0B5" w14:textId="77777777" w:rsidR="005858CD" w:rsidRPr="005858CD" w:rsidRDefault="005858CD">
            <w:pPr>
              <w:rPr>
                <w:rFonts w:ascii="Book Antiqua" w:hAnsi="Book Antiqua" w:cs="Arial"/>
                <w:sz w:val="16"/>
                <w:szCs w:val="16"/>
                <w:lang w:val="es-NI"/>
              </w:rPr>
            </w:pPr>
            <w:r w:rsidRPr="005858CD">
              <w:rPr>
                <w:rFonts w:ascii="Book Antiqua" w:hAnsi="Book Antiqua" w:cs="Arial"/>
                <w:sz w:val="16"/>
                <w:szCs w:val="16"/>
                <w:lang w:val="es-NI"/>
              </w:rPr>
              <w:t>1 = Cuidados mínimos (1 tipo de trabajo)</w:t>
            </w:r>
          </w:p>
          <w:p w14:paraId="3AC42818"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 xml:space="preserve">2 = Cuidados significativos (Al menos 4) </w:t>
            </w:r>
          </w:p>
          <w:p w14:paraId="1243007B"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3 = Cuidados a tiempo completo (Todos los cuidados)</w:t>
            </w:r>
          </w:p>
          <w:p w14:paraId="2F762768" w14:textId="77777777" w:rsidR="005858CD" w:rsidRPr="005858CD" w:rsidRDefault="005858CD">
            <w:pPr>
              <w:rPr>
                <w:rFonts w:ascii="Book Antiqua" w:hAnsi="Book Antiqua" w:cs="Arial"/>
                <w:bCs/>
                <w:sz w:val="16"/>
                <w:szCs w:val="16"/>
              </w:rPr>
            </w:pPr>
          </w:p>
        </w:tc>
        <w:tc>
          <w:tcPr>
            <w:tcW w:w="495" w:type="pct"/>
            <w:tcBorders>
              <w:top w:val="single" w:sz="4" w:space="0" w:color="auto"/>
              <w:left w:val="single" w:sz="48" w:space="0" w:color="auto"/>
              <w:bottom w:val="nil"/>
              <w:right w:val="single" w:sz="12" w:space="0" w:color="auto"/>
            </w:tcBorders>
          </w:tcPr>
          <w:p w14:paraId="62D28783" w14:textId="77777777" w:rsidR="005858CD" w:rsidRPr="005858CD" w:rsidRDefault="005858CD">
            <w:pPr>
              <w:rPr>
                <w:rFonts w:ascii="Book Antiqua" w:hAnsi="Book Antiqua" w:cs="Arial"/>
                <w:b/>
                <w:color w:val="212121"/>
                <w:sz w:val="16"/>
                <w:szCs w:val="16"/>
                <w:lang w:val="es-ES"/>
              </w:rPr>
            </w:pPr>
            <w:r w:rsidRPr="005858CD">
              <w:rPr>
                <w:rFonts w:ascii="Book Antiqua" w:hAnsi="Book Antiqua" w:cs="Arial"/>
                <w:b/>
                <w:color w:val="212121"/>
                <w:sz w:val="16"/>
                <w:szCs w:val="16"/>
                <w:lang w:val="es-ES"/>
              </w:rPr>
              <w:t>¿</w:t>
            </w:r>
            <w:r w:rsidRPr="005858CD">
              <w:rPr>
                <w:rFonts w:ascii="Book Antiqua" w:hAnsi="Book Antiqua" w:cs="Arial"/>
                <w:b/>
                <w:sz w:val="16"/>
                <w:szCs w:val="16"/>
                <w:lang w:val="es-NI"/>
              </w:rPr>
              <w:t>Es miembro/a de algún grupo comunitario?</w:t>
            </w:r>
          </w:p>
          <w:p w14:paraId="41A59869" w14:textId="77777777" w:rsidR="005858CD" w:rsidRPr="005858CD" w:rsidRDefault="005858CD">
            <w:pPr>
              <w:rPr>
                <w:rFonts w:ascii="Book Antiqua" w:hAnsi="Book Antiqua" w:cs="Arial"/>
                <w:b/>
                <w:sz w:val="16"/>
                <w:szCs w:val="16"/>
                <w:lang w:val="es-NI"/>
              </w:rPr>
            </w:pPr>
          </w:p>
          <w:p w14:paraId="08D4DC99" w14:textId="77777777" w:rsidR="005858CD" w:rsidRPr="005858CD" w:rsidRDefault="005858CD">
            <w:pPr>
              <w:rPr>
                <w:rFonts w:ascii="Book Antiqua" w:hAnsi="Book Antiqua" w:cs="Arial"/>
                <w:b/>
                <w:sz w:val="16"/>
                <w:szCs w:val="16"/>
                <w:lang w:val="es-NI"/>
              </w:rPr>
            </w:pPr>
            <w:r w:rsidRPr="005858CD">
              <w:rPr>
                <w:rFonts w:ascii="Book Antiqua" w:hAnsi="Book Antiqua" w:cs="Arial"/>
                <w:bCs/>
                <w:sz w:val="16"/>
                <w:szCs w:val="16"/>
                <w:lang w:val="es-NI"/>
              </w:rPr>
              <w:t>1 = No</w:t>
            </w:r>
          </w:p>
          <w:p w14:paraId="691F94FF"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2 = Si</w:t>
            </w:r>
          </w:p>
          <w:p w14:paraId="7BA3FC69"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3= No sé</w:t>
            </w:r>
          </w:p>
          <w:p w14:paraId="5D17390F" w14:textId="77777777" w:rsidR="005858CD" w:rsidRPr="005858CD" w:rsidRDefault="005858CD">
            <w:pPr>
              <w:rPr>
                <w:rFonts w:ascii="Book Antiqua" w:hAnsi="Book Antiqua" w:cs="Arial"/>
                <w:bCs/>
                <w:sz w:val="16"/>
                <w:szCs w:val="16"/>
                <w:lang w:val="es-NI"/>
              </w:rPr>
            </w:pPr>
          </w:p>
        </w:tc>
        <w:tc>
          <w:tcPr>
            <w:tcW w:w="456" w:type="pct"/>
            <w:tcBorders>
              <w:top w:val="single" w:sz="4" w:space="0" w:color="auto"/>
              <w:left w:val="single" w:sz="48" w:space="0" w:color="auto"/>
              <w:bottom w:val="nil"/>
              <w:right w:val="single" w:sz="12" w:space="0" w:color="auto"/>
            </w:tcBorders>
          </w:tcPr>
          <w:p w14:paraId="5EF4EA76" w14:textId="77777777" w:rsidR="005858CD" w:rsidRPr="005858CD" w:rsidRDefault="005858CD">
            <w:pPr>
              <w:rPr>
                <w:rFonts w:ascii="Book Antiqua" w:hAnsi="Book Antiqua" w:cs="Arial"/>
                <w:b/>
                <w:bCs/>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sz w:val="16"/>
                <w:szCs w:val="16"/>
                <w:lang w:val="es-NI"/>
              </w:rPr>
              <w:t xml:space="preserve">De qué tipo de organización/grupo participa? </w:t>
            </w:r>
          </w:p>
          <w:p w14:paraId="74D38DED" w14:textId="77777777" w:rsidR="005858CD" w:rsidRPr="005858CD" w:rsidRDefault="005858CD">
            <w:pPr>
              <w:rPr>
                <w:rFonts w:ascii="Book Antiqua" w:hAnsi="Book Antiqua" w:cs="Arial"/>
                <w:bCs/>
                <w:sz w:val="16"/>
                <w:szCs w:val="16"/>
              </w:rPr>
            </w:pPr>
            <w:r w:rsidRPr="005858CD">
              <w:rPr>
                <w:rFonts w:ascii="Book Antiqua" w:hAnsi="Book Antiqua" w:cs="Arial"/>
                <w:bCs/>
                <w:sz w:val="16"/>
                <w:szCs w:val="16"/>
              </w:rPr>
              <w:t>1= Económica/ productiva</w:t>
            </w:r>
          </w:p>
          <w:p w14:paraId="72F8ADDD"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 xml:space="preserve">2 =  Grupo religioso </w:t>
            </w:r>
          </w:p>
          <w:p w14:paraId="4932DF5C"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3 =  Grupo social</w:t>
            </w:r>
          </w:p>
          <w:p w14:paraId="3FAFB1CD" w14:textId="77777777" w:rsidR="005858CD" w:rsidRPr="005858CD" w:rsidRDefault="005858CD">
            <w:pPr>
              <w:rPr>
                <w:rFonts w:ascii="Book Antiqua" w:hAnsi="Book Antiqua" w:cs="Arial"/>
                <w:bCs/>
                <w:sz w:val="16"/>
                <w:szCs w:val="16"/>
                <w:lang w:val="es-NI"/>
              </w:rPr>
            </w:pPr>
            <w:r w:rsidRPr="005858CD">
              <w:rPr>
                <w:rFonts w:ascii="Book Antiqua" w:hAnsi="Book Antiqua" w:cs="Arial"/>
                <w:bCs/>
                <w:sz w:val="16"/>
                <w:szCs w:val="16"/>
                <w:lang w:val="es-NI"/>
              </w:rPr>
              <w:t>4= Grupo de ahorro y crédito</w:t>
            </w:r>
          </w:p>
          <w:p w14:paraId="5244D618" w14:textId="77777777" w:rsidR="005858CD" w:rsidRPr="005858CD" w:rsidRDefault="005858CD">
            <w:pPr>
              <w:rPr>
                <w:rFonts w:ascii="Book Antiqua" w:hAnsi="Book Antiqua" w:cs="Arial"/>
                <w:b/>
                <w:bCs/>
                <w:sz w:val="16"/>
                <w:szCs w:val="16"/>
                <w:lang w:val="es-NI"/>
              </w:rPr>
            </w:pPr>
            <w:r w:rsidRPr="005858CD">
              <w:rPr>
                <w:rFonts w:ascii="Book Antiqua" w:hAnsi="Book Antiqua" w:cs="Arial"/>
                <w:bCs/>
                <w:sz w:val="16"/>
                <w:szCs w:val="16"/>
                <w:lang w:val="es-NI"/>
              </w:rPr>
              <w:t>5 = Otro</w:t>
            </w:r>
          </w:p>
        </w:tc>
      </w:tr>
      <w:tr w:rsidR="005858CD" w:rsidRPr="005858CD" w14:paraId="0E77EDF9"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77A11222"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1.</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79418F38"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632054B2"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6A5E2C85"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39DECDD2"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338AD385"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|___|</w:t>
            </w:r>
          </w:p>
        </w:tc>
        <w:tc>
          <w:tcPr>
            <w:tcW w:w="702" w:type="pct"/>
            <w:tcBorders>
              <w:top w:val="single" w:sz="8" w:space="0" w:color="auto"/>
              <w:left w:val="single" w:sz="8" w:space="0" w:color="auto"/>
              <w:bottom w:val="single" w:sz="8" w:space="0" w:color="auto"/>
              <w:right w:val="single" w:sz="8" w:space="0" w:color="auto"/>
            </w:tcBorders>
            <w:vAlign w:val="center"/>
          </w:tcPr>
          <w:p w14:paraId="6FE1742C"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|___|</w:t>
            </w:r>
          </w:p>
        </w:tc>
        <w:tc>
          <w:tcPr>
            <w:tcW w:w="669" w:type="pct"/>
            <w:tcBorders>
              <w:top w:val="single" w:sz="8" w:space="0" w:color="auto"/>
              <w:left w:val="single" w:sz="8" w:space="0" w:color="auto"/>
              <w:bottom w:val="single" w:sz="8" w:space="0" w:color="auto"/>
              <w:right w:val="single" w:sz="48" w:space="0" w:color="auto"/>
            </w:tcBorders>
            <w:vAlign w:val="center"/>
          </w:tcPr>
          <w:p w14:paraId="3732BA8A"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302B1208"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7F5F84D5"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10FA09E8"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29F1100C"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2.</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200164BE"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70829254"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5C34A164"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6A206359"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77904E5B"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|___|</w:t>
            </w:r>
          </w:p>
        </w:tc>
        <w:tc>
          <w:tcPr>
            <w:tcW w:w="702" w:type="pct"/>
            <w:tcBorders>
              <w:top w:val="single" w:sz="8" w:space="0" w:color="auto"/>
              <w:left w:val="single" w:sz="8" w:space="0" w:color="auto"/>
              <w:bottom w:val="single" w:sz="8" w:space="0" w:color="auto"/>
              <w:right w:val="single" w:sz="8" w:space="0" w:color="auto"/>
            </w:tcBorders>
            <w:vAlign w:val="center"/>
          </w:tcPr>
          <w:p w14:paraId="761AF104"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029D1F51"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60C71973"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5128455E"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52EEBE94"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635ACC31"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3.</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2D585582"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30D530AC"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7DB90528"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3E07C518"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4B210368"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4C8C96E1"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4885175F"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34DE64FD"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52D510B5"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341C9CE3"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2C1210E7"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4.</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4C1F3F4A"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65CBDDC3"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5907608C"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0B0FCB7B"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77FDE162"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61BC532D"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10CFD8D1"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10BD79E2"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4FF9902B"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613F8660"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48BB6D15"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5.</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59549672"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1D1C68C3"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65EBB00B"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1DCD8079"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6FC659B3"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276C2DA0"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7C1F27DE"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52495A32"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63161564"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2C15C568"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5D13040A"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6.</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3D8ED471"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2B78C09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5281ADB5"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tcPr>
          <w:p w14:paraId="53F1E9D2"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02A3FACE"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67D95852"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181E376E"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5A41482F"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157B0905"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2163ADB7"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5A42F049"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7.</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550901A0"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5590408C"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1A092A81"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noWrap/>
          </w:tcPr>
          <w:p w14:paraId="6CB06310"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45D5529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23CEA61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49C70A36"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73DFA07E"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651CEAAC"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0F6D9AEF"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080C082C"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8.</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50A2266C"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77A8DE0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245B198D"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noWrap/>
          </w:tcPr>
          <w:p w14:paraId="55EFE9B3"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6FE549B2"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4A49316B"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74F9A42B"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281BFEB5"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55072D9C"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2FD0E0B2"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7ADD6D75"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9.</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1BBD08E8"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3E0B793C"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5936BB2D"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noWrap/>
          </w:tcPr>
          <w:p w14:paraId="23B79906"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55762F54"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3202938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27E2EFCC"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481636B5"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173D902E"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r w:rsidR="005858CD" w:rsidRPr="005858CD" w14:paraId="3E95145C" w14:textId="77777777" w:rsidTr="00873A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000" w:firstRow="0" w:lastRow="0" w:firstColumn="0" w:lastColumn="0" w:noHBand="0" w:noVBand="0"/>
        </w:tblPrEx>
        <w:trPr>
          <w:cantSplit/>
          <w:trHeight w:hRule="exact" w:val="288"/>
        </w:trPr>
        <w:tc>
          <w:tcPr>
            <w:tcW w:w="128" w:type="pct"/>
            <w:tcBorders>
              <w:top w:val="single" w:sz="8" w:space="0" w:color="auto"/>
              <w:left w:val="single" w:sz="12" w:space="0" w:color="auto"/>
              <w:bottom w:val="single" w:sz="8" w:space="0" w:color="auto"/>
              <w:right w:val="single" w:sz="8" w:space="0" w:color="auto"/>
            </w:tcBorders>
            <w:noWrap/>
            <w:vAlign w:val="center"/>
          </w:tcPr>
          <w:p w14:paraId="7B48D80A"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10.</w:t>
            </w:r>
          </w:p>
        </w:tc>
        <w:tc>
          <w:tcPr>
            <w:tcW w:w="634" w:type="pct"/>
            <w:gridSpan w:val="3"/>
            <w:tcBorders>
              <w:top w:val="single" w:sz="8" w:space="0" w:color="auto"/>
              <w:left w:val="single" w:sz="8" w:space="0" w:color="auto"/>
              <w:bottom w:val="single" w:sz="8" w:space="0" w:color="auto"/>
              <w:right w:val="single" w:sz="8" w:space="0" w:color="auto"/>
            </w:tcBorders>
            <w:shd w:val="clear" w:color="auto" w:fill="auto"/>
          </w:tcPr>
          <w:p w14:paraId="3494ED7F" w14:textId="77777777" w:rsidR="005858CD" w:rsidRPr="005858CD" w:rsidRDefault="005858CD" w:rsidP="008C041F">
            <w:pPr>
              <w:rPr>
                <w:rFonts w:ascii="Book Antiqua" w:hAnsi="Book Antiqua" w:cs="Arial"/>
                <w:sz w:val="16"/>
                <w:szCs w:val="16"/>
              </w:rPr>
            </w:pPr>
          </w:p>
        </w:tc>
        <w:tc>
          <w:tcPr>
            <w:tcW w:w="595" w:type="pct"/>
            <w:tcBorders>
              <w:top w:val="single" w:sz="8" w:space="0" w:color="auto"/>
              <w:left w:val="single" w:sz="8" w:space="0" w:color="auto"/>
              <w:bottom w:val="single" w:sz="8" w:space="0" w:color="auto"/>
              <w:right w:val="single" w:sz="8" w:space="0" w:color="auto"/>
            </w:tcBorders>
            <w:vAlign w:val="center"/>
          </w:tcPr>
          <w:p w14:paraId="5067F056"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293" w:type="pct"/>
            <w:tcBorders>
              <w:top w:val="single" w:sz="8" w:space="0" w:color="auto"/>
              <w:left w:val="single" w:sz="8" w:space="0" w:color="auto"/>
              <w:bottom w:val="single" w:sz="8" w:space="0" w:color="auto"/>
              <w:right w:val="single" w:sz="8" w:space="0" w:color="auto"/>
            </w:tcBorders>
            <w:vAlign w:val="center"/>
          </w:tcPr>
          <w:p w14:paraId="3E7BECDB"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411" w:type="pct"/>
            <w:tcBorders>
              <w:top w:val="single" w:sz="8" w:space="0" w:color="auto"/>
              <w:left w:val="single" w:sz="8" w:space="0" w:color="auto"/>
              <w:bottom w:val="single" w:sz="8" w:space="0" w:color="auto"/>
              <w:right w:val="single" w:sz="8" w:space="0" w:color="auto"/>
            </w:tcBorders>
            <w:noWrap/>
          </w:tcPr>
          <w:p w14:paraId="333A70B1" w14:textId="77777777" w:rsidR="005858CD" w:rsidRPr="005858CD" w:rsidRDefault="005858CD" w:rsidP="008C041F">
            <w:pPr>
              <w:rPr>
                <w:rFonts w:ascii="Book Antiqua" w:hAnsi="Book Antiqua" w:cs="Arial"/>
                <w:sz w:val="16"/>
                <w:szCs w:val="16"/>
              </w:rPr>
            </w:pPr>
            <w:r w:rsidRPr="005858CD">
              <w:rPr>
                <w:rFonts w:ascii="Book Antiqua" w:hAnsi="Book Antiqua" w:cs="Arial"/>
                <w:b/>
                <w:bCs/>
                <w:sz w:val="16"/>
                <w:szCs w:val="16"/>
              </w:rPr>
              <w:t>|__|__|</w:t>
            </w:r>
          </w:p>
        </w:tc>
        <w:tc>
          <w:tcPr>
            <w:tcW w:w="617" w:type="pct"/>
            <w:gridSpan w:val="2"/>
            <w:tcBorders>
              <w:top w:val="single" w:sz="8" w:space="0" w:color="auto"/>
              <w:left w:val="single" w:sz="8" w:space="0" w:color="auto"/>
              <w:bottom w:val="single" w:sz="8" w:space="0" w:color="auto"/>
              <w:right w:val="single" w:sz="8" w:space="0" w:color="auto"/>
            </w:tcBorders>
            <w:vAlign w:val="center"/>
          </w:tcPr>
          <w:p w14:paraId="6401F5B0"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702" w:type="pct"/>
            <w:tcBorders>
              <w:top w:val="single" w:sz="8" w:space="0" w:color="auto"/>
              <w:left w:val="single" w:sz="8" w:space="0" w:color="auto"/>
              <w:bottom w:val="single" w:sz="8" w:space="0" w:color="auto"/>
              <w:right w:val="single" w:sz="8" w:space="0" w:color="auto"/>
            </w:tcBorders>
            <w:vAlign w:val="center"/>
          </w:tcPr>
          <w:p w14:paraId="3A3B5467" w14:textId="77777777" w:rsidR="005858CD" w:rsidRPr="005858CD" w:rsidRDefault="005858CD" w:rsidP="008C041F">
            <w:pPr>
              <w:rPr>
                <w:rFonts w:ascii="Book Antiqua" w:hAnsi="Book Antiqua" w:cs="Arial"/>
                <w:b/>
                <w:bCs/>
                <w:sz w:val="16"/>
                <w:szCs w:val="16"/>
              </w:rPr>
            </w:pPr>
            <w:r w:rsidRPr="005858CD">
              <w:rPr>
                <w:rFonts w:ascii="Book Antiqua" w:hAnsi="Book Antiqua" w:cs="Arial"/>
                <w:b/>
                <w:bCs/>
                <w:sz w:val="16"/>
                <w:szCs w:val="16"/>
              </w:rPr>
              <w:t>|__|</w:t>
            </w:r>
          </w:p>
        </w:tc>
        <w:tc>
          <w:tcPr>
            <w:tcW w:w="669" w:type="pct"/>
            <w:tcBorders>
              <w:top w:val="single" w:sz="8" w:space="0" w:color="auto"/>
              <w:left w:val="single" w:sz="8" w:space="0" w:color="auto"/>
              <w:bottom w:val="single" w:sz="8" w:space="0" w:color="auto"/>
              <w:right w:val="single" w:sz="48" w:space="0" w:color="auto"/>
            </w:tcBorders>
          </w:tcPr>
          <w:p w14:paraId="1121C9BD" w14:textId="77777777" w:rsidR="005858CD" w:rsidRPr="005858CD" w:rsidRDefault="005858CD">
            <w:pPr>
              <w:rPr>
                <w:rFonts w:ascii="Book Antiqua" w:hAnsi="Book Antiqua" w:cs="Arial"/>
                <w:b/>
                <w:sz w:val="16"/>
                <w:szCs w:val="16"/>
              </w:rPr>
            </w:pPr>
            <w:r w:rsidRPr="005858CD">
              <w:rPr>
                <w:rFonts w:ascii="Book Antiqua" w:hAnsi="Book Antiqua" w:cs="Arial"/>
                <w:b/>
                <w:bCs/>
                <w:sz w:val="16"/>
                <w:szCs w:val="16"/>
              </w:rPr>
              <w:t>|__| |__| _____________</w:t>
            </w:r>
          </w:p>
        </w:tc>
        <w:tc>
          <w:tcPr>
            <w:tcW w:w="495" w:type="pct"/>
            <w:tcBorders>
              <w:top w:val="single" w:sz="8" w:space="0" w:color="auto"/>
              <w:left w:val="single" w:sz="48" w:space="0" w:color="auto"/>
              <w:bottom w:val="single" w:sz="8" w:space="0" w:color="auto"/>
              <w:right w:val="single" w:sz="12" w:space="0" w:color="auto"/>
            </w:tcBorders>
            <w:vAlign w:val="center"/>
          </w:tcPr>
          <w:p w14:paraId="584514BA" w14:textId="77777777" w:rsidR="005858CD" w:rsidRPr="005858CD" w:rsidRDefault="005858CD">
            <w:pPr>
              <w:rPr>
                <w:rFonts w:ascii="Book Antiqua" w:hAnsi="Book Antiqua" w:cs="Arial"/>
                <w:b/>
                <w:bCs/>
                <w:sz w:val="16"/>
                <w:szCs w:val="16"/>
              </w:rPr>
            </w:pPr>
            <w:r w:rsidRPr="005858CD">
              <w:rPr>
                <w:rFonts w:ascii="Book Antiqua" w:hAnsi="Book Antiqua" w:cs="Arial"/>
                <w:b/>
                <w:bCs/>
                <w:sz w:val="16"/>
                <w:szCs w:val="16"/>
              </w:rPr>
              <w:t>|__|</w:t>
            </w:r>
          </w:p>
        </w:tc>
        <w:tc>
          <w:tcPr>
            <w:tcW w:w="456" w:type="pct"/>
            <w:tcBorders>
              <w:top w:val="single" w:sz="8" w:space="0" w:color="auto"/>
              <w:left w:val="single" w:sz="48" w:space="0" w:color="auto"/>
              <w:bottom w:val="single" w:sz="8" w:space="0" w:color="auto"/>
              <w:right w:val="single" w:sz="12" w:space="0" w:color="auto"/>
            </w:tcBorders>
          </w:tcPr>
          <w:p w14:paraId="6D38FED5" w14:textId="77777777" w:rsidR="005858CD" w:rsidRPr="005858CD" w:rsidRDefault="005858CD">
            <w:pPr>
              <w:rPr>
                <w:rFonts w:ascii="Book Antiqua" w:hAnsi="Book Antiqua" w:cs="Arial"/>
                <w:sz w:val="16"/>
                <w:szCs w:val="16"/>
              </w:rPr>
            </w:pPr>
            <w:r w:rsidRPr="005858CD">
              <w:rPr>
                <w:rFonts w:ascii="Book Antiqua" w:hAnsi="Book Antiqua" w:cs="Arial"/>
                <w:b/>
                <w:bCs/>
                <w:sz w:val="16"/>
                <w:szCs w:val="16"/>
              </w:rPr>
              <w:t>|__|</w:t>
            </w:r>
          </w:p>
        </w:tc>
      </w:tr>
    </w:tbl>
    <w:p w14:paraId="783AE54F" w14:textId="77777777" w:rsidR="005858CD" w:rsidRPr="005858CD" w:rsidRDefault="005858CD" w:rsidP="008C041F">
      <w:pPr>
        <w:rPr>
          <w:rFonts w:ascii="Book Antiqua" w:hAnsi="Book Antiqua" w:cs="Arial"/>
          <w:sz w:val="16"/>
          <w:szCs w:val="16"/>
        </w:rPr>
      </w:pPr>
    </w:p>
    <w:p w14:paraId="067C0A61" w14:textId="77777777" w:rsidR="005858CD" w:rsidRPr="005858CD" w:rsidRDefault="005858CD" w:rsidP="008C041F">
      <w:pPr>
        <w:rPr>
          <w:rFonts w:ascii="Book Antiqua" w:hAnsi="Book Antiqua" w:cs="Arial"/>
          <w:sz w:val="16"/>
          <w:szCs w:val="16"/>
        </w:rPr>
      </w:pPr>
    </w:p>
    <w:p w14:paraId="5FA6D652" w14:textId="77777777" w:rsidR="005858CD" w:rsidRPr="005858CD" w:rsidRDefault="005858CD" w:rsidP="008C041F">
      <w:pPr>
        <w:rPr>
          <w:rFonts w:ascii="Book Antiqua" w:hAnsi="Book Antiqua" w:cs="Arial"/>
          <w:sz w:val="16"/>
          <w:szCs w:val="16"/>
        </w:rPr>
      </w:pPr>
    </w:p>
    <w:p w14:paraId="1E78F2A4" w14:textId="77777777" w:rsidR="005858CD" w:rsidRPr="005858CD" w:rsidRDefault="005858CD" w:rsidP="008C041F">
      <w:pPr>
        <w:rPr>
          <w:rFonts w:ascii="Book Antiqua" w:hAnsi="Book Antiqua" w:cs="Arial"/>
          <w:sz w:val="16"/>
          <w:szCs w:val="16"/>
        </w:rPr>
      </w:pPr>
    </w:p>
    <w:p w14:paraId="210131CE" w14:textId="77777777" w:rsidR="005858CD" w:rsidRPr="005858CD" w:rsidRDefault="005858CD">
      <w:pPr>
        <w:rPr>
          <w:rFonts w:ascii="Book Antiqua" w:hAnsi="Book Antiqua" w:cs="Arial"/>
          <w:sz w:val="16"/>
          <w:szCs w:val="16"/>
        </w:rPr>
        <w:sectPr w:rsidR="005858CD" w:rsidRPr="005858CD" w:rsidSect="00293176">
          <w:footerReference w:type="default" r:id="rId114"/>
          <w:type w:val="continuous"/>
          <w:pgSz w:w="16839" w:h="11907" w:orient="landscape" w:code="9"/>
          <w:pgMar w:top="1440" w:right="1440" w:bottom="1440" w:left="2160" w:header="706" w:footer="706" w:gutter="0"/>
          <w:cols w:space="708"/>
          <w:docGrid w:linePitch="360"/>
        </w:sectPr>
      </w:pPr>
    </w:p>
    <w:p w14:paraId="45E07677" w14:textId="77777777" w:rsidR="005858CD" w:rsidRPr="005858CD" w:rsidRDefault="005858CD">
      <w:pPr>
        <w:rPr>
          <w:rFonts w:ascii="Book Antiqua" w:hAnsi="Book Antiqua" w:cs="Arial"/>
          <w:sz w:val="16"/>
          <w:szCs w:val="16"/>
        </w:rPr>
      </w:pPr>
    </w:p>
    <w:p w14:paraId="4F2D89C6" w14:textId="77777777" w:rsidR="005858CD" w:rsidRPr="005858CD" w:rsidRDefault="005858CD">
      <w:pPr>
        <w:rPr>
          <w:rFonts w:ascii="Book Antiqua" w:hAnsi="Book Antiqua" w:cs="Arial"/>
          <w:b/>
          <w:color w:val="000000"/>
          <w:sz w:val="20"/>
          <w:szCs w:val="20"/>
          <w:u w:val="single"/>
        </w:rPr>
      </w:pPr>
      <w:r w:rsidRPr="005858CD">
        <w:rPr>
          <w:rFonts w:ascii="Book Antiqua" w:hAnsi="Book Antiqua" w:cs="Arial"/>
          <w:b/>
          <w:color w:val="000000"/>
          <w:sz w:val="20"/>
          <w:szCs w:val="20"/>
          <w:u w:val="single"/>
        </w:rPr>
        <w:t xml:space="preserve">3) Información Personal </w:t>
      </w:r>
    </w:p>
    <w:p w14:paraId="210B42E7" w14:textId="77777777" w:rsidR="005858CD" w:rsidRPr="005858CD" w:rsidRDefault="005858CD">
      <w:pPr>
        <w:rPr>
          <w:rFonts w:ascii="Arial" w:hAnsi="Arial" w:cs="Arial"/>
          <w:b/>
          <w:color w:val="000000"/>
          <w:sz w:val="18"/>
          <w:szCs w:val="18"/>
        </w:rPr>
      </w:pPr>
    </w:p>
    <w:tbl>
      <w:tblPr>
        <w:tblW w:w="1044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40"/>
        <w:gridCol w:w="5670"/>
        <w:gridCol w:w="2970"/>
        <w:gridCol w:w="1260"/>
      </w:tblGrid>
      <w:tr w:rsidR="005858CD" w:rsidRPr="005858CD" w14:paraId="189DC1A0" w14:textId="77777777" w:rsidTr="00873A6E">
        <w:trPr>
          <w:trHeight w:val="842"/>
        </w:trPr>
        <w:tc>
          <w:tcPr>
            <w:tcW w:w="540" w:type="dxa"/>
            <w:tcBorders>
              <w:top w:val="single" w:sz="12" w:space="0" w:color="auto"/>
              <w:left w:val="single" w:sz="12" w:space="0" w:color="000000"/>
              <w:bottom w:val="single" w:sz="8" w:space="0" w:color="auto"/>
            </w:tcBorders>
            <w:vAlign w:val="center"/>
          </w:tcPr>
          <w:p w14:paraId="481266D1"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t>3.1</w:t>
            </w:r>
          </w:p>
        </w:tc>
        <w:tc>
          <w:tcPr>
            <w:tcW w:w="5670" w:type="dxa"/>
            <w:tcBorders>
              <w:top w:val="single" w:sz="12" w:space="0" w:color="auto"/>
              <w:bottom w:val="single" w:sz="8" w:space="0" w:color="auto"/>
              <w:right w:val="nil"/>
            </w:tcBorders>
            <w:vAlign w:val="center"/>
          </w:tcPr>
          <w:p w14:paraId="04FF4409" w14:textId="77777777" w:rsidR="005858CD" w:rsidRPr="005858CD" w:rsidRDefault="005858CD">
            <w:pPr>
              <w:rPr>
                <w:rFonts w:ascii="Book Antiqua" w:eastAsia="Arial Unicode MS" w:hAnsi="Book Antiqua" w:cs="Arial"/>
                <w:b/>
                <w:iCs/>
                <w:color w:val="000000"/>
                <w:sz w:val="16"/>
                <w:szCs w:val="16"/>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rPr>
              <w:t>Cuál es su religión?</w:t>
            </w:r>
          </w:p>
        </w:tc>
        <w:tc>
          <w:tcPr>
            <w:tcW w:w="2970" w:type="dxa"/>
            <w:tcBorders>
              <w:top w:val="single" w:sz="12" w:space="0" w:color="auto"/>
              <w:left w:val="nil"/>
              <w:bottom w:val="single" w:sz="8" w:space="0" w:color="auto"/>
              <w:right w:val="single" w:sz="8" w:space="0" w:color="000000"/>
            </w:tcBorders>
            <w:vAlign w:val="center"/>
          </w:tcPr>
          <w:p w14:paraId="4FE1B428"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0 = Sin religión </w:t>
            </w:r>
            <w:r w:rsidRPr="005858CD">
              <w:rPr>
                <w:rFonts w:ascii="Book Antiqua" w:hAnsi="Book Antiqua" w:cs="Arial"/>
                <w:b/>
                <w:bCs/>
                <w:iCs/>
                <w:color w:val="000000"/>
                <w:sz w:val="14"/>
                <w:szCs w:val="14"/>
              </w:rPr>
              <w:sym w:font="Wingdings" w:char="F0E0"/>
            </w:r>
            <w:r w:rsidRPr="005858CD">
              <w:rPr>
                <w:rFonts w:ascii="Book Antiqua" w:hAnsi="Book Antiqua" w:cs="Arial"/>
                <w:b/>
                <w:bCs/>
                <w:iCs/>
                <w:color w:val="000000"/>
                <w:sz w:val="14"/>
                <w:szCs w:val="14"/>
                <w:lang w:val="es-NI"/>
              </w:rPr>
              <w:t xml:space="preserve"> ir a 3.4</w:t>
            </w:r>
          </w:p>
          <w:p w14:paraId="20C946CA"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1 = Católica</w:t>
            </w:r>
          </w:p>
          <w:p w14:paraId="64AD6835"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Cristiana/Evangélica</w:t>
            </w:r>
          </w:p>
          <w:p w14:paraId="6B839543" w14:textId="77777777" w:rsidR="005858CD" w:rsidRPr="005858CD" w:rsidRDefault="005858CD">
            <w:pPr>
              <w:rPr>
                <w:rFonts w:ascii="Arial" w:hAnsi="Arial" w:cs="Arial"/>
                <w:bCs/>
                <w:iCs/>
                <w:color w:val="000000"/>
                <w:sz w:val="16"/>
                <w:szCs w:val="16"/>
                <w:highlight w:val="yellow"/>
              </w:rPr>
            </w:pPr>
            <w:r w:rsidRPr="005858CD">
              <w:rPr>
                <w:rFonts w:ascii="Book Antiqua" w:hAnsi="Book Antiqua" w:cs="Arial"/>
                <w:bCs/>
                <w:iCs/>
                <w:color w:val="000000"/>
                <w:sz w:val="14"/>
                <w:szCs w:val="14"/>
              </w:rPr>
              <w:t>3 = Otra: __________________________</w:t>
            </w:r>
          </w:p>
        </w:tc>
        <w:tc>
          <w:tcPr>
            <w:tcW w:w="1260" w:type="dxa"/>
            <w:tcBorders>
              <w:top w:val="single" w:sz="12" w:space="0" w:color="auto"/>
              <w:left w:val="single" w:sz="8" w:space="0" w:color="000000"/>
              <w:bottom w:val="single" w:sz="8" w:space="0" w:color="auto"/>
              <w:right w:val="single" w:sz="12" w:space="0" w:color="auto"/>
            </w:tcBorders>
            <w:vAlign w:val="center"/>
          </w:tcPr>
          <w:p w14:paraId="32022DA4"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0EF260A7" w14:textId="77777777" w:rsidTr="00873A6E">
        <w:trPr>
          <w:trHeight w:val="842"/>
        </w:trPr>
        <w:tc>
          <w:tcPr>
            <w:tcW w:w="540" w:type="dxa"/>
            <w:tcBorders>
              <w:top w:val="single" w:sz="8" w:space="0" w:color="auto"/>
              <w:left w:val="single" w:sz="12" w:space="0" w:color="000000"/>
              <w:bottom w:val="single" w:sz="8" w:space="0" w:color="auto"/>
            </w:tcBorders>
            <w:vAlign w:val="center"/>
          </w:tcPr>
          <w:p w14:paraId="7719D0D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3.2</w:t>
            </w:r>
          </w:p>
        </w:tc>
        <w:tc>
          <w:tcPr>
            <w:tcW w:w="5670" w:type="dxa"/>
            <w:tcBorders>
              <w:top w:val="single" w:sz="8" w:space="0" w:color="auto"/>
              <w:bottom w:val="single" w:sz="8" w:space="0" w:color="auto"/>
              <w:right w:val="nil"/>
            </w:tcBorders>
            <w:vAlign w:val="center"/>
          </w:tcPr>
          <w:p w14:paraId="346CDCE2" w14:textId="77777777" w:rsidR="005858CD" w:rsidRPr="005858CD" w:rsidRDefault="005858CD" w:rsidP="008C041F">
            <w:pPr>
              <w:rPr>
                <w:rFonts w:ascii="Book Antiqua" w:eastAsia="Arial Unicode MS" w:hAnsi="Book Antiqua" w:cs="Arial"/>
                <w:b/>
                <w:iCs/>
                <w:color w:val="000000"/>
                <w:sz w:val="16"/>
                <w:szCs w:val="16"/>
                <w:lang w:val="es-NI"/>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lang w:val="es-NI"/>
              </w:rPr>
              <w:t>En el último mes, cada cuánto ha ido al culto/iglesia para reuniones y celebraciones?</w:t>
            </w:r>
          </w:p>
        </w:tc>
        <w:tc>
          <w:tcPr>
            <w:tcW w:w="2970" w:type="dxa"/>
            <w:tcBorders>
              <w:top w:val="single" w:sz="8" w:space="0" w:color="auto"/>
              <w:left w:val="nil"/>
              <w:bottom w:val="single" w:sz="8" w:space="0" w:color="auto"/>
              <w:right w:val="single" w:sz="8" w:space="0" w:color="auto"/>
            </w:tcBorders>
            <w:vAlign w:val="center"/>
          </w:tcPr>
          <w:p w14:paraId="4F62A6CA"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16A56150"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1 = Al menos una vez</w:t>
            </w:r>
          </w:p>
          <w:p w14:paraId="6192E9F1"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por semana</w:t>
            </w:r>
          </w:p>
          <w:p w14:paraId="5C259F03"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2A52157A" w14:textId="77777777" w:rsidR="005858CD" w:rsidRPr="005858CD" w:rsidRDefault="005858CD" w:rsidP="008C041F">
            <w:pPr>
              <w:rPr>
                <w:rFonts w:ascii="Arial" w:hAnsi="Arial" w:cs="Arial"/>
                <w:bCs/>
                <w:iCs/>
                <w:color w:val="000000"/>
                <w:sz w:val="14"/>
                <w:szCs w:val="14"/>
                <w:lang w:val="es-NI"/>
              </w:rPr>
            </w:pPr>
            <w:r w:rsidRPr="005858CD">
              <w:rPr>
                <w:rFonts w:ascii="Book Antiqua" w:hAnsi="Book Antiqua" w:cs="Arial"/>
                <w:bCs/>
                <w:iCs/>
                <w:color w:val="000000"/>
                <w:sz w:val="14"/>
                <w:szCs w:val="14"/>
                <w:lang w:val="es-NI"/>
              </w:rPr>
              <w:t>4 = Varias veces al día</w:t>
            </w:r>
          </w:p>
        </w:tc>
        <w:tc>
          <w:tcPr>
            <w:tcW w:w="1260" w:type="dxa"/>
            <w:tcBorders>
              <w:top w:val="single" w:sz="8" w:space="0" w:color="auto"/>
              <w:left w:val="single" w:sz="8" w:space="0" w:color="auto"/>
              <w:bottom w:val="single" w:sz="8" w:space="0" w:color="auto"/>
              <w:right w:val="single" w:sz="12" w:space="0" w:color="auto"/>
            </w:tcBorders>
            <w:vAlign w:val="center"/>
          </w:tcPr>
          <w:p w14:paraId="2A0EA590"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4B427DD7" w14:textId="77777777" w:rsidTr="00873A6E">
        <w:trPr>
          <w:trHeight w:val="842"/>
        </w:trPr>
        <w:tc>
          <w:tcPr>
            <w:tcW w:w="540" w:type="dxa"/>
            <w:tcBorders>
              <w:top w:val="single" w:sz="8" w:space="0" w:color="auto"/>
              <w:left w:val="single" w:sz="12" w:space="0" w:color="000000"/>
              <w:bottom w:val="single" w:sz="8" w:space="0" w:color="auto"/>
            </w:tcBorders>
            <w:vAlign w:val="center"/>
          </w:tcPr>
          <w:p w14:paraId="0372AA4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3.3</w:t>
            </w:r>
          </w:p>
        </w:tc>
        <w:tc>
          <w:tcPr>
            <w:tcW w:w="5670" w:type="dxa"/>
            <w:tcBorders>
              <w:top w:val="single" w:sz="8" w:space="0" w:color="auto"/>
              <w:bottom w:val="single" w:sz="8" w:space="0" w:color="auto"/>
              <w:right w:val="nil"/>
            </w:tcBorders>
            <w:vAlign w:val="center"/>
          </w:tcPr>
          <w:p w14:paraId="60FA534E" w14:textId="77777777" w:rsidR="005858CD" w:rsidRPr="005858CD" w:rsidRDefault="005858CD" w:rsidP="008C041F">
            <w:pPr>
              <w:rPr>
                <w:rFonts w:ascii="Book Antiqua" w:eastAsia="Arial Unicode MS" w:hAnsi="Book Antiqua" w:cs="Arial"/>
                <w:b/>
                <w:iCs/>
                <w:color w:val="000000"/>
                <w:sz w:val="16"/>
                <w:szCs w:val="16"/>
                <w:lang w:val="es-NI"/>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lang w:val="es-NI"/>
              </w:rPr>
              <w:t xml:space="preserve">En el último mes, cuántas veces ha leído o estudiado la biblia o libros religiosos? </w:t>
            </w:r>
          </w:p>
        </w:tc>
        <w:tc>
          <w:tcPr>
            <w:tcW w:w="2970" w:type="dxa"/>
            <w:tcBorders>
              <w:top w:val="single" w:sz="8" w:space="0" w:color="auto"/>
              <w:left w:val="nil"/>
              <w:bottom w:val="single" w:sz="8" w:space="0" w:color="auto"/>
              <w:right w:val="single" w:sz="8" w:space="0" w:color="auto"/>
            </w:tcBorders>
            <w:vAlign w:val="center"/>
          </w:tcPr>
          <w:p w14:paraId="7E5AD36A"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7D6D81EA"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1 = Al menos una vez</w:t>
            </w:r>
          </w:p>
          <w:p w14:paraId="6D1DEA50"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por semana</w:t>
            </w:r>
          </w:p>
          <w:p w14:paraId="2FB2E617"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7D31D0E6"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lang w:val="es-NI"/>
              </w:rPr>
              <w:t>4 = Varias veces al día</w:t>
            </w:r>
          </w:p>
        </w:tc>
        <w:tc>
          <w:tcPr>
            <w:tcW w:w="1260" w:type="dxa"/>
            <w:tcBorders>
              <w:top w:val="single" w:sz="8" w:space="0" w:color="auto"/>
              <w:left w:val="single" w:sz="8" w:space="0" w:color="auto"/>
              <w:bottom w:val="single" w:sz="8" w:space="0" w:color="auto"/>
              <w:right w:val="single" w:sz="12" w:space="0" w:color="auto"/>
            </w:tcBorders>
            <w:vAlign w:val="center"/>
          </w:tcPr>
          <w:p w14:paraId="7B2811DE"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1571A228" w14:textId="77777777" w:rsidTr="00873A6E">
        <w:trPr>
          <w:trHeight w:val="331"/>
        </w:trPr>
        <w:tc>
          <w:tcPr>
            <w:tcW w:w="540" w:type="dxa"/>
            <w:tcBorders>
              <w:top w:val="single" w:sz="8" w:space="0" w:color="auto"/>
              <w:left w:val="single" w:sz="12" w:space="0" w:color="000000"/>
              <w:bottom w:val="single" w:sz="8" w:space="0" w:color="auto"/>
            </w:tcBorders>
            <w:vAlign w:val="center"/>
          </w:tcPr>
          <w:p w14:paraId="50E2754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3.4</w:t>
            </w:r>
          </w:p>
        </w:tc>
        <w:tc>
          <w:tcPr>
            <w:tcW w:w="5670" w:type="dxa"/>
            <w:tcBorders>
              <w:top w:val="single" w:sz="8" w:space="0" w:color="auto"/>
              <w:bottom w:val="single" w:sz="8" w:space="0" w:color="auto"/>
              <w:right w:val="nil"/>
            </w:tcBorders>
            <w:vAlign w:val="center"/>
          </w:tcPr>
          <w:p w14:paraId="1AB8F16B"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color w:val="000000"/>
                <w:sz w:val="16"/>
                <w:szCs w:val="16"/>
                <w:lang w:val="es-NI"/>
              </w:rPr>
              <w:t>Ha vivido alguna vez en un área urbana?</w:t>
            </w:r>
          </w:p>
        </w:tc>
        <w:tc>
          <w:tcPr>
            <w:tcW w:w="2970" w:type="dxa"/>
            <w:tcBorders>
              <w:top w:val="single" w:sz="8" w:space="0" w:color="auto"/>
              <w:left w:val="nil"/>
              <w:bottom w:val="single" w:sz="8" w:space="0" w:color="auto"/>
              <w:right w:val="single" w:sz="8" w:space="0" w:color="auto"/>
            </w:tcBorders>
            <w:vAlign w:val="center"/>
          </w:tcPr>
          <w:p w14:paraId="44124F31"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0D74E2EB" w14:textId="77777777" w:rsidR="005858CD" w:rsidRPr="005858CD" w:rsidRDefault="005858CD" w:rsidP="008C041F">
            <w:pPr>
              <w:rPr>
                <w:rFonts w:ascii="Arial" w:hAnsi="Arial" w:cs="Arial"/>
                <w:bCs/>
                <w:sz w:val="14"/>
                <w:szCs w:val="14"/>
              </w:rPr>
            </w:pPr>
            <w:r w:rsidRPr="005858CD">
              <w:rPr>
                <w:rFonts w:ascii="Book Antiqua" w:hAnsi="Book Antiqua" w:cs="Arial"/>
                <w:bCs/>
                <w:iCs/>
                <w:color w:val="000000"/>
                <w:sz w:val="14"/>
                <w:szCs w:val="14"/>
              </w:rPr>
              <w:t>1 = Si</w:t>
            </w:r>
          </w:p>
        </w:tc>
        <w:tc>
          <w:tcPr>
            <w:tcW w:w="1260" w:type="dxa"/>
            <w:tcBorders>
              <w:top w:val="single" w:sz="8" w:space="0" w:color="auto"/>
              <w:left w:val="single" w:sz="8" w:space="0" w:color="auto"/>
              <w:bottom w:val="single" w:sz="8" w:space="0" w:color="auto"/>
              <w:right w:val="single" w:sz="12" w:space="0" w:color="auto"/>
            </w:tcBorders>
            <w:vAlign w:val="center"/>
          </w:tcPr>
          <w:p w14:paraId="58321C39"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5EAD01A0" w14:textId="77777777" w:rsidTr="00873A6E">
        <w:trPr>
          <w:trHeight w:val="411"/>
        </w:trPr>
        <w:tc>
          <w:tcPr>
            <w:tcW w:w="540" w:type="dxa"/>
            <w:tcBorders>
              <w:top w:val="single" w:sz="8" w:space="0" w:color="auto"/>
              <w:left w:val="single" w:sz="12" w:space="0" w:color="000000"/>
              <w:bottom w:val="single" w:sz="12" w:space="0" w:color="auto"/>
            </w:tcBorders>
            <w:vAlign w:val="center"/>
          </w:tcPr>
          <w:p w14:paraId="43669E24"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3.5</w:t>
            </w:r>
          </w:p>
        </w:tc>
        <w:tc>
          <w:tcPr>
            <w:tcW w:w="5670" w:type="dxa"/>
            <w:tcBorders>
              <w:top w:val="single" w:sz="8" w:space="0" w:color="auto"/>
              <w:bottom w:val="single" w:sz="12" w:space="0" w:color="auto"/>
              <w:right w:val="nil"/>
            </w:tcBorders>
            <w:vAlign w:val="center"/>
          </w:tcPr>
          <w:p w14:paraId="52CD9B1A"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color w:val="000000"/>
                <w:sz w:val="16"/>
                <w:szCs w:val="16"/>
                <w:lang w:val="es-NI"/>
              </w:rPr>
              <w:t>Cuántos años vivió en el área urbana?</w:t>
            </w:r>
          </w:p>
        </w:tc>
        <w:tc>
          <w:tcPr>
            <w:tcW w:w="2970" w:type="dxa"/>
            <w:tcBorders>
              <w:top w:val="single" w:sz="8" w:space="0" w:color="auto"/>
              <w:left w:val="nil"/>
              <w:bottom w:val="single" w:sz="12" w:space="0" w:color="auto"/>
              <w:right w:val="single" w:sz="8" w:space="0" w:color="auto"/>
            </w:tcBorders>
            <w:vAlign w:val="center"/>
          </w:tcPr>
          <w:p w14:paraId="34C40DFC"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Número de años </w:t>
            </w:r>
          </w:p>
        </w:tc>
        <w:tc>
          <w:tcPr>
            <w:tcW w:w="1260" w:type="dxa"/>
            <w:tcBorders>
              <w:top w:val="single" w:sz="8" w:space="0" w:color="auto"/>
              <w:left w:val="single" w:sz="8" w:space="0" w:color="auto"/>
              <w:bottom w:val="single" w:sz="12" w:space="0" w:color="auto"/>
              <w:right w:val="single" w:sz="12" w:space="0" w:color="auto"/>
            </w:tcBorders>
            <w:vAlign w:val="center"/>
          </w:tcPr>
          <w:p w14:paraId="605958B5"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bl>
    <w:p w14:paraId="2E244A37" w14:textId="77777777" w:rsidR="005858CD" w:rsidRPr="005858CD" w:rsidRDefault="005858CD" w:rsidP="008C041F">
      <w:pPr>
        <w:rPr>
          <w:rFonts w:ascii="Arial" w:hAnsi="Arial" w:cs="Arial"/>
          <w:b/>
          <w:color w:val="000000"/>
          <w:sz w:val="22"/>
          <w:szCs w:val="22"/>
          <w:u w:val="single"/>
        </w:rPr>
      </w:pPr>
    </w:p>
    <w:p w14:paraId="413FF9D2" w14:textId="77777777" w:rsidR="005858CD" w:rsidRPr="005858CD" w:rsidRDefault="005858CD" w:rsidP="008C041F">
      <w:pPr>
        <w:rPr>
          <w:rFonts w:ascii="Book Antiqua" w:hAnsi="Book Antiqua" w:cs="Arial"/>
          <w:b/>
          <w:color w:val="000000"/>
          <w:sz w:val="20"/>
          <w:szCs w:val="20"/>
          <w:u w:val="single"/>
        </w:rPr>
      </w:pPr>
      <w:r w:rsidRPr="005858CD">
        <w:rPr>
          <w:rFonts w:ascii="Book Antiqua" w:hAnsi="Book Antiqua" w:cs="Arial"/>
          <w:b/>
          <w:color w:val="000000"/>
          <w:sz w:val="20"/>
          <w:szCs w:val="20"/>
          <w:u w:val="single"/>
        </w:rPr>
        <w:t>4) Condiciones en el hogar/Ingresos</w:t>
      </w:r>
    </w:p>
    <w:p w14:paraId="4E5FBEF6" w14:textId="77777777" w:rsidR="005858CD" w:rsidRPr="005858CD" w:rsidRDefault="005858CD" w:rsidP="008C041F">
      <w:pPr>
        <w:rPr>
          <w:rFonts w:ascii="Arial" w:hAnsi="Arial" w:cs="Arial"/>
          <w:b/>
          <w:color w:val="000000"/>
          <w:sz w:val="18"/>
          <w:szCs w:val="18"/>
        </w:rPr>
      </w:pPr>
    </w:p>
    <w:tbl>
      <w:tblPr>
        <w:tblW w:w="1026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66"/>
        <w:gridCol w:w="4112"/>
        <w:gridCol w:w="1532"/>
        <w:gridCol w:w="2250"/>
        <w:gridCol w:w="1800"/>
      </w:tblGrid>
      <w:tr w:rsidR="005858CD" w:rsidRPr="005858CD" w14:paraId="7D4D395F" w14:textId="77777777" w:rsidTr="00873A6E">
        <w:trPr>
          <w:trHeight w:val="402"/>
        </w:trPr>
        <w:tc>
          <w:tcPr>
            <w:tcW w:w="566" w:type="dxa"/>
            <w:tcBorders>
              <w:top w:val="single" w:sz="12" w:space="0" w:color="auto"/>
              <w:left w:val="single" w:sz="12" w:space="0" w:color="000000"/>
            </w:tcBorders>
            <w:vAlign w:val="center"/>
          </w:tcPr>
          <w:p w14:paraId="4A2DBCC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w:t>
            </w:r>
          </w:p>
        </w:tc>
        <w:tc>
          <w:tcPr>
            <w:tcW w:w="4112" w:type="dxa"/>
            <w:tcBorders>
              <w:top w:val="single" w:sz="12" w:space="0" w:color="auto"/>
              <w:right w:val="nil"/>
            </w:tcBorders>
            <w:vAlign w:val="center"/>
          </w:tcPr>
          <w:p w14:paraId="57AF2CB3"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color w:val="000000"/>
                <w:sz w:val="16"/>
                <w:szCs w:val="16"/>
                <w:lang w:val="es-NI"/>
              </w:rPr>
              <w:t>Tu familia tiene acceso a tierras cultivables?</w:t>
            </w:r>
          </w:p>
        </w:tc>
        <w:tc>
          <w:tcPr>
            <w:tcW w:w="1532" w:type="dxa"/>
            <w:tcBorders>
              <w:top w:val="single" w:sz="12" w:space="0" w:color="auto"/>
              <w:left w:val="nil"/>
              <w:right w:val="single" w:sz="8" w:space="0" w:color="000000"/>
            </w:tcBorders>
            <w:vAlign w:val="center"/>
          </w:tcPr>
          <w:p w14:paraId="7652C124"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5FC8746B"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1 = Si</w:t>
            </w:r>
          </w:p>
        </w:tc>
        <w:tc>
          <w:tcPr>
            <w:tcW w:w="4050" w:type="dxa"/>
            <w:gridSpan w:val="2"/>
            <w:tcBorders>
              <w:top w:val="single" w:sz="12" w:space="0" w:color="auto"/>
              <w:left w:val="single" w:sz="8" w:space="0" w:color="000000"/>
              <w:right w:val="single" w:sz="12" w:space="0" w:color="000000"/>
            </w:tcBorders>
            <w:vAlign w:val="center"/>
          </w:tcPr>
          <w:p w14:paraId="28270DE8" w14:textId="77777777" w:rsidR="005858CD" w:rsidRPr="005858CD" w:rsidRDefault="005858CD">
            <w:pPr>
              <w:jc w:val="center"/>
              <w:rPr>
                <w:b/>
                <w:bCs/>
                <w:color w:val="000000"/>
                <w:sz w:val="28"/>
                <w:szCs w:val="28"/>
              </w:rPr>
            </w:pPr>
            <w:r w:rsidRPr="005858CD">
              <w:rPr>
                <w:b/>
                <w:bCs/>
                <w:color w:val="000000"/>
                <w:sz w:val="28"/>
                <w:szCs w:val="28"/>
              </w:rPr>
              <w:t>|__|</w:t>
            </w:r>
            <w:r w:rsidRPr="005858CD">
              <w:rPr>
                <w:rFonts w:ascii="Arial" w:hAnsi="Arial" w:cs="Arial"/>
                <w:bCs/>
                <w:i/>
                <w:color w:val="000000"/>
                <w:sz w:val="14"/>
                <w:szCs w:val="14"/>
              </w:rPr>
              <w:t xml:space="preserve">                       </w:t>
            </w:r>
          </w:p>
        </w:tc>
      </w:tr>
      <w:tr w:rsidR="005858CD" w:rsidRPr="005858CD" w14:paraId="5DB79452" w14:textId="77777777" w:rsidTr="00873A6E">
        <w:trPr>
          <w:trHeight w:val="216"/>
        </w:trPr>
        <w:tc>
          <w:tcPr>
            <w:tcW w:w="566" w:type="dxa"/>
            <w:vMerge w:val="restart"/>
            <w:tcBorders>
              <w:left w:val="single" w:sz="12" w:space="0" w:color="000000"/>
            </w:tcBorders>
            <w:vAlign w:val="center"/>
          </w:tcPr>
          <w:p w14:paraId="169EE54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4.2</w:t>
            </w:r>
          </w:p>
        </w:tc>
        <w:tc>
          <w:tcPr>
            <w:tcW w:w="5644" w:type="dxa"/>
            <w:gridSpan w:val="2"/>
            <w:vMerge w:val="restart"/>
            <w:tcBorders>
              <w:right w:val="single" w:sz="8" w:space="0" w:color="auto"/>
            </w:tcBorders>
            <w:vAlign w:val="center"/>
          </w:tcPr>
          <w:p w14:paraId="68CEA0B1"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color w:val="000000"/>
                <w:sz w:val="16"/>
                <w:szCs w:val="16"/>
                <w:lang w:val="es-NI"/>
              </w:rPr>
              <w:t>A cuánta tierra tienen acceso según estas formas de propiedad?</w:t>
            </w:r>
          </w:p>
          <w:p w14:paraId="59F7A694" w14:textId="77777777" w:rsidR="005858CD" w:rsidRPr="005858CD" w:rsidRDefault="005858CD" w:rsidP="008C041F">
            <w:pPr>
              <w:ind w:right="80"/>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 </w:t>
            </w:r>
          </w:p>
        </w:tc>
        <w:tc>
          <w:tcPr>
            <w:tcW w:w="2250" w:type="dxa"/>
            <w:tcBorders>
              <w:left w:val="single" w:sz="8" w:space="0" w:color="auto"/>
              <w:bottom w:val="single" w:sz="12" w:space="0" w:color="auto"/>
              <w:right w:val="single" w:sz="8" w:space="0" w:color="auto"/>
            </w:tcBorders>
            <w:vAlign w:val="center"/>
          </w:tcPr>
          <w:p w14:paraId="0CBE5469" w14:textId="77777777" w:rsidR="005858CD" w:rsidRPr="005858CD" w:rsidRDefault="005858CD" w:rsidP="008C041F">
            <w:pPr>
              <w:jc w:val="right"/>
              <w:rPr>
                <w:rFonts w:ascii="Arial" w:hAnsi="Arial" w:cs="Arial"/>
                <w:bCs/>
                <w:color w:val="000000"/>
                <w:sz w:val="14"/>
                <w:szCs w:val="14"/>
                <w:lang w:val="es-NI"/>
              </w:rPr>
            </w:pPr>
          </w:p>
        </w:tc>
        <w:tc>
          <w:tcPr>
            <w:tcW w:w="1800" w:type="dxa"/>
            <w:tcBorders>
              <w:left w:val="single" w:sz="8" w:space="0" w:color="auto"/>
              <w:bottom w:val="single" w:sz="12" w:space="0" w:color="auto"/>
              <w:right w:val="single" w:sz="12" w:space="0" w:color="000000"/>
            </w:tcBorders>
            <w:vAlign w:val="center"/>
          </w:tcPr>
          <w:p w14:paraId="7CB8EF0C" w14:textId="77777777" w:rsidR="005858CD" w:rsidRPr="005858CD" w:rsidRDefault="005858CD" w:rsidP="008C041F">
            <w:pPr>
              <w:jc w:val="center"/>
              <w:rPr>
                <w:b/>
                <w:bCs/>
                <w:color w:val="000000"/>
                <w:sz w:val="14"/>
                <w:szCs w:val="14"/>
              </w:rPr>
            </w:pPr>
            <w:r w:rsidRPr="005858CD">
              <w:rPr>
                <w:rFonts w:ascii="Book Antiqua" w:hAnsi="Book Antiqua" w:cs="Arial"/>
                <w:bCs/>
                <w:color w:val="000000"/>
                <w:sz w:val="14"/>
                <w:szCs w:val="14"/>
              </w:rPr>
              <w:t>Tierra en manzanas</w:t>
            </w:r>
          </w:p>
        </w:tc>
      </w:tr>
      <w:tr w:rsidR="005858CD" w:rsidRPr="005858CD" w14:paraId="181E10B9" w14:textId="77777777" w:rsidTr="00873A6E">
        <w:trPr>
          <w:trHeight w:val="216"/>
        </w:trPr>
        <w:tc>
          <w:tcPr>
            <w:tcW w:w="566" w:type="dxa"/>
            <w:vMerge/>
            <w:tcBorders>
              <w:left w:val="single" w:sz="12" w:space="0" w:color="000000"/>
            </w:tcBorders>
            <w:vAlign w:val="center"/>
          </w:tcPr>
          <w:p w14:paraId="66C1FC75" w14:textId="77777777" w:rsidR="005858CD" w:rsidRPr="005858CD" w:rsidRDefault="005858CD">
            <w:pPr>
              <w:rPr>
                <w:rFonts w:ascii="Arial" w:hAnsi="Arial" w:cs="Arial"/>
                <w:bCs/>
                <w:color w:val="000000"/>
                <w:sz w:val="18"/>
              </w:rPr>
            </w:pPr>
          </w:p>
        </w:tc>
        <w:tc>
          <w:tcPr>
            <w:tcW w:w="5644" w:type="dxa"/>
            <w:gridSpan w:val="2"/>
            <w:vMerge/>
            <w:tcBorders>
              <w:right w:val="single" w:sz="8" w:space="0" w:color="auto"/>
            </w:tcBorders>
            <w:vAlign w:val="center"/>
          </w:tcPr>
          <w:p w14:paraId="3AFEF935" w14:textId="77777777" w:rsidR="005858CD" w:rsidRPr="005858CD" w:rsidRDefault="005858CD">
            <w:pPr>
              <w:ind w:right="80"/>
              <w:rPr>
                <w:rFonts w:ascii="Arial" w:hAnsi="Arial" w:cs="Arial"/>
                <w:bCs/>
                <w:i/>
                <w:color w:val="000000"/>
                <w:sz w:val="14"/>
                <w:szCs w:val="14"/>
              </w:rPr>
            </w:pPr>
          </w:p>
        </w:tc>
        <w:tc>
          <w:tcPr>
            <w:tcW w:w="2250" w:type="dxa"/>
            <w:tcBorders>
              <w:top w:val="single" w:sz="12" w:space="0" w:color="auto"/>
              <w:left w:val="single" w:sz="8" w:space="0" w:color="auto"/>
              <w:right w:val="single" w:sz="8" w:space="0" w:color="auto"/>
            </w:tcBorders>
            <w:vAlign w:val="center"/>
          </w:tcPr>
          <w:p w14:paraId="62AB44E3" w14:textId="77777777" w:rsidR="005858CD" w:rsidRPr="005858CD" w:rsidRDefault="005858CD">
            <w:pPr>
              <w:rPr>
                <w:rFonts w:ascii="Book Antiqua" w:hAnsi="Book Antiqua"/>
                <w:b/>
                <w:bCs/>
                <w:color w:val="000000"/>
                <w:sz w:val="28"/>
                <w:szCs w:val="28"/>
              </w:rPr>
            </w:pPr>
            <w:r w:rsidRPr="005858CD">
              <w:rPr>
                <w:rFonts w:ascii="Book Antiqua" w:hAnsi="Book Antiqua" w:cs="Arial"/>
                <w:bCs/>
                <w:color w:val="000000"/>
                <w:sz w:val="14"/>
                <w:szCs w:val="14"/>
              </w:rPr>
              <w:t xml:space="preserve">Tierras de la familia                  </w:t>
            </w:r>
          </w:p>
        </w:tc>
        <w:tc>
          <w:tcPr>
            <w:tcW w:w="1800" w:type="dxa"/>
            <w:tcBorders>
              <w:top w:val="single" w:sz="12" w:space="0" w:color="auto"/>
              <w:left w:val="single" w:sz="8" w:space="0" w:color="auto"/>
              <w:right w:val="single" w:sz="12" w:space="0" w:color="000000"/>
            </w:tcBorders>
            <w:vAlign w:val="center"/>
          </w:tcPr>
          <w:p w14:paraId="5F7EA21D" w14:textId="77777777" w:rsidR="005858CD" w:rsidRPr="005858CD" w:rsidRDefault="005858CD">
            <w:pPr>
              <w:rPr>
                <w:b/>
                <w:bCs/>
                <w:color w:val="000000"/>
                <w:sz w:val="14"/>
                <w:szCs w:val="14"/>
              </w:rPr>
            </w:pPr>
          </w:p>
        </w:tc>
      </w:tr>
      <w:tr w:rsidR="005858CD" w:rsidRPr="005858CD" w14:paraId="72AF1273" w14:textId="77777777" w:rsidTr="00873A6E">
        <w:trPr>
          <w:trHeight w:val="216"/>
        </w:trPr>
        <w:tc>
          <w:tcPr>
            <w:tcW w:w="566" w:type="dxa"/>
            <w:vMerge/>
            <w:tcBorders>
              <w:left w:val="single" w:sz="12" w:space="0" w:color="000000"/>
            </w:tcBorders>
            <w:vAlign w:val="center"/>
          </w:tcPr>
          <w:p w14:paraId="5474490C" w14:textId="77777777" w:rsidR="005858CD" w:rsidRPr="005858CD" w:rsidRDefault="005858CD">
            <w:pPr>
              <w:rPr>
                <w:rFonts w:ascii="Arial" w:hAnsi="Arial" w:cs="Arial"/>
                <w:bCs/>
                <w:color w:val="000000"/>
                <w:sz w:val="18"/>
              </w:rPr>
            </w:pPr>
          </w:p>
        </w:tc>
        <w:tc>
          <w:tcPr>
            <w:tcW w:w="5644" w:type="dxa"/>
            <w:gridSpan w:val="2"/>
            <w:vMerge/>
            <w:tcBorders>
              <w:right w:val="single" w:sz="8" w:space="0" w:color="auto"/>
            </w:tcBorders>
            <w:vAlign w:val="center"/>
          </w:tcPr>
          <w:p w14:paraId="0C2321E9" w14:textId="77777777" w:rsidR="005858CD" w:rsidRPr="005858CD" w:rsidRDefault="005858CD">
            <w:pPr>
              <w:ind w:right="80"/>
              <w:rPr>
                <w:rFonts w:ascii="Arial" w:hAnsi="Arial" w:cs="Arial"/>
                <w:bCs/>
                <w:color w:val="000000"/>
                <w:sz w:val="14"/>
                <w:szCs w:val="14"/>
              </w:rPr>
            </w:pPr>
          </w:p>
        </w:tc>
        <w:tc>
          <w:tcPr>
            <w:tcW w:w="2250" w:type="dxa"/>
            <w:tcBorders>
              <w:left w:val="single" w:sz="8" w:space="0" w:color="auto"/>
              <w:right w:val="single" w:sz="8" w:space="0" w:color="auto"/>
            </w:tcBorders>
            <w:vAlign w:val="center"/>
          </w:tcPr>
          <w:p w14:paraId="3AD8A53C" w14:textId="77777777" w:rsidR="005858CD" w:rsidRPr="005858CD" w:rsidRDefault="005858CD">
            <w:pPr>
              <w:rPr>
                <w:rFonts w:ascii="Book Antiqua" w:hAnsi="Book Antiqua" w:cs="Arial"/>
                <w:bCs/>
                <w:color w:val="000000"/>
                <w:sz w:val="14"/>
                <w:szCs w:val="14"/>
              </w:rPr>
            </w:pPr>
            <w:r w:rsidRPr="005858CD">
              <w:rPr>
                <w:rFonts w:ascii="Book Antiqua" w:hAnsi="Book Antiqua" w:cs="Arial"/>
                <w:bCs/>
                <w:color w:val="000000"/>
                <w:sz w:val="14"/>
                <w:szCs w:val="14"/>
              </w:rPr>
              <w:t xml:space="preserve">Tierras privadas                         </w:t>
            </w:r>
          </w:p>
        </w:tc>
        <w:tc>
          <w:tcPr>
            <w:tcW w:w="1800" w:type="dxa"/>
            <w:tcBorders>
              <w:left w:val="single" w:sz="8" w:space="0" w:color="auto"/>
              <w:right w:val="single" w:sz="12" w:space="0" w:color="000000"/>
            </w:tcBorders>
            <w:vAlign w:val="center"/>
          </w:tcPr>
          <w:p w14:paraId="2447D47A" w14:textId="77777777" w:rsidR="005858CD" w:rsidRPr="005858CD" w:rsidRDefault="005858CD">
            <w:pPr>
              <w:jc w:val="center"/>
              <w:rPr>
                <w:rFonts w:ascii="Arial" w:hAnsi="Arial" w:cs="Arial"/>
                <w:bCs/>
                <w:color w:val="000000"/>
                <w:sz w:val="14"/>
                <w:szCs w:val="14"/>
              </w:rPr>
            </w:pPr>
          </w:p>
        </w:tc>
      </w:tr>
      <w:tr w:rsidR="005858CD" w:rsidRPr="005858CD" w14:paraId="24A3F8C6" w14:textId="77777777" w:rsidTr="00873A6E">
        <w:trPr>
          <w:trHeight w:val="216"/>
        </w:trPr>
        <w:tc>
          <w:tcPr>
            <w:tcW w:w="566" w:type="dxa"/>
            <w:vMerge/>
            <w:tcBorders>
              <w:left w:val="single" w:sz="12" w:space="0" w:color="000000"/>
            </w:tcBorders>
            <w:vAlign w:val="center"/>
          </w:tcPr>
          <w:p w14:paraId="4163C694" w14:textId="77777777" w:rsidR="005858CD" w:rsidRPr="005858CD" w:rsidRDefault="005858CD">
            <w:pPr>
              <w:rPr>
                <w:rFonts w:ascii="Arial" w:hAnsi="Arial" w:cs="Arial"/>
                <w:bCs/>
                <w:color w:val="000000"/>
                <w:sz w:val="18"/>
              </w:rPr>
            </w:pPr>
          </w:p>
        </w:tc>
        <w:tc>
          <w:tcPr>
            <w:tcW w:w="5644" w:type="dxa"/>
            <w:gridSpan w:val="2"/>
            <w:vMerge/>
            <w:tcBorders>
              <w:right w:val="single" w:sz="8" w:space="0" w:color="auto"/>
            </w:tcBorders>
            <w:vAlign w:val="center"/>
          </w:tcPr>
          <w:p w14:paraId="2BC5FEE6" w14:textId="77777777" w:rsidR="005858CD" w:rsidRPr="005858CD" w:rsidRDefault="005858CD">
            <w:pPr>
              <w:ind w:right="80"/>
              <w:rPr>
                <w:rFonts w:ascii="Arial" w:hAnsi="Arial" w:cs="Arial"/>
                <w:bCs/>
                <w:color w:val="000000"/>
                <w:sz w:val="14"/>
                <w:szCs w:val="14"/>
              </w:rPr>
            </w:pPr>
          </w:p>
        </w:tc>
        <w:tc>
          <w:tcPr>
            <w:tcW w:w="2250" w:type="dxa"/>
            <w:tcBorders>
              <w:left w:val="single" w:sz="8" w:space="0" w:color="auto"/>
              <w:right w:val="single" w:sz="8" w:space="0" w:color="auto"/>
            </w:tcBorders>
            <w:vAlign w:val="center"/>
          </w:tcPr>
          <w:p w14:paraId="65D07CF1" w14:textId="77777777" w:rsidR="005858CD" w:rsidRPr="005858CD" w:rsidRDefault="005858CD">
            <w:pPr>
              <w:rPr>
                <w:rFonts w:ascii="Book Antiqua" w:hAnsi="Book Antiqua" w:cs="Arial"/>
                <w:bCs/>
                <w:color w:val="000000"/>
                <w:sz w:val="14"/>
                <w:szCs w:val="14"/>
              </w:rPr>
            </w:pPr>
            <w:r w:rsidRPr="005858CD">
              <w:rPr>
                <w:rFonts w:ascii="Book Antiqua" w:hAnsi="Book Antiqua" w:cs="Arial"/>
                <w:bCs/>
                <w:color w:val="000000"/>
                <w:sz w:val="14"/>
                <w:szCs w:val="14"/>
              </w:rPr>
              <w:t xml:space="preserve">Tierras alquiladas                     </w:t>
            </w:r>
          </w:p>
        </w:tc>
        <w:tc>
          <w:tcPr>
            <w:tcW w:w="1800" w:type="dxa"/>
            <w:tcBorders>
              <w:left w:val="single" w:sz="8" w:space="0" w:color="auto"/>
              <w:right w:val="single" w:sz="12" w:space="0" w:color="000000"/>
            </w:tcBorders>
            <w:vAlign w:val="center"/>
          </w:tcPr>
          <w:p w14:paraId="0A561D05" w14:textId="77777777" w:rsidR="005858CD" w:rsidRPr="005858CD" w:rsidRDefault="005858CD">
            <w:pPr>
              <w:jc w:val="center"/>
              <w:rPr>
                <w:rFonts w:ascii="Arial" w:hAnsi="Arial" w:cs="Arial"/>
                <w:bCs/>
                <w:color w:val="000000"/>
                <w:sz w:val="14"/>
                <w:szCs w:val="14"/>
              </w:rPr>
            </w:pPr>
          </w:p>
        </w:tc>
      </w:tr>
      <w:tr w:rsidR="005858CD" w:rsidRPr="005858CD" w14:paraId="71A751D5" w14:textId="77777777" w:rsidTr="00873A6E">
        <w:trPr>
          <w:trHeight w:val="216"/>
        </w:trPr>
        <w:tc>
          <w:tcPr>
            <w:tcW w:w="566" w:type="dxa"/>
            <w:vMerge/>
            <w:tcBorders>
              <w:left w:val="single" w:sz="12" w:space="0" w:color="000000"/>
            </w:tcBorders>
            <w:vAlign w:val="center"/>
          </w:tcPr>
          <w:p w14:paraId="418B80FF" w14:textId="77777777" w:rsidR="005858CD" w:rsidRPr="005858CD" w:rsidRDefault="005858CD">
            <w:pPr>
              <w:rPr>
                <w:rFonts w:ascii="Arial" w:hAnsi="Arial" w:cs="Arial"/>
                <w:bCs/>
                <w:color w:val="000000"/>
                <w:sz w:val="18"/>
              </w:rPr>
            </w:pPr>
          </w:p>
        </w:tc>
        <w:tc>
          <w:tcPr>
            <w:tcW w:w="5644" w:type="dxa"/>
            <w:gridSpan w:val="2"/>
            <w:vMerge/>
            <w:tcBorders>
              <w:right w:val="single" w:sz="8" w:space="0" w:color="auto"/>
            </w:tcBorders>
            <w:vAlign w:val="center"/>
          </w:tcPr>
          <w:p w14:paraId="1FE091E7" w14:textId="77777777" w:rsidR="005858CD" w:rsidRPr="005858CD" w:rsidRDefault="005858CD">
            <w:pPr>
              <w:ind w:right="80"/>
              <w:rPr>
                <w:rFonts w:ascii="Arial" w:hAnsi="Arial" w:cs="Arial"/>
                <w:bCs/>
                <w:color w:val="000000"/>
                <w:sz w:val="14"/>
                <w:szCs w:val="14"/>
              </w:rPr>
            </w:pPr>
          </w:p>
        </w:tc>
        <w:tc>
          <w:tcPr>
            <w:tcW w:w="2250" w:type="dxa"/>
            <w:tcBorders>
              <w:left w:val="single" w:sz="8" w:space="0" w:color="auto"/>
              <w:right w:val="single" w:sz="8" w:space="0" w:color="auto"/>
            </w:tcBorders>
            <w:vAlign w:val="center"/>
          </w:tcPr>
          <w:p w14:paraId="054A078A" w14:textId="77777777" w:rsidR="005858CD" w:rsidRPr="005858CD" w:rsidRDefault="005858CD">
            <w:pPr>
              <w:rPr>
                <w:rFonts w:ascii="Book Antiqua" w:hAnsi="Book Antiqua" w:cs="Arial"/>
                <w:bCs/>
                <w:color w:val="000000"/>
                <w:sz w:val="14"/>
                <w:szCs w:val="14"/>
              </w:rPr>
            </w:pPr>
            <w:r w:rsidRPr="005858CD">
              <w:rPr>
                <w:rFonts w:ascii="Book Antiqua" w:hAnsi="Book Antiqua" w:cs="Arial"/>
                <w:bCs/>
                <w:color w:val="000000"/>
                <w:sz w:val="14"/>
                <w:szCs w:val="14"/>
              </w:rPr>
              <w:t xml:space="preserve">Tierras comunitarias                        </w:t>
            </w:r>
          </w:p>
        </w:tc>
        <w:tc>
          <w:tcPr>
            <w:tcW w:w="1800" w:type="dxa"/>
            <w:tcBorders>
              <w:left w:val="single" w:sz="8" w:space="0" w:color="auto"/>
              <w:right w:val="single" w:sz="12" w:space="0" w:color="000000"/>
            </w:tcBorders>
            <w:vAlign w:val="center"/>
          </w:tcPr>
          <w:p w14:paraId="040FEA97" w14:textId="77777777" w:rsidR="005858CD" w:rsidRPr="005858CD" w:rsidRDefault="005858CD">
            <w:pPr>
              <w:jc w:val="center"/>
              <w:rPr>
                <w:rFonts w:ascii="Arial" w:hAnsi="Arial" w:cs="Arial"/>
                <w:bCs/>
                <w:color w:val="000000"/>
                <w:sz w:val="14"/>
                <w:szCs w:val="14"/>
              </w:rPr>
            </w:pPr>
          </w:p>
        </w:tc>
      </w:tr>
      <w:tr w:rsidR="005858CD" w:rsidRPr="005858CD" w14:paraId="4A143FB7" w14:textId="77777777" w:rsidTr="00873A6E">
        <w:trPr>
          <w:trHeight w:val="216"/>
        </w:trPr>
        <w:tc>
          <w:tcPr>
            <w:tcW w:w="566" w:type="dxa"/>
            <w:vMerge/>
            <w:tcBorders>
              <w:left w:val="single" w:sz="12" w:space="0" w:color="000000"/>
              <w:bottom w:val="single" w:sz="12" w:space="0" w:color="auto"/>
            </w:tcBorders>
            <w:vAlign w:val="center"/>
          </w:tcPr>
          <w:p w14:paraId="3AFB5450" w14:textId="77777777" w:rsidR="005858CD" w:rsidRPr="005858CD" w:rsidRDefault="005858CD">
            <w:pPr>
              <w:rPr>
                <w:rFonts w:ascii="Arial" w:hAnsi="Arial" w:cs="Arial"/>
                <w:bCs/>
                <w:color w:val="000000"/>
                <w:sz w:val="18"/>
              </w:rPr>
            </w:pPr>
          </w:p>
        </w:tc>
        <w:tc>
          <w:tcPr>
            <w:tcW w:w="5644" w:type="dxa"/>
            <w:gridSpan w:val="2"/>
            <w:vMerge/>
            <w:tcBorders>
              <w:bottom w:val="single" w:sz="12" w:space="0" w:color="auto"/>
              <w:right w:val="single" w:sz="8" w:space="0" w:color="auto"/>
            </w:tcBorders>
            <w:vAlign w:val="center"/>
          </w:tcPr>
          <w:p w14:paraId="56DE4552" w14:textId="77777777" w:rsidR="005858CD" w:rsidRPr="005858CD" w:rsidRDefault="005858CD">
            <w:pPr>
              <w:ind w:right="80"/>
              <w:rPr>
                <w:rFonts w:ascii="Arial" w:hAnsi="Arial" w:cs="Arial"/>
                <w:bCs/>
                <w:color w:val="000000"/>
                <w:sz w:val="14"/>
                <w:szCs w:val="14"/>
              </w:rPr>
            </w:pPr>
          </w:p>
        </w:tc>
        <w:tc>
          <w:tcPr>
            <w:tcW w:w="2250" w:type="dxa"/>
            <w:tcBorders>
              <w:left w:val="single" w:sz="8" w:space="0" w:color="auto"/>
              <w:bottom w:val="single" w:sz="12" w:space="0" w:color="auto"/>
              <w:right w:val="single" w:sz="8" w:space="0" w:color="auto"/>
            </w:tcBorders>
            <w:vAlign w:val="center"/>
          </w:tcPr>
          <w:p w14:paraId="281646D6" w14:textId="77777777" w:rsidR="005858CD" w:rsidRPr="005858CD" w:rsidRDefault="005858CD">
            <w:pPr>
              <w:rPr>
                <w:rFonts w:ascii="Book Antiqua" w:hAnsi="Book Antiqua" w:cs="Arial"/>
                <w:bCs/>
                <w:color w:val="000000"/>
                <w:sz w:val="14"/>
                <w:szCs w:val="14"/>
              </w:rPr>
            </w:pPr>
            <w:r w:rsidRPr="005858CD">
              <w:rPr>
                <w:rFonts w:ascii="Book Antiqua" w:hAnsi="Book Antiqua" w:cs="Arial"/>
                <w:bCs/>
                <w:color w:val="000000"/>
                <w:sz w:val="14"/>
                <w:szCs w:val="14"/>
              </w:rPr>
              <w:t xml:space="preserve"> Otra:_____________________</w:t>
            </w:r>
            <w:r w:rsidRPr="005858CD">
              <w:rPr>
                <w:rFonts w:ascii="Book Antiqua" w:hAnsi="Book Antiqua"/>
                <w:b/>
                <w:bCs/>
                <w:color w:val="000000"/>
                <w:sz w:val="28"/>
                <w:szCs w:val="28"/>
              </w:rPr>
              <w:t xml:space="preserve">   </w:t>
            </w:r>
          </w:p>
        </w:tc>
        <w:tc>
          <w:tcPr>
            <w:tcW w:w="1800" w:type="dxa"/>
            <w:tcBorders>
              <w:left w:val="single" w:sz="8" w:space="0" w:color="auto"/>
              <w:bottom w:val="single" w:sz="12" w:space="0" w:color="auto"/>
              <w:right w:val="single" w:sz="12" w:space="0" w:color="000000"/>
            </w:tcBorders>
            <w:vAlign w:val="center"/>
          </w:tcPr>
          <w:p w14:paraId="79A856BB" w14:textId="77777777" w:rsidR="005858CD" w:rsidRPr="005858CD" w:rsidRDefault="005858CD">
            <w:pPr>
              <w:jc w:val="center"/>
              <w:rPr>
                <w:rFonts w:ascii="Arial" w:hAnsi="Arial" w:cs="Arial"/>
                <w:bCs/>
                <w:color w:val="000000"/>
                <w:sz w:val="14"/>
                <w:szCs w:val="14"/>
              </w:rPr>
            </w:pPr>
          </w:p>
        </w:tc>
      </w:tr>
      <w:tr w:rsidR="005858CD" w:rsidRPr="005858CD" w14:paraId="4859B0B6" w14:textId="77777777" w:rsidTr="00873A6E">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100"/>
        </w:trPr>
        <w:tc>
          <w:tcPr>
            <w:tcW w:w="10260" w:type="dxa"/>
            <w:gridSpan w:val="5"/>
            <w:tcBorders>
              <w:top w:val="single" w:sz="12" w:space="0" w:color="auto"/>
            </w:tcBorders>
          </w:tcPr>
          <w:p w14:paraId="05DD2C05" w14:textId="77777777" w:rsidR="005858CD" w:rsidRPr="005858CD" w:rsidRDefault="005858CD" w:rsidP="008C041F">
            <w:pPr>
              <w:rPr>
                <w:rFonts w:ascii="Book Antiqua" w:hAnsi="Book Antiqua" w:cs="Arial"/>
                <w:color w:val="000000"/>
                <w:sz w:val="16"/>
                <w:szCs w:val="16"/>
              </w:rPr>
            </w:pPr>
          </w:p>
          <w:tbl>
            <w:tblPr>
              <w:tblpPr w:leftFromText="180" w:rightFromText="180" w:vertAnchor="text" w:tblpX="-95" w:tblpY="1"/>
              <w:tblOverlap w:val="never"/>
              <w:tblW w:w="4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123"/>
              <w:gridCol w:w="1231"/>
              <w:gridCol w:w="2026"/>
              <w:gridCol w:w="2369"/>
            </w:tblGrid>
            <w:tr w:rsidR="005858CD" w:rsidRPr="005858CD" w14:paraId="0E83B6D1" w14:textId="77777777" w:rsidTr="00873A6E">
              <w:tc>
                <w:tcPr>
                  <w:tcW w:w="306" w:type="pct"/>
                  <w:tcBorders>
                    <w:top w:val="single" w:sz="12" w:space="0" w:color="auto"/>
                    <w:left w:val="single" w:sz="12" w:space="0" w:color="auto"/>
                  </w:tcBorders>
                </w:tcPr>
                <w:p w14:paraId="10EE7BCF"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No.</w:t>
                  </w:r>
                </w:p>
              </w:tc>
              <w:tc>
                <w:tcPr>
                  <w:tcW w:w="1286" w:type="pct"/>
                  <w:tcBorders>
                    <w:top w:val="single" w:sz="12" w:space="0" w:color="auto"/>
                  </w:tcBorders>
                </w:tcPr>
                <w:p w14:paraId="28106C53" w14:textId="77777777" w:rsidR="005858CD" w:rsidRPr="005858CD" w:rsidRDefault="005858CD" w:rsidP="008C041F">
                  <w:pPr>
                    <w:rPr>
                      <w:rFonts w:ascii="Book Antiqua" w:eastAsia="Calibri" w:hAnsi="Book Antiqua"/>
                      <w:sz w:val="16"/>
                      <w:szCs w:val="16"/>
                    </w:rPr>
                  </w:pPr>
                </w:p>
              </w:tc>
              <w:tc>
                <w:tcPr>
                  <w:tcW w:w="746" w:type="pct"/>
                  <w:tcBorders>
                    <w:top w:val="single" w:sz="12" w:space="0" w:color="auto"/>
                  </w:tcBorders>
                </w:tcPr>
                <w:p w14:paraId="19186181"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4.3</w:t>
                  </w:r>
                </w:p>
              </w:tc>
              <w:tc>
                <w:tcPr>
                  <w:tcW w:w="1227" w:type="pct"/>
                  <w:tcBorders>
                    <w:top w:val="single" w:sz="12" w:space="0" w:color="auto"/>
                    <w:right w:val="single" w:sz="12" w:space="0" w:color="auto"/>
                  </w:tcBorders>
                </w:tcPr>
                <w:p w14:paraId="576151ED"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4.4</w:t>
                  </w:r>
                </w:p>
              </w:tc>
              <w:tc>
                <w:tcPr>
                  <w:tcW w:w="1435" w:type="pct"/>
                  <w:tcBorders>
                    <w:top w:val="single" w:sz="12" w:space="0" w:color="auto"/>
                    <w:right w:val="single" w:sz="12" w:space="0" w:color="auto"/>
                  </w:tcBorders>
                </w:tcPr>
                <w:p w14:paraId="4B90D68D"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4.5</w:t>
                  </w:r>
                </w:p>
              </w:tc>
            </w:tr>
            <w:tr w:rsidR="005858CD" w:rsidRPr="005858CD" w14:paraId="39A7AAC4" w14:textId="77777777" w:rsidTr="00873A6E">
              <w:tc>
                <w:tcPr>
                  <w:tcW w:w="306" w:type="pct"/>
                  <w:tcBorders>
                    <w:left w:val="single" w:sz="12" w:space="0" w:color="auto"/>
                  </w:tcBorders>
                </w:tcPr>
                <w:p w14:paraId="6E09305D" w14:textId="77777777" w:rsidR="005858CD" w:rsidRPr="005858CD" w:rsidRDefault="005858CD" w:rsidP="008C041F">
                  <w:pPr>
                    <w:rPr>
                      <w:rFonts w:ascii="Book Antiqua" w:eastAsia="Calibri" w:hAnsi="Book Antiqua"/>
                      <w:sz w:val="16"/>
                      <w:szCs w:val="16"/>
                    </w:rPr>
                  </w:pPr>
                </w:p>
              </w:tc>
              <w:tc>
                <w:tcPr>
                  <w:tcW w:w="1286" w:type="pct"/>
                </w:tcPr>
                <w:p w14:paraId="719141B7" w14:textId="77777777" w:rsidR="005858CD" w:rsidRPr="005858CD" w:rsidRDefault="005858CD" w:rsidP="008C041F">
                  <w:pPr>
                    <w:rPr>
                      <w:rFonts w:ascii="Book Antiqua" w:eastAsia="Calibri" w:hAnsi="Book Antiqua"/>
                      <w:b/>
                      <w:sz w:val="16"/>
                      <w:szCs w:val="16"/>
                    </w:rPr>
                  </w:pPr>
                </w:p>
              </w:tc>
              <w:tc>
                <w:tcPr>
                  <w:tcW w:w="746" w:type="pct"/>
                  <w:vAlign w:val="center"/>
                </w:tcPr>
                <w:p w14:paraId="6C92F2E7" w14:textId="77777777" w:rsidR="005858CD" w:rsidRPr="005858CD" w:rsidRDefault="005858CD" w:rsidP="008C041F">
                  <w:pPr>
                    <w:rPr>
                      <w:rFonts w:ascii="Book Antiqua" w:eastAsia="Calibri" w:hAnsi="Book Antiqua"/>
                      <w:b/>
                      <w:bCs/>
                      <w:sz w:val="16"/>
                      <w:szCs w:val="16"/>
                      <w:lang w:val="es-NI"/>
                    </w:rPr>
                  </w:pPr>
                  <w:r w:rsidRPr="005858CD">
                    <w:rPr>
                      <w:rFonts w:ascii="Book Antiqua" w:hAnsi="Book Antiqua" w:cs="Arial"/>
                      <w:b/>
                      <w:color w:val="212121"/>
                      <w:sz w:val="16"/>
                      <w:szCs w:val="16"/>
                      <w:lang w:val="es-ES"/>
                    </w:rPr>
                    <w:t>¿</w:t>
                  </w:r>
                  <w:r w:rsidRPr="005858CD">
                    <w:rPr>
                      <w:rFonts w:ascii="Book Antiqua" w:eastAsia="Calibri" w:hAnsi="Book Antiqua"/>
                      <w:b/>
                      <w:bCs/>
                      <w:sz w:val="16"/>
                      <w:szCs w:val="16"/>
                      <w:lang w:val="es-NI"/>
                    </w:rPr>
                    <w:t>Tu familia posee estos bienes?</w:t>
                  </w:r>
                </w:p>
                <w:p w14:paraId="5C7D77A2" w14:textId="77777777" w:rsidR="005858CD" w:rsidRPr="005858CD" w:rsidRDefault="005858CD" w:rsidP="008C041F">
                  <w:pPr>
                    <w:rPr>
                      <w:rFonts w:ascii="Book Antiqua" w:eastAsia="Calibri" w:hAnsi="Book Antiqua"/>
                      <w:b/>
                      <w:bCs/>
                      <w:sz w:val="16"/>
                      <w:szCs w:val="16"/>
                      <w:lang w:val="es-NI"/>
                    </w:rPr>
                  </w:pPr>
                </w:p>
                <w:p w14:paraId="54637B76" w14:textId="77777777" w:rsidR="005858CD" w:rsidRPr="005858CD" w:rsidRDefault="005858CD" w:rsidP="008C041F">
                  <w:pPr>
                    <w:rPr>
                      <w:rFonts w:ascii="Book Antiqua" w:eastAsia="Calibri" w:hAnsi="Book Antiqua"/>
                      <w:b/>
                      <w:bCs/>
                      <w:iCs/>
                      <w:sz w:val="14"/>
                      <w:szCs w:val="14"/>
                    </w:rPr>
                  </w:pPr>
                  <w:r w:rsidRPr="005858CD">
                    <w:rPr>
                      <w:rFonts w:ascii="Book Antiqua" w:eastAsia="Calibri" w:hAnsi="Book Antiqua"/>
                      <w:bCs/>
                      <w:iCs/>
                      <w:sz w:val="14"/>
                      <w:szCs w:val="14"/>
                    </w:rPr>
                    <w:t xml:space="preserve">0 = No </w:t>
                  </w:r>
                </w:p>
                <w:p w14:paraId="07843024" w14:textId="77777777" w:rsidR="005858CD" w:rsidRPr="005858CD" w:rsidRDefault="005858CD" w:rsidP="008C041F">
                  <w:pPr>
                    <w:rPr>
                      <w:rFonts w:ascii="Book Antiqua" w:eastAsia="Calibri" w:hAnsi="Book Antiqua"/>
                      <w:bCs/>
                      <w:iCs/>
                      <w:sz w:val="16"/>
                      <w:szCs w:val="16"/>
                    </w:rPr>
                  </w:pPr>
                  <w:r w:rsidRPr="005858CD">
                    <w:rPr>
                      <w:rFonts w:ascii="Book Antiqua" w:eastAsia="Calibri" w:hAnsi="Book Antiqua"/>
                      <w:bCs/>
                      <w:iCs/>
                      <w:sz w:val="14"/>
                      <w:szCs w:val="14"/>
                    </w:rPr>
                    <w:t>1 = Si</w:t>
                  </w:r>
                </w:p>
              </w:tc>
              <w:tc>
                <w:tcPr>
                  <w:tcW w:w="1227" w:type="pct"/>
                  <w:tcBorders>
                    <w:right w:val="single" w:sz="12" w:space="0" w:color="auto"/>
                  </w:tcBorders>
                </w:tcPr>
                <w:p w14:paraId="7537997C" w14:textId="77777777" w:rsidR="005858CD" w:rsidRPr="005858CD" w:rsidRDefault="005858CD" w:rsidP="008C041F">
                  <w:pPr>
                    <w:rPr>
                      <w:rFonts w:ascii="Book Antiqua" w:eastAsia="Calibri" w:hAnsi="Book Antiqua"/>
                      <w:sz w:val="16"/>
                      <w:szCs w:val="16"/>
                      <w:lang w:val="es-NI"/>
                    </w:rPr>
                  </w:pPr>
                  <w:r w:rsidRPr="005858CD">
                    <w:rPr>
                      <w:rFonts w:ascii="Book Antiqua" w:hAnsi="Book Antiqua" w:cs="Arial"/>
                      <w:b/>
                      <w:color w:val="212121"/>
                      <w:sz w:val="16"/>
                      <w:szCs w:val="16"/>
                      <w:lang w:val="es-ES"/>
                    </w:rPr>
                    <w:t>¿</w:t>
                  </w:r>
                  <w:r w:rsidRPr="005858CD">
                    <w:rPr>
                      <w:rFonts w:ascii="Book Antiqua" w:eastAsia="Calibri" w:hAnsi="Book Antiqua"/>
                      <w:b/>
                      <w:sz w:val="16"/>
                      <w:szCs w:val="16"/>
                      <w:lang w:val="es-NI"/>
                    </w:rPr>
                    <w:t>Quíén posee estos bienes?</w:t>
                  </w:r>
                </w:p>
                <w:p w14:paraId="71082407"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1 = Yo misma</w:t>
                  </w:r>
                </w:p>
                <w:p w14:paraId="605B15A7"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2 = Pareja</w:t>
                  </w:r>
                </w:p>
                <w:p w14:paraId="215AA447"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3 = Hijo/as</w:t>
                  </w:r>
                </w:p>
                <w:p w14:paraId="2D5CEDE5"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 xml:space="preserve">4 = Hermano/as </w:t>
                  </w:r>
                </w:p>
                <w:p w14:paraId="611F2336"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lastRenderedPageBreak/>
                    <w:t>5 = Padre/Madre</w:t>
                  </w:r>
                </w:p>
                <w:p w14:paraId="0296B13A"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6 = Abuela/o</w:t>
                  </w:r>
                </w:p>
                <w:p w14:paraId="6A19B30B"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7 = Yerno/Nuera</w:t>
                  </w:r>
                </w:p>
                <w:p w14:paraId="76F696F2" w14:textId="77777777" w:rsidR="005858CD" w:rsidRPr="005858CD" w:rsidRDefault="005858CD">
                  <w:pPr>
                    <w:rPr>
                      <w:rFonts w:ascii="Book Antiqua" w:eastAsia="Calibri" w:hAnsi="Book Antiqua"/>
                      <w:bCs/>
                      <w:sz w:val="14"/>
                      <w:szCs w:val="14"/>
                      <w:lang w:val="es-NI"/>
                    </w:rPr>
                  </w:pPr>
                  <w:r w:rsidRPr="005858CD">
                    <w:rPr>
                      <w:rFonts w:ascii="Book Antiqua" w:eastAsia="Calibri" w:hAnsi="Book Antiqua"/>
                      <w:bCs/>
                      <w:sz w:val="14"/>
                      <w:szCs w:val="14"/>
                      <w:lang w:val="es-NI"/>
                    </w:rPr>
                    <w:t>8 = Sobrino/a</w:t>
                  </w:r>
                </w:p>
                <w:p w14:paraId="6D09AC9C" w14:textId="77777777" w:rsidR="005858CD" w:rsidRPr="005858CD" w:rsidRDefault="005858CD">
                  <w:pPr>
                    <w:rPr>
                      <w:rFonts w:ascii="Book Antiqua" w:eastAsia="Calibri" w:hAnsi="Book Antiqua"/>
                      <w:bCs/>
                      <w:i/>
                      <w:sz w:val="16"/>
                      <w:szCs w:val="16"/>
                      <w:lang w:val="es-NI"/>
                    </w:rPr>
                  </w:pPr>
                  <w:r w:rsidRPr="005858CD">
                    <w:rPr>
                      <w:rFonts w:ascii="Book Antiqua" w:eastAsia="Calibri" w:hAnsi="Book Antiqua"/>
                      <w:bCs/>
                      <w:sz w:val="14"/>
                      <w:szCs w:val="14"/>
                      <w:lang w:val="es-NI"/>
                    </w:rPr>
                    <w:t>9= la Familia</w:t>
                  </w:r>
                </w:p>
              </w:tc>
              <w:tc>
                <w:tcPr>
                  <w:tcW w:w="1435" w:type="pct"/>
                  <w:tcBorders>
                    <w:right w:val="single" w:sz="12" w:space="0" w:color="auto"/>
                  </w:tcBorders>
                </w:tcPr>
                <w:p w14:paraId="272FCFB0" w14:textId="77777777" w:rsidR="005858CD" w:rsidRPr="005858CD" w:rsidRDefault="005858CD">
                  <w:pPr>
                    <w:ind w:right="-738"/>
                    <w:rPr>
                      <w:rFonts w:ascii="Book Antiqua" w:eastAsia="Calibri" w:hAnsi="Book Antiqua"/>
                      <w:b/>
                      <w:bCs/>
                      <w:sz w:val="16"/>
                      <w:szCs w:val="16"/>
                      <w:lang w:val="es-NI"/>
                    </w:rPr>
                  </w:pPr>
                  <w:r w:rsidRPr="005858CD">
                    <w:rPr>
                      <w:rFonts w:ascii="Book Antiqua" w:hAnsi="Book Antiqua" w:cs="Arial"/>
                      <w:b/>
                      <w:color w:val="212121"/>
                      <w:sz w:val="16"/>
                      <w:szCs w:val="16"/>
                      <w:lang w:val="es-ES"/>
                    </w:rPr>
                    <w:lastRenderedPageBreak/>
                    <w:t>¿</w:t>
                  </w:r>
                  <w:r w:rsidRPr="005858CD">
                    <w:rPr>
                      <w:rFonts w:ascii="Book Antiqua" w:eastAsia="Calibri" w:hAnsi="Book Antiqua"/>
                      <w:b/>
                      <w:bCs/>
                      <w:sz w:val="16"/>
                      <w:szCs w:val="16"/>
                      <w:lang w:val="es-NI"/>
                    </w:rPr>
                    <w:t>Quién decide si se venden?</w:t>
                  </w:r>
                </w:p>
                <w:p w14:paraId="703F65E1" w14:textId="77777777" w:rsidR="005858CD" w:rsidRPr="005858CD" w:rsidRDefault="005858CD">
                  <w:pPr>
                    <w:ind w:right="-738"/>
                    <w:rPr>
                      <w:rFonts w:ascii="Book Antiqua" w:eastAsia="Calibri" w:hAnsi="Book Antiqua"/>
                      <w:bCs/>
                      <w:sz w:val="14"/>
                      <w:szCs w:val="14"/>
                      <w:lang w:val="es-NI"/>
                    </w:rPr>
                  </w:pPr>
                </w:p>
                <w:p w14:paraId="4B346BDD"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1 = Yo misma</w:t>
                  </w:r>
                </w:p>
                <w:p w14:paraId="351AD254"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2 = Pareja</w:t>
                  </w:r>
                </w:p>
                <w:p w14:paraId="6103C092"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3 = Hijo/as</w:t>
                  </w:r>
                </w:p>
                <w:p w14:paraId="67FF9BFF"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 xml:space="preserve">4 = Hermano/as </w:t>
                  </w:r>
                </w:p>
                <w:p w14:paraId="5410623F"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lastRenderedPageBreak/>
                    <w:t>5 = Padre/Madre</w:t>
                  </w:r>
                </w:p>
                <w:p w14:paraId="1395F836"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6 = Abuela/o</w:t>
                  </w:r>
                </w:p>
                <w:p w14:paraId="7B5FE39D" w14:textId="77777777" w:rsidR="005858CD" w:rsidRPr="005858CD" w:rsidRDefault="005858CD">
                  <w:pPr>
                    <w:ind w:right="-738"/>
                    <w:rPr>
                      <w:rFonts w:ascii="Book Antiqua" w:eastAsia="Calibri" w:hAnsi="Book Antiqua"/>
                      <w:bCs/>
                      <w:sz w:val="14"/>
                      <w:szCs w:val="14"/>
                      <w:lang w:val="es-NI"/>
                    </w:rPr>
                  </w:pPr>
                  <w:r w:rsidRPr="005858CD">
                    <w:rPr>
                      <w:rFonts w:ascii="Book Antiqua" w:eastAsia="Calibri" w:hAnsi="Book Antiqua"/>
                      <w:bCs/>
                      <w:sz w:val="14"/>
                      <w:szCs w:val="14"/>
                      <w:lang w:val="es-NI"/>
                    </w:rPr>
                    <w:t>7 = Yerno/Nuera</w:t>
                  </w:r>
                </w:p>
                <w:p w14:paraId="28AC007D" w14:textId="77777777" w:rsidR="005858CD" w:rsidRPr="005858CD" w:rsidRDefault="005858CD">
                  <w:pPr>
                    <w:rPr>
                      <w:rFonts w:ascii="Book Antiqua" w:eastAsia="Calibri" w:hAnsi="Book Antiqua"/>
                      <w:bCs/>
                      <w:sz w:val="14"/>
                      <w:szCs w:val="14"/>
                      <w:lang w:val="es-NI"/>
                    </w:rPr>
                  </w:pPr>
                  <w:r w:rsidRPr="005858CD">
                    <w:rPr>
                      <w:rFonts w:ascii="Book Antiqua" w:eastAsia="Calibri" w:hAnsi="Book Antiqua"/>
                      <w:bCs/>
                      <w:sz w:val="14"/>
                      <w:szCs w:val="14"/>
                      <w:lang w:val="es-NI"/>
                    </w:rPr>
                    <w:t>8 = Sobrino/a</w:t>
                  </w:r>
                </w:p>
                <w:p w14:paraId="699B7806" w14:textId="77777777" w:rsidR="005858CD" w:rsidRPr="005858CD" w:rsidRDefault="005858CD">
                  <w:pPr>
                    <w:ind w:right="-738"/>
                    <w:rPr>
                      <w:rFonts w:ascii="Book Antiqua" w:eastAsia="Calibri" w:hAnsi="Book Antiqua"/>
                      <w:bCs/>
                      <w:i/>
                      <w:sz w:val="16"/>
                      <w:szCs w:val="16"/>
                    </w:rPr>
                  </w:pPr>
                  <w:r w:rsidRPr="005858CD">
                    <w:rPr>
                      <w:rFonts w:ascii="Book Antiqua" w:eastAsia="Calibri" w:hAnsi="Book Antiqua"/>
                      <w:bCs/>
                      <w:sz w:val="14"/>
                      <w:szCs w:val="14"/>
                      <w:lang w:val="es-NI"/>
                    </w:rPr>
                    <w:t>9= la Familia</w:t>
                  </w:r>
                </w:p>
                <w:p w14:paraId="0C587C5D" w14:textId="77777777" w:rsidR="005858CD" w:rsidRPr="005858CD" w:rsidRDefault="005858CD">
                  <w:pPr>
                    <w:ind w:right="-738"/>
                    <w:rPr>
                      <w:rFonts w:ascii="Book Antiqua" w:eastAsia="Calibri" w:hAnsi="Book Antiqua"/>
                      <w:bCs/>
                      <w:i/>
                      <w:sz w:val="16"/>
                      <w:szCs w:val="16"/>
                    </w:rPr>
                  </w:pPr>
                </w:p>
              </w:tc>
            </w:tr>
            <w:tr w:rsidR="005858CD" w:rsidRPr="005858CD" w14:paraId="27D7DCCD" w14:textId="77777777" w:rsidTr="00873A6E">
              <w:trPr>
                <w:trHeight w:val="288"/>
              </w:trPr>
              <w:tc>
                <w:tcPr>
                  <w:tcW w:w="306" w:type="pct"/>
                  <w:tcBorders>
                    <w:left w:val="single" w:sz="12" w:space="0" w:color="auto"/>
                  </w:tcBorders>
                </w:tcPr>
                <w:p w14:paraId="704EF6C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lastRenderedPageBreak/>
                    <w:t>A</w:t>
                  </w:r>
                </w:p>
              </w:tc>
              <w:tc>
                <w:tcPr>
                  <w:tcW w:w="1286" w:type="pct"/>
                  <w:vAlign w:val="center"/>
                </w:tcPr>
                <w:p w14:paraId="205DCE0B"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 xml:space="preserve">Aves de patio </w:t>
                  </w:r>
                </w:p>
              </w:tc>
              <w:tc>
                <w:tcPr>
                  <w:tcW w:w="746" w:type="pct"/>
                  <w:vAlign w:val="center"/>
                </w:tcPr>
                <w:p w14:paraId="49B633D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6DEEBF2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7B272588"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17DB164" w14:textId="77777777" w:rsidTr="00873A6E">
              <w:trPr>
                <w:trHeight w:val="288"/>
              </w:trPr>
              <w:tc>
                <w:tcPr>
                  <w:tcW w:w="306" w:type="pct"/>
                  <w:tcBorders>
                    <w:left w:val="single" w:sz="12" w:space="0" w:color="auto"/>
                  </w:tcBorders>
                </w:tcPr>
                <w:p w14:paraId="1F3E6AD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B</w:t>
                  </w:r>
                </w:p>
              </w:tc>
              <w:tc>
                <w:tcPr>
                  <w:tcW w:w="1286" w:type="pct"/>
                  <w:vAlign w:val="center"/>
                </w:tcPr>
                <w:p w14:paraId="3895365C"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Ovejas, cabras, cerdos</w:t>
                  </w:r>
                </w:p>
              </w:tc>
              <w:tc>
                <w:tcPr>
                  <w:tcW w:w="746" w:type="pct"/>
                  <w:vAlign w:val="center"/>
                </w:tcPr>
                <w:p w14:paraId="4F533E1D"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4782BE7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7DD0E21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20A95E21" w14:textId="77777777" w:rsidTr="00873A6E">
              <w:trPr>
                <w:trHeight w:val="288"/>
              </w:trPr>
              <w:tc>
                <w:tcPr>
                  <w:tcW w:w="306" w:type="pct"/>
                  <w:tcBorders>
                    <w:left w:val="single" w:sz="12" w:space="0" w:color="auto"/>
                  </w:tcBorders>
                </w:tcPr>
                <w:p w14:paraId="5E0B360C"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w:t>
                  </w:r>
                </w:p>
              </w:tc>
              <w:tc>
                <w:tcPr>
                  <w:tcW w:w="1286" w:type="pct"/>
                  <w:vAlign w:val="center"/>
                </w:tcPr>
                <w:p w14:paraId="6F2559B3"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Ganado (vacas, bueyes)</w:t>
                  </w:r>
                </w:p>
              </w:tc>
              <w:tc>
                <w:tcPr>
                  <w:tcW w:w="746" w:type="pct"/>
                  <w:vAlign w:val="center"/>
                </w:tcPr>
                <w:p w14:paraId="06EF2516"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1F6E769D"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6BC932A9"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19449E4D" w14:textId="77777777" w:rsidTr="00873A6E">
              <w:trPr>
                <w:trHeight w:val="288"/>
              </w:trPr>
              <w:tc>
                <w:tcPr>
                  <w:tcW w:w="306" w:type="pct"/>
                  <w:tcBorders>
                    <w:left w:val="single" w:sz="12" w:space="0" w:color="auto"/>
                  </w:tcBorders>
                </w:tcPr>
                <w:p w14:paraId="1C8CDEA6"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D</w:t>
                  </w:r>
                </w:p>
              </w:tc>
              <w:tc>
                <w:tcPr>
                  <w:tcW w:w="1286" w:type="pct"/>
                  <w:vAlign w:val="center"/>
                </w:tcPr>
                <w:p w14:paraId="634644CB"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Caballos, burros, mulas</w:t>
                  </w:r>
                </w:p>
              </w:tc>
              <w:tc>
                <w:tcPr>
                  <w:tcW w:w="746" w:type="pct"/>
                  <w:vAlign w:val="center"/>
                </w:tcPr>
                <w:p w14:paraId="19CA0C52"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774760D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085AAA5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732D6C04" w14:textId="77777777" w:rsidTr="00873A6E">
              <w:trPr>
                <w:trHeight w:val="288"/>
              </w:trPr>
              <w:tc>
                <w:tcPr>
                  <w:tcW w:w="306" w:type="pct"/>
                  <w:tcBorders>
                    <w:left w:val="single" w:sz="12" w:space="0" w:color="auto"/>
                  </w:tcBorders>
                </w:tcPr>
                <w:p w14:paraId="78799E46"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E</w:t>
                  </w:r>
                </w:p>
              </w:tc>
              <w:tc>
                <w:tcPr>
                  <w:tcW w:w="1286" w:type="pct"/>
                  <w:vAlign w:val="center"/>
                </w:tcPr>
                <w:p w14:paraId="6CB9ED5F"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Celulares</w:t>
                  </w:r>
                </w:p>
              </w:tc>
              <w:tc>
                <w:tcPr>
                  <w:tcW w:w="746" w:type="pct"/>
                  <w:vAlign w:val="center"/>
                </w:tcPr>
                <w:p w14:paraId="33D43EC9"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707986CC"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013541E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BBEB5F5" w14:textId="77777777" w:rsidTr="00873A6E">
              <w:trPr>
                <w:trHeight w:val="288"/>
              </w:trPr>
              <w:tc>
                <w:tcPr>
                  <w:tcW w:w="306" w:type="pct"/>
                  <w:tcBorders>
                    <w:left w:val="single" w:sz="12" w:space="0" w:color="auto"/>
                  </w:tcBorders>
                </w:tcPr>
                <w:p w14:paraId="3095CB6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F</w:t>
                  </w:r>
                </w:p>
              </w:tc>
              <w:tc>
                <w:tcPr>
                  <w:tcW w:w="1286" w:type="pct"/>
                  <w:vAlign w:val="center"/>
                </w:tcPr>
                <w:p w14:paraId="7DA89CF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Radios</w:t>
                  </w:r>
                </w:p>
              </w:tc>
              <w:tc>
                <w:tcPr>
                  <w:tcW w:w="746" w:type="pct"/>
                  <w:vAlign w:val="center"/>
                </w:tcPr>
                <w:p w14:paraId="489A56D8"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64026F6A"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4C79124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87E3EB5" w14:textId="77777777" w:rsidTr="00873A6E">
              <w:trPr>
                <w:trHeight w:val="288"/>
              </w:trPr>
              <w:tc>
                <w:tcPr>
                  <w:tcW w:w="306" w:type="pct"/>
                  <w:tcBorders>
                    <w:left w:val="single" w:sz="12" w:space="0" w:color="auto"/>
                  </w:tcBorders>
                </w:tcPr>
                <w:p w14:paraId="3E57707D"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G</w:t>
                  </w:r>
                </w:p>
              </w:tc>
              <w:tc>
                <w:tcPr>
                  <w:tcW w:w="1286" w:type="pct"/>
                  <w:vAlign w:val="center"/>
                </w:tcPr>
                <w:p w14:paraId="3B83483F"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Televisor</w:t>
                  </w:r>
                </w:p>
              </w:tc>
              <w:tc>
                <w:tcPr>
                  <w:tcW w:w="746" w:type="pct"/>
                  <w:vAlign w:val="center"/>
                </w:tcPr>
                <w:p w14:paraId="367774C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1FC6B7C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25841DF6"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6188AA89" w14:textId="77777777" w:rsidTr="00873A6E">
              <w:trPr>
                <w:trHeight w:val="288"/>
              </w:trPr>
              <w:tc>
                <w:tcPr>
                  <w:tcW w:w="306" w:type="pct"/>
                  <w:tcBorders>
                    <w:left w:val="single" w:sz="12" w:space="0" w:color="auto"/>
                  </w:tcBorders>
                </w:tcPr>
                <w:p w14:paraId="7E388582"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H</w:t>
                  </w:r>
                </w:p>
              </w:tc>
              <w:tc>
                <w:tcPr>
                  <w:tcW w:w="1286" w:type="pct"/>
                  <w:vAlign w:val="center"/>
                </w:tcPr>
                <w:p w14:paraId="5966D1AC"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Cocina de leña</w:t>
                  </w:r>
                </w:p>
              </w:tc>
              <w:tc>
                <w:tcPr>
                  <w:tcW w:w="746" w:type="pct"/>
                  <w:vAlign w:val="center"/>
                </w:tcPr>
                <w:p w14:paraId="5886A0A7"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3FCE197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60B381D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7B0FB0DB" w14:textId="77777777" w:rsidTr="00873A6E">
              <w:trPr>
                <w:trHeight w:val="288"/>
              </w:trPr>
              <w:tc>
                <w:tcPr>
                  <w:tcW w:w="306" w:type="pct"/>
                  <w:tcBorders>
                    <w:left w:val="single" w:sz="12" w:space="0" w:color="auto"/>
                  </w:tcBorders>
                </w:tcPr>
                <w:p w14:paraId="530321A9"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I</w:t>
                  </w:r>
                </w:p>
              </w:tc>
              <w:tc>
                <w:tcPr>
                  <w:tcW w:w="1286" w:type="pct"/>
                  <w:vAlign w:val="center"/>
                </w:tcPr>
                <w:p w14:paraId="3A2F2CB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Cocina mejorada</w:t>
                  </w:r>
                </w:p>
              </w:tc>
              <w:tc>
                <w:tcPr>
                  <w:tcW w:w="746" w:type="pct"/>
                  <w:vAlign w:val="center"/>
                </w:tcPr>
                <w:p w14:paraId="3ED2ED3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3CE2A86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5E624576"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0AF1E205" w14:textId="77777777" w:rsidTr="00873A6E">
              <w:trPr>
                <w:trHeight w:val="288"/>
              </w:trPr>
              <w:tc>
                <w:tcPr>
                  <w:tcW w:w="306" w:type="pct"/>
                  <w:tcBorders>
                    <w:left w:val="single" w:sz="12" w:space="0" w:color="auto"/>
                  </w:tcBorders>
                </w:tcPr>
                <w:p w14:paraId="2400BE77"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J</w:t>
                  </w:r>
                </w:p>
              </w:tc>
              <w:tc>
                <w:tcPr>
                  <w:tcW w:w="1286" w:type="pct"/>
                  <w:vAlign w:val="center"/>
                </w:tcPr>
                <w:p w14:paraId="4B97AD47"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Cocina a gas</w:t>
                  </w:r>
                </w:p>
              </w:tc>
              <w:tc>
                <w:tcPr>
                  <w:tcW w:w="746" w:type="pct"/>
                  <w:vAlign w:val="center"/>
                </w:tcPr>
                <w:p w14:paraId="14DF52AA"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5672FD6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146F3FDE"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5DCCCC8" w14:textId="77777777" w:rsidTr="00873A6E">
              <w:trPr>
                <w:trHeight w:val="288"/>
              </w:trPr>
              <w:tc>
                <w:tcPr>
                  <w:tcW w:w="306" w:type="pct"/>
                  <w:tcBorders>
                    <w:left w:val="single" w:sz="12" w:space="0" w:color="auto"/>
                  </w:tcBorders>
                </w:tcPr>
                <w:p w14:paraId="7C78A065"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K</w:t>
                  </w:r>
                </w:p>
              </w:tc>
              <w:tc>
                <w:tcPr>
                  <w:tcW w:w="1286" w:type="pct"/>
                  <w:vAlign w:val="center"/>
                </w:tcPr>
                <w:p w14:paraId="3AAE46F1"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 xml:space="preserve">Bicicleta </w:t>
                  </w:r>
                </w:p>
              </w:tc>
              <w:tc>
                <w:tcPr>
                  <w:tcW w:w="746" w:type="pct"/>
                  <w:vAlign w:val="center"/>
                </w:tcPr>
                <w:p w14:paraId="4AE455F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34C259A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1EF5C6EA"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198B1676" w14:textId="77777777" w:rsidTr="00873A6E">
              <w:trPr>
                <w:trHeight w:val="288"/>
              </w:trPr>
              <w:tc>
                <w:tcPr>
                  <w:tcW w:w="306" w:type="pct"/>
                  <w:tcBorders>
                    <w:left w:val="single" w:sz="12" w:space="0" w:color="auto"/>
                  </w:tcBorders>
                </w:tcPr>
                <w:p w14:paraId="12A90354"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L</w:t>
                  </w:r>
                </w:p>
              </w:tc>
              <w:tc>
                <w:tcPr>
                  <w:tcW w:w="1286" w:type="pct"/>
                  <w:vAlign w:val="center"/>
                </w:tcPr>
                <w:p w14:paraId="78F16BDA"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Motocicleta</w:t>
                  </w:r>
                </w:p>
              </w:tc>
              <w:tc>
                <w:tcPr>
                  <w:tcW w:w="746" w:type="pct"/>
                  <w:vAlign w:val="center"/>
                </w:tcPr>
                <w:p w14:paraId="60C38F31"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49593486"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7E40DDD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45DBFAF" w14:textId="77777777" w:rsidTr="00873A6E">
              <w:trPr>
                <w:trHeight w:val="288"/>
              </w:trPr>
              <w:tc>
                <w:tcPr>
                  <w:tcW w:w="306" w:type="pct"/>
                  <w:tcBorders>
                    <w:left w:val="single" w:sz="12" w:space="0" w:color="auto"/>
                  </w:tcBorders>
                </w:tcPr>
                <w:p w14:paraId="07E97DDE"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M</w:t>
                  </w:r>
                </w:p>
              </w:tc>
              <w:tc>
                <w:tcPr>
                  <w:tcW w:w="1286" w:type="pct"/>
                  <w:vAlign w:val="center"/>
                </w:tcPr>
                <w:p w14:paraId="238E6EB0" w14:textId="77777777" w:rsidR="005858CD" w:rsidRPr="005858CD" w:rsidRDefault="005858CD" w:rsidP="008C041F">
                  <w:pPr>
                    <w:rPr>
                      <w:rFonts w:ascii="Book Antiqua" w:eastAsia="Calibri" w:hAnsi="Book Antiqua"/>
                      <w:sz w:val="16"/>
                      <w:szCs w:val="16"/>
                      <w:lang w:val="es-NI"/>
                    </w:rPr>
                  </w:pPr>
                  <w:r w:rsidRPr="005858CD">
                    <w:rPr>
                      <w:rFonts w:ascii="Book Antiqua" w:eastAsia="Calibri" w:hAnsi="Book Antiqua"/>
                      <w:sz w:val="16"/>
                      <w:szCs w:val="16"/>
                      <w:lang w:val="es-NI"/>
                    </w:rPr>
                    <w:t>Casas o cuartos de alquiler</w:t>
                  </w:r>
                </w:p>
              </w:tc>
              <w:tc>
                <w:tcPr>
                  <w:tcW w:w="746" w:type="pct"/>
                  <w:vAlign w:val="center"/>
                </w:tcPr>
                <w:p w14:paraId="2A3922E4"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6CFC4D3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262AD5EE"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55A00F19" w14:textId="77777777" w:rsidTr="00873A6E">
              <w:trPr>
                <w:trHeight w:val="288"/>
              </w:trPr>
              <w:tc>
                <w:tcPr>
                  <w:tcW w:w="306" w:type="pct"/>
                  <w:tcBorders>
                    <w:left w:val="single" w:sz="12" w:space="0" w:color="auto"/>
                  </w:tcBorders>
                </w:tcPr>
                <w:p w14:paraId="2B8F8D91"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N</w:t>
                  </w:r>
                </w:p>
              </w:tc>
              <w:tc>
                <w:tcPr>
                  <w:tcW w:w="1286" w:type="pct"/>
                  <w:vAlign w:val="center"/>
                </w:tcPr>
                <w:p w14:paraId="3D36CA38"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Pozo</w:t>
                  </w:r>
                </w:p>
              </w:tc>
              <w:tc>
                <w:tcPr>
                  <w:tcW w:w="746" w:type="pct"/>
                  <w:vAlign w:val="center"/>
                </w:tcPr>
                <w:p w14:paraId="79F8985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50F82A53"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5B7C965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62AD4CED" w14:textId="77777777" w:rsidTr="00873A6E">
              <w:trPr>
                <w:trHeight w:val="288"/>
              </w:trPr>
              <w:tc>
                <w:tcPr>
                  <w:tcW w:w="306" w:type="pct"/>
                  <w:tcBorders>
                    <w:left w:val="single" w:sz="12" w:space="0" w:color="auto"/>
                  </w:tcBorders>
                </w:tcPr>
                <w:p w14:paraId="78701236"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O</w:t>
                  </w:r>
                </w:p>
              </w:tc>
              <w:tc>
                <w:tcPr>
                  <w:tcW w:w="1286" w:type="pct"/>
                  <w:vAlign w:val="center"/>
                </w:tcPr>
                <w:p w14:paraId="7E77A38A"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Reloj</w:t>
                  </w:r>
                </w:p>
              </w:tc>
              <w:tc>
                <w:tcPr>
                  <w:tcW w:w="746" w:type="pct"/>
                  <w:vAlign w:val="center"/>
                </w:tcPr>
                <w:p w14:paraId="4EC9E423"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3241E80F"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25705D0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62B07DDC" w14:textId="77777777" w:rsidTr="00873A6E">
              <w:trPr>
                <w:trHeight w:val="288"/>
              </w:trPr>
              <w:tc>
                <w:tcPr>
                  <w:tcW w:w="306" w:type="pct"/>
                  <w:tcBorders>
                    <w:left w:val="single" w:sz="12" w:space="0" w:color="auto"/>
                  </w:tcBorders>
                </w:tcPr>
                <w:p w14:paraId="2D6CFE36"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P</w:t>
                  </w:r>
                </w:p>
              </w:tc>
              <w:tc>
                <w:tcPr>
                  <w:tcW w:w="1286" w:type="pct"/>
                  <w:vAlign w:val="center"/>
                </w:tcPr>
                <w:p w14:paraId="4961167D"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Letrina</w:t>
                  </w:r>
                </w:p>
              </w:tc>
              <w:tc>
                <w:tcPr>
                  <w:tcW w:w="746" w:type="pct"/>
                  <w:vAlign w:val="center"/>
                </w:tcPr>
                <w:p w14:paraId="2CA88E15"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right w:val="single" w:sz="12" w:space="0" w:color="auto"/>
                  </w:tcBorders>
                  <w:vAlign w:val="center"/>
                </w:tcPr>
                <w:p w14:paraId="595F78D8"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right w:val="single" w:sz="12" w:space="0" w:color="auto"/>
                  </w:tcBorders>
                  <w:vAlign w:val="center"/>
                </w:tcPr>
                <w:p w14:paraId="3EABDFAB"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r w:rsidR="005858CD" w:rsidRPr="005858CD" w14:paraId="6D5E1E1F" w14:textId="77777777" w:rsidTr="00873A6E">
              <w:trPr>
                <w:trHeight w:val="288"/>
              </w:trPr>
              <w:tc>
                <w:tcPr>
                  <w:tcW w:w="306" w:type="pct"/>
                  <w:tcBorders>
                    <w:left w:val="single" w:sz="12" w:space="0" w:color="auto"/>
                    <w:bottom w:val="single" w:sz="12" w:space="0" w:color="auto"/>
                  </w:tcBorders>
                </w:tcPr>
                <w:p w14:paraId="27D9397D" w14:textId="77777777" w:rsidR="005858CD" w:rsidRPr="005858CD" w:rsidRDefault="005858CD" w:rsidP="008C041F">
                  <w:pPr>
                    <w:rPr>
                      <w:rFonts w:ascii="Book Antiqua" w:eastAsia="Calibri" w:hAnsi="Book Antiqua"/>
                      <w:bCs/>
                      <w:sz w:val="16"/>
                      <w:szCs w:val="16"/>
                    </w:rPr>
                  </w:pPr>
                  <w:r w:rsidRPr="005858CD">
                    <w:rPr>
                      <w:rFonts w:ascii="Book Antiqua" w:eastAsia="Calibri" w:hAnsi="Book Antiqua"/>
                      <w:bCs/>
                      <w:sz w:val="16"/>
                      <w:szCs w:val="16"/>
                    </w:rPr>
                    <w:t>Q</w:t>
                  </w:r>
                </w:p>
              </w:tc>
              <w:tc>
                <w:tcPr>
                  <w:tcW w:w="1286" w:type="pct"/>
                  <w:tcBorders>
                    <w:bottom w:val="single" w:sz="12" w:space="0" w:color="auto"/>
                  </w:tcBorders>
                  <w:vAlign w:val="center"/>
                </w:tcPr>
                <w:p w14:paraId="537F3EB6" w14:textId="77777777" w:rsidR="005858CD" w:rsidRPr="005858CD" w:rsidRDefault="005858CD" w:rsidP="008C041F">
                  <w:pPr>
                    <w:rPr>
                      <w:rFonts w:ascii="Book Antiqua" w:eastAsia="Calibri" w:hAnsi="Book Antiqua"/>
                      <w:sz w:val="16"/>
                      <w:szCs w:val="16"/>
                    </w:rPr>
                  </w:pPr>
                  <w:r w:rsidRPr="005858CD">
                    <w:rPr>
                      <w:rFonts w:ascii="Book Antiqua" w:eastAsia="Calibri" w:hAnsi="Book Antiqua"/>
                      <w:sz w:val="16"/>
                      <w:szCs w:val="16"/>
                    </w:rPr>
                    <w:t>Inodoro</w:t>
                  </w:r>
                </w:p>
              </w:tc>
              <w:tc>
                <w:tcPr>
                  <w:tcW w:w="746" w:type="pct"/>
                  <w:tcBorders>
                    <w:bottom w:val="single" w:sz="12" w:space="0" w:color="auto"/>
                  </w:tcBorders>
                  <w:vAlign w:val="center"/>
                </w:tcPr>
                <w:p w14:paraId="53959ED6"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227" w:type="pct"/>
                  <w:tcBorders>
                    <w:bottom w:val="single" w:sz="12" w:space="0" w:color="auto"/>
                    <w:right w:val="single" w:sz="12" w:space="0" w:color="auto"/>
                  </w:tcBorders>
                  <w:vAlign w:val="center"/>
                </w:tcPr>
                <w:p w14:paraId="2DFB65F7"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c>
                <w:tcPr>
                  <w:tcW w:w="1435" w:type="pct"/>
                  <w:tcBorders>
                    <w:bottom w:val="single" w:sz="12" w:space="0" w:color="auto"/>
                    <w:right w:val="single" w:sz="12" w:space="0" w:color="auto"/>
                  </w:tcBorders>
                  <w:vAlign w:val="center"/>
                </w:tcPr>
                <w:p w14:paraId="20836FA0" w14:textId="77777777" w:rsidR="005858CD" w:rsidRPr="005858CD" w:rsidRDefault="005858CD" w:rsidP="008C041F">
                  <w:pPr>
                    <w:rPr>
                      <w:rFonts w:ascii="Book Antiqua" w:eastAsia="Calibri" w:hAnsi="Book Antiqua"/>
                      <w:b/>
                      <w:bCs/>
                      <w:sz w:val="16"/>
                      <w:szCs w:val="16"/>
                    </w:rPr>
                  </w:pPr>
                  <w:r w:rsidRPr="005858CD">
                    <w:rPr>
                      <w:rFonts w:ascii="Book Antiqua" w:eastAsia="Calibri" w:hAnsi="Book Antiqua"/>
                      <w:b/>
                      <w:bCs/>
                      <w:sz w:val="16"/>
                      <w:szCs w:val="16"/>
                    </w:rPr>
                    <w:t>|__|</w:t>
                  </w:r>
                </w:p>
              </w:tc>
            </w:tr>
          </w:tbl>
          <w:p w14:paraId="4EB672AA" w14:textId="77777777" w:rsidR="005858CD" w:rsidRPr="005858CD" w:rsidRDefault="005858CD" w:rsidP="008C041F">
            <w:pPr>
              <w:rPr>
                <w:rFonts w:ascii="Arial" w:hAnsi="Arial" w:cs="Arial"/>
                <w:b/>
                <w:color w:val="000000"/>
                <w:sz w:val="18"/>
                <w:szCs w:val="18"/>
              </w:rPr>
            </w:pPr>
          </w:p>
        </w:tc>
      </w:tr>
    </w:tbl>
    <w:p w14:paraId="33DCFE80" w14:textId="77777777" w:rsidR="005858CD" w:rsidRPr="005858CD" w:rsidRDefault="005858CD" w:rsidP="008C041F">
      <w:pPr>
        <w:rPr>
          <w:rFonts w:ascii="Book Antiqua" w:hAnsi="Book Antiqua" w:cs="Arial"/>
          <w:color w:val="000000"/>
          <w:sz w:val="16"/>
          <w:szCs w:val="16"/>
        </w:rPr>
      </w:pPr>
    </w:p>
    <w:p w14:paraId="401C39CF" w14:textId="77777777" w:rsidR="005858CD" w:rsidRPr="005858CD" w:rsidRDefault="005858CD" w:rsidP="008C041F">
      <w:pPr>
        <w:rPr>
          <w:rFonts w:ascii="Book Antiqua" w:hAnsi="Book Antiqua" w:cs="Arial"/>
          <w:color w:val="000000"/>
          <w:sz w:val="16"/>
          <w:szCs w:val="16"/>
        </w:rPr>
      </w:pPr>
    </w:p>
    <w:p w14:paraId="15E294B7" w14:textId="77777777" w:rsidR="005858CD" w:rsidRPr="005858CD" w:rsidRDefault="005858CD" w:rsidP="008C041F">
      <w:pPr>
        <w:rPr>
          <w:rFonts w:ascii="Book Antiqua" w:hAnsi="Book Antiqua" w:cs="Arial"/>
          <w:color w:val="000000"/>
          <w:sz w:val="16"/>
          <w:szCs w:val="16"/>
        </w:rPr>
      </w:pPr>
    </w:p>
    <w:p w14:paraId="306FF424" w14:textId="77777777" w:rsidR="005858CD" w:rsidRPr="005858CD" w:rsidRDefault="005858CD" w:rsidP="008C041F">
      <w:pPr>
        <w:rPr>
          <w:rFonts w:ascii="Book Antiqua" w:hAnsi="Book Antiqua" w:cs="Arial"/>
          <w:color w:val="000000"/>
          <w:sz w:val="16"/>
          <w:szCs w:val="16"/>
        </w:rPr>
      </w:pPr>
    </w:p>
    <w:p w14:paraId="51F5E3BE" w14:textId="77777777" w:rsidR="005858CD" w:rsidRPr="005858CD" w:rsidRDefault="005858CD" w:rsidP="008C041F">
      <w:pPr>
        <w:rPr>
          <w:rFonts w:ascii="Book Antiqua" w:hAnsi="Book Antiqua" w:cs="Arial"/>
          <w:color w:val="000000"/>
          <w:sz w:val="16"/>
          <w:szCs w:val="16"/>
        </w:rPr>
      </w:pPr>
    </w:p>
    <w:p w14:paraId="612EC19E" w14:textId="77777777" w:rsidR="005858CD" w:rsidRPr="005858CD" w:rsidRDefault="005858CD" w:rsidP="008C041F">
      <w:pPr>
        <w:rPr>
          <w:rFonts w:ascii="Book Antiqua" w:hAnsi="Book Antiqua" w:cs="Arial"/>
          <w:color w:val="000000"/>
          <w:sz w:val="16"/>
          <w:szCs w:val="16"/>
        </w:rPr>
      </w:pPr>
    </w:p>
    <w:p w14:paraId="59C6C32E" w14:textId="77777777" w:rsidR="005858CD" w:rsidRPr="005858CD" w:rsidRDefault="005858CD" w:rsidP="008C041F">
      <w:pPr>
        <w:rPr>
          <w:rFonts w:ascii="Book Antiqua" w:hAnsi="Book Antiqua" w:cs="Arial"/>
          <w:b/>
          <w:color w:val="000000"/>
          <w:sz w:val="18"/>
          <w:szCs w:val="18"/>
        </w:rPr>
      </w:pPr>
      <w:r w:rsidRPr="005858CD">
        <w:rPr>
          <w:rFonts w:ascii="Book Antiqua" w:hAnsi="Book Antiqua" w:cs="Arial"/>
          <w:b/>
          <w:color w:val="000000"/>
          <w:sz w:val="18"/>
          <w:szCs w:val="18"/>
        </w:rPr>
        <w:t>Características del hogar</w:t>
      </w:r>
    </w:p>
    <w:tbl>
      <w:tblPr>
        <w:tblW w:w="1026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4536"/>
        <w:gridCol w:w="3807"/>
        <w:gridCol w:w="1350"/>
      </w:tblGrid>
      <w:tr w:rsidR="005858CD" w:rsidRPr="005858CD" w14:paraId="489F414A" w14:textId="77777777" w:rsidTr="00873A6E">
        <w:trPr>
          <w:trHeight w:val="867"/>
        </w:trPr>
        <w:tc>
          <w:tcPr>
            <w:tcW w:w="567" w:type="dxa"/>
            <w:tcBorders>
              <w:top w:val="single" w:sz="12" w:space="0" w:color="auto"/>
              <w:left w:val="single" w:sz="12" w:space="0" w:color="000000"/>
            </w:tcBorders>
            <w:vAlign w:val="center"/>
          </w:tcPr>
          <w:p w14:paraId="393AB46C"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lastRenderedPageBreak/>
              <w:t>4.6</w:t>
            </w:r>
          </w:p>
        </w:tc>
        <w:tc>
          <w:tcPr>
            <w:tcW w:w="4536" w:type="dxa"/>
            <w:tcBorders>
              <w:top w:val="single" w:sz="12" w:space="0" w:color="auto"/>
              <w:right w:val="nil"/>
            </w:tcBorders>
            <w:vAlign w:val="center"/>
          </w:tcPr>
          <w:p w14:paraId="1C285E9D" w14:textId="77777777" w:rsidR="005858CD" w:rsidRPr="005858CD" w:rsidRDefault="005858CD">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color w:val="000000"/>
                <w:sz w:val="16"/>
                <w:szCs w:val="16"/>
                <w:lang w:val="es-NI"/>
              </w:rPr>
              <w:t>Cuál es el material principal con el que está hecha su casa?</w:t>
            </w:r>
          </w:p>
        </w:tc>
        <w:tc>
          <w:tcPr>
            <w:tcW w:w="3807" w:type="dxa"/>
            <w:tcBorders>
              <w:top w:val="single" w:sz="12" w:space="0" w:color="auto"/>
              <w:left w:val="nil"/>
              <w:right w:val="single" w:sz="8" w:space="0" w:color="000000"/>
            </w:tcBorders>
            <w:vAlign w:val="center"/>
          </w:tcPr>
          <w:p w14:paraId="53C27C88" w14:textId="77777777" w:rsidR="005858CD" w:rsidRPr="005858CD" w:rsidRDefault="005858CD">
            <w:pPr>
              <w:rPr>
                <w:rFonts w:ascii="Book Antiqua" w:hAnsi="Book Antiqua" w:cs="Arial"/>
                <w:bCs/>
                <w:sz w:val="14"/>
                <w:szCs w:val="14"/>
                <w:lang w:val="es-NI"/>
              </w:rPr>
            </w:pPr>
            <w:r w:rsidRPr="005858CD">
              <w:rPr>
                <w:rFonts w:ascii="Book Antiqua" w:hAnsi="Book Antiqua" w:cs="Arial"/>
                <w:bCs/>
                <w:sz w:val="14"/>
                <w:szCs w:val="14"/>
                <w:lang w:val="es-NI"/>
              </w:rPr>
              <w:t>1 = Barro y madera</w:t>
            </w:r>
          </w:p>
          <w:p w14:paraId="673062E4" w14:textId="77777777" w:rsidR="005858CD" w:rsidRPr="005858CD" w:rsidRDefault="005858CD">
            <w:pPr>
              <w:rPr>
                <w:rFonts w:ascii="Book Antiqua" w:hAnsi="Book Antiqua" w:cs="Arial"/>
                <w:bCs/>
                <w:sz w:val="14"/>
                <w:szCs w:val="14"/>
                <w:lang w:val="es-NI"/>
              </w:rPr>
            </w:pPr>
            <w:r w:rsidRPr="005858CD">
              <w:rPr>
                <w:rFonts w:ascii="Book Antiqua" w:hAnsi="Book Antiqua" w:cs="Arial"/>
                <w:bCs/>
                <w:sz w:val="14"/>
                <w:szCs w:val="14"/>
                <w:lang w:val="es-NI"/>
              </w:rPr>
              <w:t>2 =Ladrillos</w:t>
            </w:r>
          </w:p>
          <w:p w14:paraId="464EBDD6" w14:textId="77777777" w:rsidR="005858CD" w:rsidRPr="005858CD" w:rsidRDefault="005858CD">
            <w:pPr>
              <w:rPr>
                <w:rFonts w:ascii="Book Antiqua" w:hAnsi="Book Antiqua" w:cs="Arial"/>
                <w:bCs/>
                <w:sz w:val="14"/>
                <w:szCs w:val="14"/>
                <w:lang w:val="es-NI"/>
              </w:rPr>
            </w:pPr>
            <w:r w:rsidRPr="005858CD">
              <w:rPr>
                <w:rFonts w:ascii="Book Antiqua" w:hAnsi="Book Antiqua" w:cs="Arial"/>
                <w:bCs/>
                <w:sz w:val="14"/>
                <w:szCs w:val="14"/>
                <w:lang w:val="es-NI"/>
              </w:rPr>
              <w:t>3 = Cemento</w:t>
            </w:r>
          </w:p>
          <w:p w14:paraId="55D5A1FE" w14:textId="77777777" w:rsidR="005858CD" w:rsidRPr="005858CD" w:rsidRDefault="005858CD">
            <w:pPr>
              <w:rPr>
                <w:rFonts w:ascii="Arial" w:hAnsi="Arial" w:cs="Arial"/>
                <w:bCs/>
                <w:color w:val="000000"/>
                <w:sz w:val="14"/>
                <w:szCs w:val="14"/>
                <w:lang w:val="es-NI"/>
              </w:rPr>
            </w:pPr>
            <w:r w:rsidRPr="005858CD">
              <w:rPr>
                <w:rFonts w:ascii="Book Antiqua" w:hAnsi="Book Antiqua" w:cs="Arial"/>
                <w:bCs/>
                <w:sz w:val="14"/>
                <w:szCs w:val="14"/>
                <w:lang w:val="es-NI"/>
              </w:rPr>
              <w:t>4 = Otra: ______________________________________</w:t>
            </w:r>
          </w:p>
        </w:tc>
        <w:tc>
          <w:tcPr>
            <w:tcW w:w="1350" w:type="dxa"/>
            <w:tcBorders>
              <w:top w:val="single" w:sz="12" w:space="0" w:color="auto"/>
              <w:left w:val="single" w:sz="8" w:space="0" w:color="000000"/>
              <w:right w:val="single" w:sz="12" w:space="0" w:color="000000"/>
            </w:tcBorders>
            <w:vAlign w:val="center"/>
          </w:tcPr>
          <w:p w14:paraId="7FB472A6"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70C541DD" w14:textId="77777777" w:rsidTr="00873A6E">
        <w:trPr>
          <w:trHeight w:val="568"/>
        </w:trPr>
        <w:tc>
          <w:tcPr>
            <w:tcW w:w="567" w:type="dxa"/>
            <w:tcBorders>
              <w:left w:val="single" w:sz="12" w:space="0" w:color="000000"/>
            </w:tcBorders>
            <w:vAlign w:val="center"/>
          </w:tcPr>
          <w:p w14:paraId="20989EC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4.7</w:t>
            </w:r>
          </w:p>
        </w:tc>
        <w:tc>
          <w:tcPr>
            <w:tcW w:w="4536" w:type="dxa"/>
            <w:tcBorders>
              <w:right w:val="nil"/>
            </w:tcBorders>
            <w:vAlign w:val="center"/>
          </w:tcPr>
          <w:p w14:paraId="1A112665"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color w:val="000000"/>
                <w:sz w:val="16"/>
                <w:szCs w:val="16"/>
                <w:lang w:val="es-NI"/>
              </w:rPr>
              <w:t>Cuántas habitaciones tiene su casa?</w:t>
            </w:r>
          </w:p>
        </w:tc>
        <w:tc>
          <w:tcPr>
            <w:tcW w:w="3807" w:type="dxa"/>
            <w:tcBorders>
              <w:left w:val="nil"/>
              <w:right w:val="single" w:sz="8" w:space="0" w:color="000000"/>
            </w:tcBorders>
            <w:vAlign w:val="center"/>
          </w:tcPr>
          <w:p w14:paraId="1EFAB734" w14:textId="77777777" w:rsidR="005858CD" w:rsidRPr="005858CD" w:rsidRDefault="005858CD" w:rsidP="008C041F">
            <w:pPr>
              <w:ind w:right="280"/>
              <w:rPr>
                <w:rFonts w:ascii="Book Antiqua" w:hAnsi="Book Antiqua" w:cs="Arial"/>
                <w:bCs/>
                <w:color w:val="000000"/>
                <w:sz w:val="14"/>
                <w:szCs w:val="14"/>
              </w:rPr>
            </w:pPr>
            <w:r w:rsidRPr="005858CD">
              <w:rPr>
                <w:rFonts w:ascii="Book Antiqua" w:hAnsi="Book Antiqua" w:cs="Arial"/>
                <w:bCs/>
                <w:color w:val="000000"/>
                <w:sz w:val="14"/>
                <w:szCs w:val="14"/>
              </w:rPr>
              <w:t>Número de habitaciones</w:t>
            </w:r>
          </w:p>
        </w:tc>
        <w:tc>
          <w:tcPr>
            <w:tcW w:w="1350" w:type="dxa"/>
            <w:tcBorders>
              <w:left w:val="single" w:sz="8" w:space="0" w:color="000000"/>
              <w:right w:val="single" w:sz="12" w:space="0" w:color="000000"/>
            </w:tcBorders>
            <w:vAlign w:val="center"/>
          </w:tcPr>
          <w:p w14:paraId="1352F672"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35D4DCA0" w14:textId="77777777" w:rsidTr="00873A6E">
        <w:trPr>
          <w:trHeight w:val="590"/>
        </w:trPr>
        <w:tc>
          <w:tcPr>
            <w:tcW w:w="567" w:type="dxa"/>
            <w:tcBorders>
              <w:left w:val="single" w:sz="12" w:space="0" w:color="000000"/>
            </w:tcBorders>
            <w:vAlign w:val="center"/>
          </w:tcPr>
          <w:p w14:paraId="5A7C9BF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4.8</w:t>
            </w:r>
          </w:p>
        </w:tc>
        <w:tc>
          <w:tcPr>
            <w:tcW w:w="4536" w:type="dxa"/>
            <w:tcBorders>
              <w:right w:val="nil"/>
            </w:tcBorders>
            <w:vAlign w:val="center"/>
          </w:tcPr>
          <w:p w14:paraId="797752AD" w14:textId="77777777" w:rsidR="005858CD" w:rsidRPr="005858CD" w:rsidRDefault="005858CD" w:rsidP="008C041F">
            <w:pPr>
              <w:spacing w:before="80"/>
              <w:rPr>
                <w:rFonts w:ascii="Book Antiqua" w:hAnsi="Book Antiqua" w:cs="Arial"/>
                <w:b/>
                <w:bCs/>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sz w:val="16"/>
                <w:szCs w:val="16"/>
                <w:lang w:val="es-NI"/>
              </w:rPr>
              <w:t>Cuánto tiempo le toma caminar hasta el mercado más cercano?</w:t>
            </w:r>
          </w:p>
        </w:tc>
        <w:tc>
          <w:tcPr>
            <w:tcW w:w="3807" w:type="dxa"/>
            <w:tcBorders>
              <w:left w:val="nil"/>
              <w:right w:val="single" w:sz="8" w:space="0" w:color="000000"/>
            </w:tcBorders>
            <w:vAlign w:val="center"/>
          </w:tcPr>
          <w:p w14:paraId="71ABA6CA" w14:textId="77777777" w:rsidR="005858CD" w:rsidRPr="005858CD" w:rsidRDefault="005858CD" w:rsidP="008C041F">
            <w:pPr>
              <w:ind w:right="280"/>
              <w:rPr>
                <w:rFonts w:ascii="Book Antiqua" w:hAnsi="Book Antiqua" w:cs="Arial"/>
                <w:bCs/>
                <w:sz w:val="14"/>
                <w:szCs w:val="14"/>
              </w:rPr>
            </w:pPr>
            <w:r w:rsidRPr="005858CD">
              <w:rPr>
                <w:rFonts w:ascii="Book Antiqua" w:hAnsi="Book Antiqua" w:cs="Arial"/>
                <w:bCs/>
                <w:sz w:val="14"/>
                <w:szCs w:val="14"/>
              </w:rPr>
              <w:t>Tiempo en minutos</w:t>
            </w:r>
          </w:p>
        </w:tc>
        <w:tc>
          <w:tcPr>
            <w:tcW w:w="1350" w:type="dxa"/>
            <w:tcBorders>
              <w:left w:val="single" w:sz="8" w:space="0" w:color="000000"/>
              <w:right w:val="single" w:sz="12" w:space="0" w:color="000000"/>
            </w:tcBorders>
            <w:vAlign w:val="center"/>
          </w:tcPr>
          <w:p w14:paraId="612A7B9B" w14:textId="77777777" w:rsidR="005858CD" w:rsidRPr="005858CD" w:rsidRDefault="005858CD" w:rsidP="008C041F">
            <w:pPr>
              <w:jc w:val="center"/>
              <w:rPr>
                <w:rFonts w:ascii="Arial" w:hAnsi="Arial" w:cs="Arial"/>
                <w:b/>
                <w:bCs/>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6449635F" w14:textId="77777777" w:rsidTr="00873A6E">
        <w:trPr>
          <w:trHeight w:val="590"/>
        </w:trPr>
        <w:tc>
          <w:tcPr>
            <w:tcW w:w="567" w:type="dxa"/>
            <w:tcBorders>
              <w:left w:val="single" w:sz="12" w:space="0" w:color="000000"/>
            </w:tcBorders>
            <w:vAlign w:val="center"/>
          </w:tcPr>
          <w:p w14:paraId="4220AE8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4.9</w:t>
            </w:r>
          </w:p>
        </w:tc>
        <w:tc>
          <w:tcPr>
            <w:tcW w:w="4536" w:type="dxa"/>
            <w:tcBorders>
              <w:right w:val="nil"/>
            </w:tcBorders>
            <w:vAlign w:val="center"/>
          </w:tcPr>
          <w:p w14:paraId="7AD37688" w14:textId="77777777" w:rsidR="005858CD" w:rsidRPr="005858CD" w:rsidRDefault="005858CD" w:rsidP="008C041F">
            <w:pPr>
              <w:spacing w:before="80"/>
              <w:rPr>
                <w:rFonts w:ascii="Book Antiqua" w:hAnsi="Book Antiqua" w:cs="Arial"/>
                <w:b/>
                <w:bCs/>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sz w:val="16"/>
                <w:szCs w:val="16"/>
                <w:lang w:val="es-NI"/>
              </w:rPr>
              <w:t>Cuánto tiempo le toma caminar hasta la fuente de agua más cercana</w:t>
            </w:r>
          </w:p>
        </w:tc>
        <w:tc>
          <w:tcPr>
            <w:tcW w:w="3807" w:type="dxa"/>
            <w:tcBorders>
              <w:left w:val="nil"/>
              <w:right w:val="single" w:sz="8" w:space="0" w:color="000000"/>
            </w:tcBorders>
            <w:vAlign w:val="center"/>
          </w:tcPr>
          <w:p w14:paraId="1D774049" w14:textId="77777777" w:rsidR="005858CD" w:rsidRPr="005858CD" w:rsidRDefault="005858CD" w:rsidP="008C041F">
            <w:pPr>
              <w:ind w:right="280"/>
              <w:rPr>
                <w:rFonts w:ascii="Book Antiqua" w:hAnsi="Book Antiqua" w:cs="Arial"/>
                <w:bCs/>
                <w:sz w:val="14"/>
                <w:szCs w:val="14"/>
              </w:rPr>
            </w:pPr>
            <w:r w:rsidRPr="005858CD">
              <w:rPr>
                <w:rFonts w:ascii="Book Antiqua" w:hAnsi="Book Antiqua" w:cs="Arial"/>
                <w:bCs/>
                <w:sz w:val="14"/>
                <w:szCs w:val="14"/>
              </w:rPr>
              <w:t>Tiempo en minutos</w:t>
            </w:r>
          </w:p>
        </w:tc>
        <w:tc>
          <w:tcPr>
            <w:tcW w:w="1350" w:type="dxa"/>
            <w:tcBorders>
              <w:left w:val="single" w:sz="8" w:space="0" w:color="000000"/>
              <w:right w:val="single" w:sz="12" w:space="0" w:color="000000"/>
            </w:tcBorders>
            <w:vAlign w:val="center"/>
          </w:tcPr>
          <w:p w14:paraId="02E9F42F" w14:textId="77777777" w:rsidR="005858CD" w:rsidRPr="005858CD" w:rsidRDefault="005858CD" w:rsidP="008C041F">
            <w:pPr>
              <w:jc w:val="center"/>
              <w:rPr>
                <w:rFonts w:ascii="Arial" w:hAnsi="Arial" w:cs="Arial"/>
                <w:b/>
                <w:bCs/>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2FA44934" w14:textId="77777777" w:rsidTr="00873A6E">
        <w:trPr>
          <w:trHeight w:val="590"/>
        </w:trPr>
        <w:tc>
          <w:tcPr>
            <w:tcW w:w="567" w:type="dxa"/>
            <w:tcBorders>
              <w:left w:val="single" w:sz="12" w:space="0" w:color="000000"/>
              <w:bottom w:val="single" w:sz="12" w:space="0" w:color="auto"/>
            </w:tcBorders>
            <w:vAlign w:val="center"/>
          </w:tcPr>
          <w:p w14:paraId="6E762B7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4.10</w:t>
            </w:r>
          </w:p>
        </w:tc>
        <w:tc>
          <w:tcPr>
            <w:tcW w:w="4536" w:type="dxa"/>
            <w:tcBorders>
              <w:bottom w:val="single" w:sz="12" w:space="0" w:color="auto"/>
              <w:right w:val="nil"/>
            </w:tcBorders>
            <w:vAlign w:val="center"/>
          </w:tcPr>
          <w:p w14:paraId="466EAA62" w14:textId="77777777" w:rsidR="005858CD" w:rsidRPr="005858CD" w:rsidRDefault="005858CD" w:rsidP="008C041F">
            <w:pPr>
              <w:spacing w:before="80"/>
              <w:rPr>
                <w:rFonts w:ascii="Book Antiqua" w:hAnsi="Book Antiqua" w:cs="Arial"/>
                <w:b/>
                <w:bCs/>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bCs/>
                <w:sz w:val="16"/>
                <w:szCs w:val="16"/>
                <w:lang w:val="es-NI"/>
              </w:rPr>
              <w:t>Su casa cuenta con energía eléctrica o paneles solares?</w:t>
            </w:r>
          </w:p>
        </w:tc>
        <w:tc>
          <w:tcPr>
            <w:tcW w:w="3807" w:type="dxa"/>
            <w:tcBorders>
              <w:left w:val="nil"/>
              <w:bottom w:val="single" w:sz="12" w:space="0" w:color="auto"/>
              <w:right w:val="single" w:sz="8" w:space="0" w:color="000000"/>
            </w:tcBorders>
            <w:vAlign w:val="center"/>
          </w:tcPr>
          <w:p w14:paraId="1E8B3AF5" w14:textId="77777777" w:rsidR="005858CD" w:rsidRPr="005858CD" w:rsidRDefault="005858CD" w:rsidP="008C041F">
            <w:pPr>
              <w:rPr>
                <w:rFonts w:ascii="Book Antiqua" w:hAnsi="Book Antiqua" w:cs="Arial"/>
                <w:bCs/>
                <w:sz w:val="14"/>
                <w:szCs w:val="14"/>
                <w:lang w:val="es-NI"/>
              </w:rPr>
            </w:pPr>
            <w:r w:rsidRPr="005858CD">
              <w:rPr>
                <w:rFonts w:ascii="Book Antiqua" w:hAnsi="Book Antiqua" w:cs="Arial"/>
                <w:bCs/>
                <w:sz w:val="14"/>
                <w:szCs w:val="14"/>
                <w:lang w:val="es-NI"/>
              </w:rPr>
              <w:t>1 = Energía eléctrica</w:t>
            </w:r>
          </w:p>
          <w:p w14:paraId="5E619C2C" w14:textId="77777777" w:rsidR="005858CD" w:rsidRPr="005858CD" w:rsidRDefault="005858CD" w:rsidP="008C041F">
            <w:pPr>
              <w:rPr>
                <w:rFonts w:ascii="Book Antiqua" w:hAnsi="Book Antiqua" w:cs="Arial"/>
                <w:bCs/>
                <w:sz w:val="14"/>
                <w:szCs w:val="14"/>
                <w:lang w:val="es-NI"/>
              </w:rPr>
            </w:pPr>
            <w:r w:rsidRPr="005858CD">
              <w:rPr>
                <w:rFonts w:ascii="Book Antiqua" w:hAnsi="Book Antiqua" w:cs="Arial"/>
                <w:bCs/>
                <w:sz w:val="14"/>
                <w:szCs w:val="14"/>
                <w:lang w:val="es-NI"/>
              </w:rPr>
              <w:t>2 = Paneles solares</w:t>
            </w:r>
          </w:p>
          <w:p w14:paraId="61B135A6" w14:textId="77777777" w:rsidR="005858CD" w:rsidRPr="005858CD" w:rsidRDefault="005858CD" w:rsidP="008C041F">
            <w:pPr>
              <w:rPr>
                <w:rFonts w:ascii="Book Antiqua" w:hAnsi="Book Antiqua" w:cs="Arial"/>
                <w:bCs/>
                <w:sz w:val="14"/>
                <w:szCs w:val="14"/>
                <w:lang w:val="es-NI"/>
              </w:rPr>
            </w:pPr>
            <w:r w:rsidRPr="005858CD">
              <w:rPr>
                <w:rFonts w:ascii="Book Antiqua" w:hAnsi="Book Antiqua" w:cs="Arial"/>
                <w:bCs/>
                <w:sz w:val="14"/>
                <w:szCs w:val="14"/>
                <w:lang w:val="es-NI"/>
              </w:rPr>
              <w:t>3 =  Otra: ______________________________________</w:t>
            </w:r>
          </w:p>
          <w:p w14:paraId="66641032" w14:textId="77777777" w:rsidR="005858CD" w:rsidRPr="005858CD" w:rsidRDefault="005858CD" w:rsidP="008C041F">
            <w:pPr>
              <w:rPr>
                <w:rFonts w:ascii="Arial" w:hAnsi="Arial" w:cs="Arial"/>
                <w:bCs/>
                <w:color w:val="000000"/>
                <w:sz w:val="14"/>
                <w:szCs w:val="14"/>
                <w:lang w:val="es-NI"/>
              </w:rPr>
            </w:pPr>
            <w:r w:rsidRPr="005858CD">
              <w:rPr>
                <w:rFonts w:ascii="Book Antiqua" w:hAnsi="Book Antiqua" w:cs="Arial"/>
                <w:bCs/>
                <w:sz w:val="14"/>
                <w:szCs w:val="14"/>
                <w:lang w:val="es-NI"/>
              </w:rPr>
              <w:t>4 = Ninguna</w:t>
            </w:r>
          </w:p>
        </w:tc>
        <w:tc>
          <w:tcPr>
            <w:tcW w:w="1350" w:type="dxa"/>
            <w:tcBorders>
              <w:left w:val="single" w:sz="8" w:space="0" w:color="000000"/>
              <w:bottom w:val="single" w:sz="12" w:space="0" w:color="auto"/>
              <w:right w:val="single" w:sz="12" w:space="0" w:color="000000"/>
            </w:tcBorders>
            <w:vAlign w:val="center"/>
          </w:tcPr>
          <w:p w14:paraId="27CE47C6" w14:textId="77777777" w:rsidR="005858CD" w:rsidRPr="005858CD" w:rsidRDefault="005858CD" w:rsidP="008C041F">
            <w:pPr>
              <w:jc w:val="center"/>
              <w:rPr>
                <w:b/>
                <w:bCs/>
                <w:color w:val="000000"/>
                <w:sz w:val="28"/>
                <w:szCs w:val="28"/>
                <w:lang w:val="es-NI"/>
              </w:rPr>
            </w:pPr>
            <w:r w:rsidRPr="005858CD">
              <w:rPr>
                <w:b/>
                <w:bCs/>
                <w:color w:val="000000"/>
                <w:sz w:val="28"/>
                <w:szCs w:val="28"/>
              </w:rPr>
              <w:t>|__|</w:t>
            </w:r>
          </w:p>
        </w:tc>
      </w:tr>
    </w:tbl>
    <w:p w14:paraId="4C99144D" w14:textId="77777777" w:rsidR="005858CD" w:rsidRPr="005858CD" w:rsidRDefault="005858CD" w:rsidP="008C041F">
      <w:pPr>
        <w:rPr>
          <w:rFonts w:ascii="Arial" w:hAnsi="Arial" w:cs="Arial"/>
          <w:color w:val="000000"/>
          <w:sz w:val="18"/>
          <w:szCs w:val="18"/>
          <w:lang w:val="es-NI"/>
        </w:rPr>
      </w:pPr>
    </w:p>
    <w:p w14:paraId="27ACA198" w14:textId="77777777" w:rsidR="005858CD" w:rsidRPr="005858CD" w:rsidRDefault="005858CD" w:rsidP="008C041F">
      <w:pPr>
        <w:rPr>
          <w:rFonts w:ascii="Book Antiqua" w:hAnsi="Book Antiqua" w:cs="Arial"/>
          <w:b/>
          <w:color w:val="000000"/>
          <w:sz w:val="18"/>
          <w:szCs w:val="18"/>
        </w:rPr>
      </w:pPr>
      <w:r w:rsidRPr="005858CD">
        <w:rPr>
          <w:rFonts w:ascii="Book Antiqua" w:hAnsi="Book Antiqua" w:cs="Arial"/>
          <w:b/>
          <w:color w:val="000000"/>
          <w:sz w:val="18"/>
          <w:szCs w:val="18"/>
        </w:rPr>
        <w:t>Ingresos</w:t>
      </w:r>
    </w:p>
    <w:tbl>
      <w:tblPr>
        <w:tblW w:w="1026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3213"/>
        <w:gridCol w:w="18"/>
        <w:gridCol w:w="1305"/>
        <w:gridCol w:w="2977"/>
        <w:gridCol w:w="2180"/>
      </w:tblGrid>
      <w:tr w:rsidR="005858CD" w:rsidRPr="005858CD" w14:paraId="49A76880" w14:textId="77777777" w:rsidTr="00873A6E">
        <w:trPr>
          <w:trHeight w:val="402"/>
        </w:trPr>
        <w:tc>
          <w:tcPr>
            <w:tcW w:w="567" w:type="dxa"/>
            <w:vMerge w:val="restart"/>
            <w:tcBorders>
              <w:top w:val="single" w:sz="12" w:space="0" w:color="auto"/>
              <w:left w:val="single" w:sz="12" w:space="0" w:color="000000"/>
            </w:tcBorders>
            <w:vAlign w:val="center"/>
          </w:tcPr>
          <w:p w14:paraId="24C012F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4.11</w:t>
            </w:r>
          </w:p>
        </w:tc>
        <w:tc>
          <w:tcPr>
            <w:tcW w:w="3231" w:type="dxa"/>
            <w:gridSpan w:val="2"/>
            <w:vMerge w:val="restart"/>
            <w:tcBorders>
              <w:top w:val="single" w:sz="12" w:space="0" w:color="auto"/>
              <w:right w:val="single" w:sz="4" w:space="0" w:color="auto"/>
            </w:tcBorders>
            <w:vAlign w:val="center"/>
          </w:tcPr>
          <w:p w14:paraId="77A48A42" w14:textId="77777777" w:rsidR="005858CD" w:rsidRPr="005858CD" w:rsidRDefault="005858CD" w:rsidP="008C041F">
            <w:pPr>
              <w:autoSpaceDE w:val="0"/>
              <w:rPr>
                <w:rFonts w:ascii="Book Antiqua" w:hAnsi="Book Antiqua" w:cs="Arial"/>
                <w:b/>
                <w:bCs/>
                <w:sz w:val="16"/>
                <w:szCs w:val="16"/>
              </w:rPr>
            </w:pPr>
          </w:p>
          <w:p w14:paraId="7E5901D4" w14:textId="77777777" w:rsidR="005858CD" w:rsidRPr="005858CD" w:rsidRDefault="005858CD" w:rsidP="008C041F">
            <w:pPr>
              <w:autoSpaceDE w:val="0"/>
              <w:rPr>
                <w:rFonts w:ascii="Book Antiqua" w:hAnsi="Book Antiqua" w:cs="Arial"/>
                <w:b/>
                <w:sz w:val="16"/>
                <w:szCs w:val="16"/>
                <w:lang w:val="es-NI"/>
              </w:rPr>
            </w:pPr>
            <w:r w:rsidRPr="005858CD">
              <w:rPr>
                <w:rFonts w:ascii="Book Antiqua" w:hAnsi="Book Antiqua" w:cs="Arial"/>
                <w:b/>
                <w:color w:val="212121"/>
                <w:sz w:val="16"/>
                <w:szCs w:val="16"/>
                <w:lang w:val="es-ES"/>
              </w:rPr>
              <w:t>¿</w:t>
            </w:r>
            <w:r w:rsidRPr="005858CD">
              <w:rPr>
                <w:rFonts w:ascii="Book Antiqua" w:hAnsi="Book Antiqua" w:cs="Arial"/>
                <w:b/>
                <w:sz w:val="16"/>
                <w:szCs w:val="16"/>
                <w:lang w:val="es-NI"/>
              </w:rPr>
              <w:t>Cuántos ingresos obtuvo de las siguientes Fuentes el último mes?</w:t>
            </w:r>
          </w:p>
        </w:tc>
        <w:tc>
          <w:tcPr>
            <w:tcW w:w="4282" w:type="dxa"/>
            <w:gridSpan w:val="2"/>
            <w:tcBorders>
              <w:top w:val="single" w:sz="12" w:space="0" w:color="auto"/>
              <w:left w:val="single" w:sz="4" w:space="0" w:color="auto"/>
              <w:bottom w:val="single" w:sz="4" w:space="0" w:color="auto"/>
              <w:right w:val="single" w:sz="4" w:space="0" w:color="auto"/>
            </w:tcBorders>
            <w:vAlign w:val="center"/>
          </w:tcPr>
          <w:p w14:paraId="37A82BF6" w14:textId="77777777" w:rsidR="005858CD" w:rsidRPr="005858CD" w:rsidRDefault="005858CD" w:rsidP="008C041F">
            <w:pPr>
              <w:autoSpaceDE w:val="0"/>
              <w:rPr>
                <w:rFonts w:ascii="Arial" w:hAnsi="Arial" w:cs="Arial"/>
                <w:bCs/>
                <w:sz w:val="14"/>
                <w:szCs w:val="14"/>
                <w:lang w:val="es-NI"/>
              </w:rPr>
            </w:pPr>
          </w:p>
        </w:tc>
        <w:tc>
          <w:tcPr>
            <w:tcW w:w="2180" w:type="dxa"/>
            <w:tcBorders>
              <w:top w:val="single" w:sz="12" w:space="0" w:color="auto"/>
              <w:left w:val="single" w:sz="4" w:space="0" w:color="auto"/>
              <w:bottom w:val="single" w:sz="4" w:space="0" w:color="auto"/>
              <w:right w:val="single" w:sz="12" w:space="0" w:color="000000"/>
            </w:tcBorders>
            <w:vAlign w:val="center"/>
          </w:tcPr>
          <w:p w14:paraId="49AB3F47" w14:textId="77777777" w:rsidR="005858CD" w:rsidRPr="005858CD" w:rsidRDefault="005858CD" w:rsidP="008C041F">
            <w:pPr>
              <w:jc w:val="center"/>
              <w:rPr>
                <w:rFonts w:ascii="Book Antiqua" w:hAnsi="Book Antiqua" w:cs="Arial"/>
                <w:bCs/>
                <w:iCs/>
                <w:color w:val="000000"/>
                <w:sz w:val="14"/>
                <w:szCs w:val="14"/>
              </w:rPr>
            </w:pPr>
            <w:r w:rsidRPr="005858CD">
              <w:rPr>
                <w:rFonts w:ascii="Book Antiqua" w:hAnsi="Book Antiqua" w:cs="Arial"/>
                <w:bCs/>
                <w:iCs/>
                <w:color w:val="000000"/>
                <w:sz w:val="14"/>
                <w:szCs w:val="14"/>
              </w:rPr>
              <w:t>Cantidad en córdobas</w:t>
            </w:r>
          </w:p>
        </w:tc>
      </w:tr>
      <w:tr w:rsidR="005858CD" w:rsidRPr="005858CD" w14:paraId="7A54D427" w14:textId="77777777" w:rsidTr="00873A6E">
        <w:trPr>
          <w:trHeight w:val="269"/>
        </w:trPr>
        <w:tc>
          <w:tcPr>
            <w:tcW w:w="567" w:type="dxa"/>
            <w:vMerge/>
            <w:tcBorders>
              <w:left w:val="single" w:sz="12" w:space="0" w:color="000000"/>
            </w:tcBorders>
            <w:vAlign w:val="center"/>
          </w:tcPr>
          <w:p w14:paraId="3660CAF2" w14:textId="77777777" w:rsidR="005858CD" w:rsidRPr="005858CD" w:rsidRDefault="005858CD">
            <w:pPr>
              <w:rPr>
                <w:rFonts w:ascii="Arial" w:hAnsi="Arial" w:cs="Arial"/>
                <w:bCs/>
                <w:color w:val="000000"/>
                <w:sz w:val="18"/>
              </w:rPr>
            </w:pPr>
          </w:p>
        </w:tc>
        <w:tc>
          <w:tcPr>
            <w:tcW w:w="3231" w:type="dxa"/>
            <w:gridSpan w:val="2"/>
            <w:vMerge/>
            <w:tcBorders>
              <w:right w:val="single" w:sz="4" w:space="0" w:color="auto"/>
            </w:tcBorders>
            <w:vAlign w:val="center"/>
          </w:tcPr>
          <w:p w14:paraId="3A567497" w14:textId="77777777" w:rsidR="005858CD" w:rsidRPr="005858CD" w:rsidRDefault="005858CD">
            <w:pPr>
              <w:autoSpaceDE w:val="0"/>
              <w:rPr>
                <w:rFonts w:ascii="Arial" w:hAnsi="Arial" w:cs="Arial"/>
                <w:bCs/>
                <w:sz w:val="14"/>
                <w:szCs w:val="14"/>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21C3940F" w14:textId="77777777" w:rsidR="005858CD" w:rsidRPr="005858CD" w:rsidRDefault="005858CD">
            <w:pPr>
              <w:autoSpaceDE w:val="0"/>
              <w:rPr>
                <w:rFonts w:ascii="Book Antiqua" w:hAnsi="Book Antiqua" w:cs="Arial"/>
                <w:bCs/>
                <w:sz w:val="14"/>
                <w:szCs w:val="14"/>
                <w:lang w:val="es-NI"/>
              </w:rPr>
            </w:pPr>
            <w:r w:rsidRPr="005858CD">
              <w:rPr>
                <w:rFonts w:ascii="Book Antiqua" w:hAnsi="Book Antiqua" w:cs="Arial"/>
                <w:bCs/>
                <w:sz w:val="14"/>
                <w:szCs w:val="14"/>
                <w:lang w:val="es-NI"/>
              </w:rPr>
              <w:t>Agricultura (e.g. cultivos, ganado)</w:t>
            </w:r>
          </w:p>
        </w:tc>
        <w:tc>
          <w:tcPr>
            <w:tcW w:w="2180" w:type="dxa"/>
            <w:tcBorders>
              <w:top w:val="single" w:sz="4" w:space="0" w:color="auto"/>
              <w:left w:val="single" w:sz="4" w:space="0" w:color="auto"/>
              <w:bottom w:val="single" w:sz="4" w:space="0" w:color="auto"/>
              <w:right w:val="single" w:sz="12" w:space="0" w:color="000000"/>
            </w:tcBorders>
            <w:vAlign w:val="center"/>
          </w:tcPr>
          <w:p w14:paraId="6713B6B3" w14:textId="77777777" w:rsidR="005858CD" w:rsidRPr="005858CD" w:rsidRDefault="005858CD">
            <w:pPr>
              <w:autoSpaceDE w:val="0"/>
              <w:rPr>
                <w:rFonts w:ascii="Arial" w:hAnsi="Arial" w:cs="Arial"/>
                <w:bCs/>
                <w:sz w:val="14"/>
                <w:szCs w:val="14"/>
                <w:lang w:val="es-NI"/>
              </w:rPr>
            </w:pPr>
          </w:p>
        </w:tc>
      </w:tr>
      <w:tr w:rsidR="005858CD" w:rsidRPr="005858CD" w14:paraId="3BDBD555" w14:textId="77777777" w:rsidTr="00873A6E">
        <w:trPr>
          <w:trHeight w:val="260"/>
        </w:trPr>
        <w:tc>
          <w:tcPr>
            <w:tcW w:w="567" w:type="dxa"/>
            <w:vMerge/>
            <w:tcBorders>
              <w:left w:val="single" w:sz="12" w:space="0" w:color="000000"/>
            </w:tcBorders>
            <w:vAlign w:val="center"/>
          </w:tcPr>
          <w:p w14:paraId="235BE849" w14:textId="77777777" w:rsidR="005858CD" w:rsidRPr="005858CD" w:rsidRDefault="005858CD">
            <w:pPr>
              <w:rPr>
                <w:rFonts w:ascii="Arial" w:hAnsi="Arial" w:cs="Arial"/>
                <w:bCs/>
                <w:color w:val="000000"/>
                <w:sz w:val="18"/>
                <w:lang w:val="es-NI"/>
              </w:rPr>
            </w:pPr>
          </w:p>
        </w:tc>
        <w:tc>
          <w:tcPr>
            <w:tcW w:w="3231" w:type="dxa"/>
            <w:gridSpan w:val="2"/>
            <w:vMerge/>
            <w:tcBorders>
              <w:right w:val="single" w:sz="4" w:space="0" w:color="auto"/>
            </w:tcBorders>
            <w:vAlign w:val="center"/>
          </w:tcPr>
          <w:p w14:paraId="17EB05C6" w14:textId="77777777" w:rsidR="005858CD" w:rsidRPr="005858CD" w:rsidRDefault="005858CD">
            <w:pPr>
              <w:autoSpaceDE w:val="0"/>
              <w:rPr>
                <w:rFonts w:ascii="Arial" w:hAnsi="Arial" w:cs="Arial"/>
                <w:bCs/>
                <w:sz w:val="14"/>
                <w:szCs w:val="14"/>
                <w:lang w:val="es-NI"/>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2E493AD2" w14:textId="77777777" w:rsidR="005858CD" w:rsidRPr="005858CD" w:rsidRDefault="005858CD">
            <w:pPr>
              <w:autoSpaceDE w:val="0"/>
              <w:rPr>
                <w:rFonts w:ascii="Book Antiqua" w:hAnsi="Book Antiqua" w:cs="Arial"/>
                <w:bCs/>
                <w:sz w:val="14"/>
                <w:szCs w:val="14"/>
                <w:lang w:val="es-NI"/>
              </w:rPr>
            </w:pPr>
            <w:r w:rsidRPr="005858CD">
              <w:rPr>
                <w:rFonts w:ascii="Book Antiqua" w:hAnsi="Book Antiqua" w:cs="Arial"/>
                <w:bCs/>
                <w:sz w:val="14"/>
                <w:szCs w:val="14"/>
                <w:lang w:val="es-NI"/>
              </w:rPr>
              <w:t>Trabajo pagado (e.g. lavar, planchar, cuidar casa )</w:t>
            </w:r>
          </w:p>
        </w:tc>
        <w:tc>
          <w:tcPr>
            <w:tcW w:w="2180" w:type="dxa"/>
            <w:tcBorders>
              <w:top w:val="single" w:sz="4" w:space="0" w:color="auto"/>
              <w:left w:val="single" w:sz="4" w:space="0" w:color="auto"/>
              <w:bottom w:val="single" w:sz="4" w:space="0" w:color="auto"/>
              <w:right w:val="single" w:sz="12" w:space="0" w:color="000000"/>
            </w:tcBorders>
            <w:vAlign w:val="center"/>
          </w:tcPr>
          <w:p w14:paraId="4A62657A" w14:textId="77777777" w:rsidR="005858CD" w:rsidRPr="005858CD" w:rsidRDefault="005858CD">
            <w:pPr>
              <w:autoSpaceDE w:val="0"/>
              <w:rPr>
                <w:rFonts w:ascii="Arial" w:hAnsi="Arial" w:cs="Arial"/>
                <w:bCs/>
                <w:sz w:val="14"/>
                <w:szCs w:val="14"/>
                <w:lang w:val="es-NI"/>
              </w:rPr>
            </w:pPr>
          </w:p>
        </w:tc>
      </w:tr>
      <w:tr w:rsidR="005858CD" w:rsidRPr="005858CD" w14:paraId="35F3D5E7" w14:textId="77777777" w:rsidTr="00873A6E">
        <w:trPr>
          <w:trHeight w:val="260"/>
        </w:trPr>
        <w:tc>
          <w:tcPr>
            <w:tcW w:w="567" w:type="dxa"/>
            <w:vMerge/>
            <w:tcBorders>
              <w:left w:val="single" w:sz="12" w:space="0" w:color="000000"/>
            </w:tcBorders>
            <w:vAlign w:val="center"/>
          </w:tcPr>
          <w:p w14:paraId="7B93F9D0" w14:textId="77777777" w:rsidR="005858CD" w:rsidRPr="005858CD" w:rsidRDefault="005858CD">
            <w:pPr>
              <w:rPr>
                <w:rFonts w:ascii="Arial" w:hAnsi="Arial" w:cs="Arial"/>
                <w:bCs/>
                <w:color w:val="000000"/>
                <w:sz w:val="18"/>
                <w:lang w:val="es-NI"/>
              </w:rPr>
            </w:pPr>
          </w:p>
        </w:tc>
        <w:tc>
          <w:tcPr>
            <w:tcW w:w="3231" w:type="dxa"/>
            <w:gridSpan w:val="2"/>
            <w:vMerge/>
            <w:tcBorders>
              <w:right w:val="single" w:sz="4" w:space="0" w:color="auto"/>
            </w:tcBorders>
            <w:vAlign w:val="center"/>
          </w:tcPr>
          <w:p w14:paraId="76E39BE4" w14:textId="77777777" w:rsidR="005858CD" w:rsidRPr="005858CD" w:rsidRDefault="005858CD">
            <w:pPr>
              <w:autoSpaceDE w:val="0"/>
              <w:rPr>
                <w:rFonts w:ascii="Arial" w:hAnsi="Arial" w:cs="Arial"/>
                <w:bCs/>
                <w:sz w:val="14"/>
                <w:szCs w:val="14"/>
                <w:lang w:val="es-NI"/>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14E0796F" w14:textId="77777777" w:rsidR="005858CD" w:rsidRPr="005858CD" w:rsidRDefault="005858CD">
            <w:pPr>
              <w:autoSpaceDE w:val="0"/>
              <w:rPr>
                <w:rFonts w:ascii="Book Antiqua" w:hAnsi="Book Antiqua" w:cs="Arial"/>
                <w:bCs/>
                <w:sz w:val="14"/>
                <w:szCs w:val="14"/>
                <w:lang w:val="es-NI"/>
              </w:rPr>
            </w:pPr>
            <w:r w:rsidRPr="005858CD">
              <w:rPr>
                <w:rFonts w:ascii="Book Antiqua" w:hAnsi="Book Antiqua" w:cs="Arial"/>
                <w:bCs/>
                <w:sz w:val="14"/>
                <w:szCs w:val="14"/>
                <w:lang w:val="es-NI"/>
              </w:rPr>
              <w:t>Trabajo calificado (e.g. artesanías)</w:t>
            </w:r>
          </w:p>
        </w:tc>
        <w:tc>
          <w:tcPr>
            <w:tcW w:w="2180" w:type="dxa"/>
            <w:tcBorders>
              <w:top w:val="single" w:sz="4" w:space="0" w:color="auto"/>
              <w:left w:val="single" w:sz="4" w:space="0" w:color="auto"/>
              <w:bottom w:val="single" w:sz="4" w:space="0" w:color="auto"/>
              <w:right w:val="single" w:sz="12" w:space="0" w:color="000000"/>
            </w:tcBorders>
            <w:vAlign w:val="center"/>
          </w:tcPr>
          <w:p w14:paraId="029F57B1" w14:textId="77777777" w:rsidR="005858CD" w:rsidRPr="005858CD" w:rsidRDefault="005858CD">
            <w:pPr>
              <w:autoSpaceDE w:val="0"/>
              <w:rPr>
                <w:rFonts w:ascii="Arial" w:hAnsi="Arial" w:cs="Arial"/>
                <w:bCs/>
                <w:sz w:val="14"/>
                <w:szCs w:val="14"/>
                <w:lang w:val="es-NI"/>
              </w:rPr>
            </w:pPr>
          </w:p>
        </w:tc>
      </w:tr>
      <w:tr w:rsidR="005858CD" w:rsidRPr="005858CD" w14:paraId="391E2F15" w14:textId="77777777" w:rsidTr="00873A6E">
        <w:trPr>
          <w:trHeight w:val="242"/>
        </w:trPr>
        <w:tc>
          <w:tcPr>
            <w:tcW w:w="567" w:type="dxa"/>
            <w:vMerge/>
            <w:tcBorders>
              <w:left w:val="single" w:sz="12" w:space="0" w:color="000000"/>
            </w:tcBorders>
            <w:vAlign w:val="center"/>
          </w:tcPr>
          <w:p w14:paraId="6661C606" w14:textId="77777777" w:rsidR="005858CD" w:rsidRPr="005858CD" w:rsidRDefault="005858CD">
            <w:pPr>
              <w:rPr>
                <w:rFonts w:ascii="Arial" w:hAnsi="Arial" w:cs="Arial"/>
                <w:bCs/>
                <w:color w:val="000000"/>
                <w:sz w:val="18"/>
                <w:lang w:val="es-NI"/>
              </w:rPr>
            </w:pPr>
          </w:p>
        </w:tc>
        <w:tc>
          <w:tcPr>
            <w:tcW w:w="3231" w:type="dxa"/>
            <w:gridSpan w:val="2"/>
            <w:vMerge/>
            <w:tcBorders>
              <w:right w:val="single" w:sz="4" w:space="0" w:color="auto"/>
            </w:tcBorders>
            <w:vAlign w:val="center"/>
          </w:tcPr>
          <w:p w14:paraId="4FF6D37B" w14:textId="77777777" w:rsidR="005858CD" w:rsidRPr="005858CD" w:rsidRDefault="005858CD">
            <w:pPr>
              <w:autoSpaceDE w:val="0"/>
              <w:rPr>
                <w:rFonts w:ascii="Arial" w:hAnsi="Arial" w:cs="Arial"/>
                <w:bCs/>
                <w:sz w:val="14"/>
                <w:szCs w:val="14"/>
                <w:lang w:val="es-NI"/>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4B1C06D3" w14:textId="77777777" w:rsidR="005858CD" w:rsidRPr="005858CD" w:rsidRDefault="005858CD">
            <w:pPr>
              <w:autoSpaceDE w:val="0"/>
              <w:rPr>
                <w:rFonts w:ascii="Book Antiqua" w:hAnsi="Book Antiqua" w:cs="Arial"/>
                <w:bCs/>
                <w:sz w:val="14"/>
                <w:szCs w:val="14"/>
                <w:lang w:val="es-NI"/>
              </w:rPr>
            </w:pPr>
            <w:r w:rsidRPr="005858CD">
              <w:rPr>
                <w:rFonts w:ascii="Book Antiqua" w:hAnsi="Book Antiqua" w:cs="Arial"/>
                <w:bCs/>
                <w:sz w:val="14"/>
                <w:szCs w:val="14"/>
                <w:lang w:val="es-NI"/>
              </w:rPr>
              <w:t xml:space="preserve">Pequeño comercio  (e.g. venta de leña, cuajada, aves) </w:t>
            </w:r>
          </w:p>
        </w:tc>
        <w:tc>
          <w:tcPr>
            <w:tcW w:w="2180" w:type="dxa"/>
            <w:tcBorders>
              <w:top w:val="single" w:sz="4" w:space="0" w:color="auto"/>
              <w:left w:val="single" w:sz="4" w:space="0" w:color="auto"/>
              <w:bottom w:val="single" w:sz="4" w:space="0" w:color="auto"/>
              <w:right w:val="single" w:sz="12" w:space="0" w:color="000000"/>
            </w:tcBorders>
            <w:vAlign w:val="center"/>
          </w:tcPr>
          <w:p w14:paraId="0D3EB122" w14:textId="77777777" w:rsidR="005858CD" w:rsidRPr="005858CD" w:rsidRDefault="005858CD">
            <w:pPr>
              <w:autoSpaceDE w:val="0"/>
              <w:rPr>
                <w:rFonts w:ascii="Arial" w:hAnsi="Arial" w:cs="Arial"/>
                <w:bCs/>
                <w:sz w:val="14"/>
                <w:szCs w:val="14"/>
                <w:lang w:val="es-NI"/>
              </w:rPr>
            </w:pPr>
          </w:p>
        </w:tc>
      </w:tr>
      <w:tr w:rsidR="005858CD" w:rsidRPr="005858CD" w14:paraId="0B304BFD" w14:textId="77777777" w:rsidTr="00873A6E">
        <w:trPr>
          <w:trHeight w:val="269"/>
        </w:trPr>
        <w:tc>
          <w:tcPr>
            <w:tcW w:w="567" w:type="dxa"/>
            <w:vMerge/>
            <w:tcBorders>
              <w:left w:val="single" w:sz="12" w:space="0" w:color="000000"/>
            </w:tcBorders>
            <w:vAlign w:val="center"/>
          </w:tcPr>
          <w:p w14:paraId="56010847" w14:textId="77777777" w:rsidR="005858CD" w:rsidRPr="005858CD" w:rsidRDefault="005858CD">
            <w:pPr>
              <w:rPr>
                <w:rFonts w:ascii="Arial" w:hAnsi="Arial" w:cs="Arial"/>
                <w:bCs/>
                <w:color w:val="000000"/>
                <w:sz w:val="18"/>
                <w:lang w:val="es-NI"/>
              </w:rPr>
            </w:pPr>
          </w:p>
        </w:tc>
        <w:tc>
          <w:tcPr>
            <w:tcW w:w="3231" w:type="dxa"/>
            <w:gridSpan w:val="2"/>
            <w:vMerge/>
            <w:tcBorders>
              <w:right w:val="single" w:sz="4" w:space="0" w:color="auto"/>
            </w:tcBorders>
            <w:vAlign w:val="center"/>
          </w:tcPr>
          <w:p w14:paraId="00A768DC" w14:textId="77777777" w:rsidR="005858CD" w:rsidRPr="005858CD" w:rsidRDefault="005858CD">
            <w:pPr>
              <w:autoSpaceDE w:val="0"/>
              <w:rPr>
                <w:rFonts w:ascii="Arial" w:hAnsi="Arial" w:cs="Arial"/>
                <w:bCs/>
                <w:sz w:val="14"/>
                <w:szCs w:val="14"/>
                <w:lang w:val="es-NI"/>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316E63F7" w14:textId="77777777" w:rsidR="005858CD" w:rsidRPr="005858CD" w:rsidRDefault="005858CD">
            <w:pPr>
              <w:autoSpaceDE w:val="0"/>
              <w:rPr>
                <w:rFonts w:ascii="Book Antiqua" w:hAnsi="Book Antiqua" w:cs="Arial"/>
                <w:bCs/>
                <w:sz w:val="14"/>
                <w:szCs w:val="14"/>
              </w:rPr>
            </w:pPr>
            <w:r w:rsidRPr="005858CD">
              <w:rPr>
                <w:rFonts w:ascii="Book Antiqua" w:hAnsi="Book Antiqua" w:cs="Arial"/>
                <w:bCs/>
                <w:sz w:val="14"/>
                <w:szCs w:val="14"/>
                <w:lang w:val="es-NI"/>
              </w:rPr>
              <w:t>Remesas/regalos/asistencia</w:t>
            </w:r>
          </w:p>
        </w:tc>
        <w:tc>
          <w:tcPr>
            <w:tcW w:w="2180" w:type="dxa"/>
            <w:tcBorders>
              <w:top w:val="single" w:sz="4" w:space="0" w:color="auto"/>
              <w:left w:val="single" w:sz="4" w:space="0" w:color="auto"/>
              <w:bottom w:val="single" w:sz="4" w:space="0" w:color="auto"/>
              <w:right w:val="single" w:sz="12" w:space="0" w:color="000000"/>
            </w:tcBorders>
            <w:vAlign w:val="center"/>
          </w:tcPr>
          <w:p w14:paraId="72FDBC5E" w14:textId="77777777" w:rsidR="005858CD" w:rsidRPr="005858CD" w:rsidRDefault="005858CD">
            <w:pPr>
              <w:autoSpaceDE w:val="0"/>
              <w:rPr>
                <w:rFonts w:ascii="Arial" w:hAnsi="Arial" w:cs="Arial"/>
                <w:bCs/>
                <w:sz w:val="14"/>
                <w:szCs w:val="14"/>
              </w:rPr>
            </w:pPr>
          </w:p>
        </w:tc>
      </w:tr>
      <w:tr w:rsidR="005858CD" w:rsidRPr="005858CD" w14:paraId="134159CF" w14:textId="77777777" w:rsidTr="00873A6E">
        <w:trPr>
          <w:trHeight w:val="269"/>
        </w:trPr>
        <w:tc>
          <w:tcPr>
            <w:tcW w:w="567" w:type="dxa"/>
            <w:vMerge/>
            <w:tcBorders>
              <w:left w:val="single" w:sz="12" w:space="0" w:color="000000"/>
            </w:tcBorders>
            <w:vAlign w:val="center"/>
          </w:tcPr>
          <w:p w14:paraId="56DFDF15" w14:textId="77777777" w:rsidR="005858CD" w:rsidRPr="005858CD" w:rsidRDefault="005858CD">
            <w:pPr>
              <w:rPr>
                <w:rFonts w:ascii="Arial" w:hAnsi="Arial" w:cs="Arial"/>
                <w:bCs/>
                <w:color w:val="000000"/>
                <w:sz w:val="18"/>
              </w:rPr>
            </w:pPr>
          </w:p>
        </w:tc>
        <w:tc>
          <w:tcPr>
            <w:tcW w:w="3231" w:type="dxa"/>
            <w:gridSpan w:val="2"/>
            <w:vMerge/>
            <w:tcBorders>
              <w:right w:val="single" w:sz="4" w:space="0" w:color="auto"/>
            </w:tcBorders>
            <w:vAlign w:val="center"/>
          </w:tcPr>
          <w:p w14:paraId="657E0EFB" w14:textId="77777777" w:rsidR="005858CD" w:rsidRPr="005858CD" w:rsidRDefault="005858CD">
            <w:pPr>
              <w:autoSpaceDE w:val="0"/>
              <w:rPr>
                <w:rFonts w:ascii="Arial" w:hAnsi="Arial" w:cs="Arial"/>
                <w:bCs/>
                <w:sz w:val="14"/>
                <w:szCs w:val="14"/>
              </w:rPr>
            </w:pPr>
          </w:p>
        </w:tc>
        <w:tc>
          <w:tcPr>
            <w:tcW w:w="4282" w:type="dxa"/>
            <w:gridSpan w:val="2"/>
            <w:tcBorders>
              <w:top w:val="single" w:sz="4" w:space="0" w:color="auto"/>
              <w:left w:val="single" w:sz="4" w:space="0" w:color="auto"/>
              <w:bottom w:val="single" w:sz="4" w:space="0" w:color="auto"/>
              <w:right w:val="single" w:sz="4" w:space="0" w:color="auto"/>
            </w:tcBorders>
            <w:vAlign w:val="center"/>
          </w:tcPr>
          <w:p w14:paraId="301191AB" w14:textId="77777777" w:rsidR="005858CD" w:rsidRPr="005858CD" w:rsidRDefault="005858CD">
            <w:pPr>
              <w:autoSpaceDE w:val="0"/>
              <w:rPr>
                <w:rFonts w:ascii="Book Antiqua" w:hAnsi="Book Antiqua" w:cs="Arial"/>
                <w:bCs/>
                <w:sz w:val="14"/>
                <w:szCs w:val="14"/>
              </w:rPr>
            </w:pPr>
            <w:r w:rsidRPr="005858CD">
              <w:rPr>
                <w:rFonts w:ascii="Book Antiqua" w:hAnsi="Book Antiqua" w:cs="Arial"/>
                <w:bCs/>
                <w:sz w:val="14"/>
                <w:szCs w:val="14"/>
              </w:rPr>
              <w:t>Otras:______________________________________________</w:t>
            </w:r>
          </w:p>
        </w:tc>
        <w:tc>
          <w:tcPr>
            <w:tcW w:w="2180" w:type="dxa"/>
            <w:tcBorders>
              <w:top w:val="single" w:sz="4" w:space="0" w:color="auto"/>
              <w:left w:val="single" w:sz="4" w:space="0" w:color="auto"/>
              <w:bottom w:val="single" w:sz="4" w:space="0" w:color="auto"/>
              <w:right w:val="single" w:sz="12" w:space="0" w:color="000000"/>
            </w:tcBorders>
            <w:vAlign w:val="center"/>
          </w:tcPr>
          <w:p w14:paraId="2D0E28D6" w14:textId="77777777" w:rsidR="005858CD" w:rsidRPr="005858CD" w:rsidRDefault="005858CD">
            <w:pPr>
              <w:autoSpaceDE w:val="0"/>
              <w:rPr>
                <w:rFonts w:ascii="Arial" w:hAnsi="Arial" w:cs="Arial"/>
                <w:bCs/>
                <w:sz w:val="14"/>
                <w:szCs w:val="14"/>
              </w:rPr>
            </w:pPr>
          </w:p>
        </w:tc>
      </w:tr>
      <w:tr w:rsidR="005858CD" w:rsidRPr="005858CD" w14:paraId="1FA72CD1" w14:textId="77777777" w:rsidTr="00873A6E">
        <w:trPr>
          <w:trHeight w:val="319"/>
        </w:trPr>
        <w:tc>
          <w:tcPr>
            <w:tcW w:w="567" w:type="dxa"/>
            <w:vMerge w:val="restart"/>
            <w:tcBorders>
              <w:top w:val="single" w:sz="4" w:space="0" w:color="auto"/>
              <w:left w:val="single" w:sz="12" w:space="0" w:color="000000"/>
            </w:tcBorders>
            <w:vAlign w:val="center"/>
          </w:tcPr>
          <w:p w14:paraId="4D1F194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4.12</w:t>
            </w:r>
          </w:p>
        </w:tc>
        <w:tc>
          <w:tcPr>
            <w:tcW w:w="3213" w:type="dxa"/>
            <w:vMerge w:val="restart"/>
            <w:tcBorders>
              <w:top w:val="single" w:sz="4" w:space="0" w:color="auto"/>
              <w:right w:val="single" w:sz="8" w:space="0" w:color="000000"/>
            </w:tcBorders>
            <w:vAlign w:val="center"/>
          </w:tcPr>
          <w:p w14:paraId="3D1A0379"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 xml:space="preserve">Aquí hay 10 frijoles. </w:t>
            </w:r>
            <w:r w:rsidRPr="005858CD">
              <w:rPr>
                <w:rFonts w:ascii="Book Antiqua" w:hAnsi="Book Antiqua" w:cs="Arial"/>
                <w:sz w:val="16"/>
                <w:szCs w:val="16"/>
                <w:lang w:val="es-NI"/>
              </w:rPr>
              <w:t xml:space="preserve">Los 10 frijoles juntos representan los ingresos que </w:t>
            </w:r>
            <w:r w:rsidRPr="005858CD">
              <w:rPr>
                <w:rFonts w:ascii="Book Antiqua" w:hAnsi="Book Antiqua" w:cs="Arial"/>
                <w:sz w:val="16"/>
                <w:szCs w:val="16"/>
                <w:u w:val="single"/>
                <w:lang w:val="es-NI"/>
              </w:rPr>
              <w:t>usted</w:t>
            </w:r>
            <w:r w:rsidRPr="005858CD">
              <w:rPr>
                <w:rFonts w:ascii="Book Antiqua" w:hAnsi="Book Antiqua" w:cs="Arial"/>
                <w:sz w:val="16"/>
                <w:szCs w:val="16"/>
                <w:lang w:val="es-NI"/>
              </w:rPr>
              <w:t xml:space="preserve"> obtuvo de diversas fuentes en el último mes  </w:t>
            </w:r>
          </w:p>
          <w:p w14:paraId="2A041FC3" w14:textId="77777777" w:rsidR="005858CD" w:rsidRPr="005858CD" w:rsidRDefault="005858CD" w:rsidP="008C041F">
            <w:pPr>
              <w:rPr>
                <w:rFonts w:ascii="Book Antiqua" w:hAnsi="Book Antiqua" w:cs="Arial"/>
                <w:sz w:val="14"/>
                <w:szCs w:val="14"/>
              </w:rPr>
            </w:pPr>
          </w:p>
        </w:tc>
        <w:tc>
          <w:tcPr>
            <w:tcW w:w="4300" w:type="dxa"/>
            <w:gridSpan w:val="3"/>
            <w:tcBorders>
              <w:top w:val="single" w:sz="4" w:space="0" w:color="auto"/>
              <w:bottom w:val="dotted" w:sz="4" w:space="0" w:color="auto"/>
              <w:right w:val="single" w:sz="8" w:space="0" w:color="000000"/>
            </w:tcBorders>
            <w:vAlign w:val="center"/>
          </w:tcPr>
          <w:p w14:paraId="7B433768" w14:textId="77777777" w:rsidR="005858CD" w:rsidRPr="005858CD" w:rsidRDefault="005858CD" w:rsidP="008C041F">
            <w:pPr>
              <w:rPr>
                <w:rFonts w:ascii="Book Antiqua" w:hAnsi="Book Antiqua" w:cs="Arial"/>
                <w:b/>
                <w:sz w:val="16"/>
                <w:szCs w:val="16"/>
                <w:lang w:val="es-NI"/>
              </w:rPr>
            </w:pPr>
            <w:r w:rsidRPr="005858CD">
              <w:rPr>
                <w:rFonts w:ascii="Book Antiqua" w:hAnsi="Book Antiqua" w:cs="Arial"/>
                <w:b/>
                <w:sz w:val="16"/>
                <w:szCs w:val="16"/>
                <w:lang w:val="es-NI"/>
              </w:rPr>
              <w:t xml:space="preserve">Cuántos frijoles representan los ingresos sobre los que </w:t>
            </w:r>
            <w:r w:rsidRPr="005858CD">
              <w:rPr>
                <w:rFonts w:ascii="Book Antiqua" w:hAnsi="Book Antiqua" w:cs="Arial"/>
                <w:b/>
                <w:sz w:val="16"/>
                <w:szCs w:val="16"/>
                <w:u w:val="single"/>
                <w:lang w:val="es-NI"/>
              </w:rPr>
              <w:t>usted</w:t>
            </w:r>
            <w:r w:rsidRPr="005858CD">
              <w:rPr>
                <w:rFonts w:ascii="Book Antiqua" w:hAnsi="Book Antiqua" w:cs="Arial"/>
                <w:b/>
                <w:sz w:val="16"/>
                <w:szCs w:val="16"/>
                <w:lang w:val="es-NI"/>
              </w:rPr>
              <w:t xml:space="preserve"> decide cómo usar sin pedir permiso a nadie? </w:t>
            </w:r>
          </w:p>
        </w:tc>
        <w:tc>
          <w:tcPr>
            <w:tcW w:w="2180" w:type="dxa"/>
            <w:tcBorders>
              <w:top w:val="single" w:sz="4" w:space="0" w:color="auto"/>
              <w:left w:val="single" w:sz="8" w:space="0" w:color="000000"/>
              <w:right w:val="single" w:sz="12" w:space="0" w:color="000000"/>
            </w:tcBorders>
          </w:tcPr>
          <w:p w14:paraId="5CB17A21"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7D3CF172" w14:textId="77777777" w:rsidTr="00873A6E">
        <w:trPr>
          <w:trHeight w:val="318"/>
        </w:trPr>
        <w:tc>
          <w:tcPr>
            <w:tcW w:w="567" w:type="dxa"/>
            <w:vMerge/>
            <w:tcBorders>
              <w:left w:val="single" w:sz="12" w:space="0" w:color="000000"/>
            </w:tcBorders>
            <w:vAlign w:val="center"/>
          </w:tcPr>
          <w:p w14:paraId="6B6F05D2" w14:textId="77777777" w:rsidR="005858CD" w:rsidRPr="005858CD" w:rsidRDefault="005858CD">
            <w:pPr>
              <w:rPr>
                <w:rFonts w:ascii="Arial" w:hAnsi="Arial" w:cs="Arial"/>
                <w:bCs/>
                <w:color w:val="000000"/>
                <w:sz w:val="18"/>
              </w:rPr>
            </w:pPr>
          </w:p>
        </w:tc>
        <w:tc>
          <w:tcPr>
            <w:tcW w:w="3213" w:type="dxa"/>
            <w:vMerge/>
            <w:tcBorders>
              <w:right w:val="single" w:sz="8" w:space="0" w:color="000000"/>
            </w:tcBorders>
            <w:vAlign w:val="center"/>
          </w:tcPr>
          <w:p w14:paraId="1D3F3676" w14:textId="77777777" w:rsidR="005858CD" w:rsidRPr="005858CD" w:rsidRDefault="005858CD">
            <w:pPr>
              <w:rPr>
                <w:rFonts w:ascii="Arial" w:hAnsi="Arial" w:cs="Arial"/>
                <w:b/>
                <w:sz w:val="18"/>
                <w:szCs w:val="18"/>
              </w:rPr>
            </w:pPr>
          </w:p>
        </w:tc>
        <w:tc>
          <w:tcPr>
            <w:tcW w:w="4300" w:type="dxa"/>
            <w:gridSpan w:val="3"/>
            <w:tcBorders>
              <w:top w:val="single" w:sz="4" w:space="0" w:color="auto"/>
              <w:bottom w:val="dotted" w:sz="4" w:space="0" w:color="auto"/>
              <w:right w:val="single" w:sz="8" w:space="0" w:color="000000"/>
            </w:tcBorders>
            <w:vAlign w:val="center"/>
          </w:tcPr>
          <w:p w14:paraId="1D19195F" w14:textId="77777777" w:rsidR="005858CD" w:rsidRPr="005858CD" w:rsidRDefault="005858CD">
            <w:pPr>
              <w:rPr>
                <w:rFonts w:ascii="Book Antiqua" w:hAnsi="Book Antiqua" w:cs="Arial"/>
                <w:b/>
                <w:sz w:val="16"/>
                <w:szCs w:val="16"/>
              </w:rPr>
            </w:pPr>
            <w:r w:rsidRPr="005858CD">
              <w:rPr>
                <w:rFonts w:ascii="Book Antiqua" w:hAnsi="Book Antiqua" w:cs="Arial"/>
                <w:b/>
                <w:sz w:val="16"/>
                <w:szCs w:val="16"/>
              </w:rPr>
              <w:t xml:space="preserve">Cuántos frijoles representan los ingresos sobre los que decidió </w:t>
            </w:r>
            <w:r w:rsidRPr="005858CD">
              <w:rPr>
                <w:rFonts w:ascii="Book Antiqua" w:hAnsi="Book Antiqua" w:cs="Arial"/>
                <w:b/>
                <w:sz w:val="16"/>
                <w:szCs w:val="16"/>
                <w:u w:val="single"/>
              </w:rPr>
              <w:t>con su pareja?</w:t>
            </w:r>
          </w:p>
        </w:tc>
        <w:tc>
          <w:tcPr>
            <w:tcW w:w="2180" w:type="dxa"/>
            <w:tcBorders>
              <w:left w:val="single" w:sz="8" w:space="0" w:color="000000"/>
              <w:right w:val="single" w:sz="12" w:space="0" w:color="000000"/>
            </w:tcBorders>
          </w:tcPr>
          <w:p w14:paraId="66EF1672" w14:textId="77777777" w:rsidR="005858CD" w:rsidRPr="005858CD" w:rsidRDefault="005858CD">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2D249959" w14:textId="77777777" w:rsidTr="00873A6E">
        <w:trPr>
          <w:trHeight w:val="566"/>
        </w:trPr>
        <w:tc>
          <w:tcPr>
            <w:tcW w:w="567" w:type="dxa"/>
            <w:vMerge/>
            <w:tcBorders>
              <w:left w:val="single" w:sz="12" w:space="0" w:color="000000"/>
              <w:bottom w:val="dotted" w:sz="4" w:space="0" w:color="auto"/>
            </w:tcBorders>
            <w:vAlign w:val="center"/>
          </w:tcPr>
          <w:p w14:paraId="2607A10B" w14:textId="77777777" w:rsidR="005858CD" w:rsidRPr="005858CD" w:rsidRDefault="005858CD">
            <w:pPr>
              <w:rPr>
                <w:rFonts w:ascii="Arial" w:hAnsi="Arial" w:cs="Arial"/>
                <w:bCs/>
                <w:color w:val="000000"/>
                <w:sz w:val="18"/>
              </w:rPr>
            </w:pPr>
          </w:p>
        </w:tc>
        <w:tc>
          <w:tcPr>
            <w:tcW w:w="3213" w:type="dxa"/>
            <w:vMerge/>
            <w:tcBorders>
              <w:bottom w:val="dotted" w:sz="4" w:space="0" w:color="auto"/>
              <w:right w:val="single" w:sz="8" w:space="0" w:color="000000"/>
            </w:tcBorders>
            <w:vAlign w:val="center"/>
          </w:tcPr>
          <w:p w14:paraId="0DB9FBF0" w14:textId="77777777" w:rsidR="005858CD" w:rsidRPr="005858CD" w:rsidRDefault="005858CD">
            <w:pPr>
              <w:rPr>
                <w:rFonts w:ascii="Arial" w:hAnsi="Arial" w:cs="Arial"/>
                <w:b/>
                <w:sz w:val="18"/>
                <w:szCs w:val="18"/>
              </w:rPr>
            </w:pPr>
          </w:p>
        </w:tc>
        <w:tc>
          <w:tcPr>
            <w:tcW w:w="4300" w:type="dxa"/>
            <w:gridSpan w:val="3"/>
            <w:tcBorders>
              <w:top w:val="single" w:sz="4" w:space="0" w:color="auto"/>
              <w:bottom w:val="dotted" w:sz="4" w:space="0" w:color="auto"/>
              <w:right w:val="single" w:sz="8" w:space="0" w:color="000000"/>
            </w:tcBorders>
            <w:vAlign w:val="center"/>
          </w:tcPr>
          <w:p w14:paraId="3302F0F8" w14:textId="77777777" w:rsidR="005858CD" w:rsidRPr="005858CD" w:rsidRDefault="005858CD">
            <w:pPr>
              <w:rPr>
                <w:rFonts w:ascii="Book Antiqua" w:hAnsi="Book Antiqua" w:cs="Arial"/>
                <w:b/>
                <w:sz w:val="16"/>
                <w:szCs w:val="16"/>
              </w:rPr>
            </w:pPr>
            <w:r w:rsidRPr="005858CD">
              <w:rPr>
                <w:rFonts w:ascii="Book Antiqua" w:hAnsi="Book Antiqua" w:cs="Arial"/>
                <w:b/>
                <w:sz w:val="16"/>
                <w:szCs w:val="16"/>
              </w:rPr>
              <w:t xml:space="preserve">Cuántos frijoles representan los ingresos que </w:t>
            </w:r>
            <w:r w:rsidRPr="005858CD">
              <w:rPr>
                <w:rFonts w:ascii="Book Antiqua" w:hAnsi="Book Antiqua" w:cs="Arial"/>
                <w:b/>
                <w:sz w:val="16"/>
                <w:szCs w:val="16"/>
                <w:u w:val="single"/>
              </w:rPr>
              <w:t>su esposo/pareja</w:t>
            </w:r>
            <w:r w:rsidRPr="005858CD">
              <w:rPr>
                <w:rFonts w:ascii="Book Antiqua" w:hAnsi="Book Antiqua" w:cs="Arial"/>
                <w:b/>
                <w:sz w:val="16"/>
                <w:szCs w:val="16"/>
              </w:rPr>
              <w:t xml:space="preserve"> decidió cómo usar? </w:t>
            </w:r>
          </w:p>
        </w:tc>
        <w:tc>
          <w:tcPr>
            <w:tcW w:w="2180" w:type="dxa"/>
            <w:tcBorders>
              <w:left w:val="single" w:sz="8" w:space="0" w:color="000000"/>
              <w:bottom w:val="dotted" w:sz="4" w:space="0" w:color="auto"/>
              <w:right w:val="single" w:sz="12" w:space="0" w:color="000000"/>
            </w:tcBorders>
          </w:tcPr>
          <w:p w14:paraId="12E31836" w14:textId="77777777" w:rsidR="005858CD" w:rsidRPr="005858CD" w:rsidRDefault="005858CD">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3A514DC3" w14:textId="77777777" w:rsidTr="00873A6E">
        <w:trPr>
          <w:trHeight w:val="463"/>
        </w:trPr>
        <w:tc>
          <w:tcPr>
            <w:tcW w:w="567" w:type="dxa"/>
            <w:tcBorders>
              <w:top w:val="single" w:sz="8" w:space="0" w:color="auto"/>
              <w:left w:val="single" w:sz="12" w:space="0" w:color="000000"/>
              <w:bottom w:val="single" w:sz="8" w:space="0" w:color="auto"/>
            </w:tcBorders>
            <w:vAlign w:val="center"/>
          </w:tcPr>
          <w:p w14:paraId="701BBAF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4.13</w:t>
            </w:r>
          </w:p>
        </w:tc>
        <w:tc>
          <w:tcPr>
            <w:tcW w:w="4536" w:type="dxa"/>
            <w:gridSpan w:val="3"/>
            <w:tcBorders>
              <w:top w:val="single" w:sz="8" w:space="0" w:color="auto"/>
              <w:bottom w:val="single" w:sz="8" w:space="0" w:color="auto"/>
              <w:right w:val="nil"/>
            </w:tcBorders>
            <w:vAlign w:val="center"/>
          </w:tcPr>
          <w:p w14:paraId="72E10C3E" w14:textId="77777777" w:rsidR="005858CD" w:rsidRPr="005858CD" w:rsidRDefault="005858CD" w:rsidP="008C041F">
            <w:pPr>
              <w:rPr>
                <w:rFonts w:ascii="Book Antiqua" w:eastAsia="Arial Unicode MS" w:hAnsi="Book Antiqua" w:cs="Arial"/>
                <w:b/>
                <w:iCs/>
                <w:color w:val="000000"/>
                <w:sz w:val="16"/>
                <w:szCs w:val="16"/>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rPr>
              <w:t>Tiene ahorros?</w:t>
            </w:r>
          </w:p>
        </w:tc>
        <w:tc>
          <w:tcPr>
            <w:tcW w:w="2977" w:type="dxa"/>
            <w:tcBorders>
              <w:top w:val="single" w:sz="8" w:space="0" w:color="auto"/>
              <w:left w:val="nil"/>
              <w:bottom w:val="single" w:sz="8" w:space="0" w:color="auto"/>
              <w:right w:val="single" w:sz="8" w:space="0" w:color="000000"/>
            </w:tcBorders>
            <w:vAlign w:val="center"/>
          </w:tcPr>
          <w:p w14:paraId="3E9F9771" w14:textId="77777777" w:rsidR="005858CD" w:rsidRPr="005858CD" w:rsidRDefault="005858CD" w:rsidP="008C041F">
            <w:pPr>
              <w:rPr>
                <w:rFonts w:ascii="Book Antiqua" w:hAnsi="Book Antiqua" w:cs="Arial"/>
                <w:b/>
                <w:bCs/>
                <w:iCs/>
                <w:color w:val="000000"/>
                <w:sz w:val="14"/>
                <w:szCs w:val="14"/>
              </w:rPr>
            </w:pPr>
            <w:r w:rsidRPr="005858CD">
              <w:rPr>
                <w:rFonts w:ascii="Book Antiqua" w:hAnsi="Book Antiqua" w:cs="Arial"/>
                <w:bCs/>
                <w:iCs/>
                <w:color w:val="000000"/>
                <w:sz w:val="14"/>
                <w:szCs w:val="14"/>
              </w:rPr>
              <w:t xml:space="preserve">0 = No </w:t>
            </w:r>
          </w:p>
          <w:p w14:paraId="0B8199B4"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1 = Si</w:t>
            </w:r>
          </w:p>
        </w:tc>
        <w:tc>
          <w:tcPr>
            <w:tcW w:w="2180" w:type="dxa"/>
            <w:tcBorders>
              <w:top w:val="single" w:sz="8" w:space="0" w:color="auto"/>
              <w:left w:val="single" w:sz="8" w:space="0" w:color="000000"/>
              <w:bottom w:val="single" w:sz="8" w:space="0" w:color="auto"/>
              <w:right w:val="single" w:sz="12" w:space="0" w:color="000000"/>
            </w:tcBorders>
            <w:vAlign w:val="center"/>
          </w:tcPr>
          <w:p w14:paraId="05F24518"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28BB5542" w14:textId="77777777" w:rsidTr="00873A6E">
        <w:trPr>
          <w:trHeight w:val="400"/>
        </w:trPr>
        <w:tc>
          <w:tcPr>
            <w:tcW w:w="567" w:type="dxa"/>
            <w:tcBorders>
              <w:top w:val="single" w:sz="8" w:space="0" w:color="auto"/>
              <w:left w:val="single" w:sz="12" w:space="0" w:color="000000"/>
              <w:bottom w:val="single" w:sz="4" w:space="0" w:color="auto"/>
            </w:tcBorders>
            <w:vAlign w:val="center"/>
          </w:tcPr>
          <w:p w14:paraId="5C20F37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4.14</w:t>
            </w:r>
          </w:p>
        </w:tc>
        <w:tc>
          <w:tcPr>
            <w:tcW w:w="4536" w:type="dxa"/>
            <w:gridSpan w:val="3"/>
            <w:tcBorders>
              <w:top w:val="single" w:sz="8" w:space="0" w:color="auto"/>
              <w:bottom w:val="single" w:sz="4" w:space="0" w:color="auto"/>
              <w:right w:val="nil"/>
            </w:tcBorders>
            <w:vAlign w:val="center"/>
          </w:tcPr>
          <w:p w14:paraId="77296DA7" w14:textId="77777777" w:rsidR="005858CD" w:rsidRPr="005858CD" w:rsidRDefault="005858CD" w:rsidP="008C041F">
            <w:pPr>
              <w:rPr>
                <w:rFonts w:ascii="Book Antiqua" w:eastAsia="Arial Unicode MS" w:hAnsi="Book Antiqua" w:cs="Arial"/>
                <w:b/>
                <w:iCs/>
                <w:color w:val="000000"/>
                <w:sz w:val="16"/>
                <w:szCs w:val="16"/>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rPr>
              <w:t>Quién controla estos ahorros?</w:t>
            </w:r>
          </w:p>
        </w:tc>
        <w:tc>
          <w:tcPr>
            <w:tcW w:w="2977" w:type="dxa"/>
            <w:tcBorders>
              <w:top w:val="single" w:sz="8" w:space="0" w:color="auto"/>
              <w:left w:val="nil"/>
              <w:bottom w:val="single" w:sz="4" w:space="0" w:color="auto"/>
              <w:right w:val="single" w:sz="8" w:space="0" w:color="000000"/>
            </w:tcBorders>
            <w:vAlign w:val="center"/>
          </w:tcPr>
          <w:p w14:paraId="0B6093CF"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Mi esposo/pareja</w:t>
            </w:r>
          </w:p>
          <w:p w14:paraId="131334A8"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1 = Yo</w:t>
            </w:r>
          </w:p>
          <w:p w14:paraId="62D7DD4E"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2 = Yo y mi esposo </w:t>
            </w:r>
          </w:p>
          <w:p w14:paraId="0E51F618" w14:textId="77777777" w:rsidR="005858CD" w:rsidRPr="005858CD" w:rsidRDefault="005858CD" w:rsidP="008C041F">
            <w:pPr>
              <w:rPr>
                <w:rFonts w:ascii="Arial" w:hAnsi="Arial" w:cs="Arial"/>
                <w:bCs/>
                <w:iCs/>
                <w:color w:val="000000"/>
                <w:sz w:val="14"/>
                <w:szCs w:val="14"/>
                <w:lang w:val="es-ES_tradnl"/>
              </w:rPr>
            </w:pPr>
            <w:r w:rsidRPr="005858CD">
              <w:rPr>
                <w:rFonts w:ascii="Book Antiqua" w:hAnsi="Book Antiqua" w:cs="Arial"/>
                <w:bCs/>
                <w:iCs/>
                <w:color w:val="000000"/>
                <w:sz w:val="14"/>
                <w:szCs w:val="14"/>
              </w:rPr>
              <w:lastRenderedPageBreak/>
              <w:t>3 = Otro: __________________________</w:t>
            </w:r>
          </w:p>
        </w:tc>
        <w:tc>
          <w:tcPr>
            <w:tcW w:w="2180" w:type="dxa"/>
            <w:tcBorders>
              <w:top w:val="single" w:sz="8" w:space="0" w:color="auto"/>
              <w:left w:val="single" w:sz="8" w:space="0" w:color="000000"/>
              <w:bottom w:val="single" w:sz="4" w:space="0" w:color="auto"/>
              <w:right w:val="single" w:sz="12" w:space="0" w:color="000000"/>
            </w:tcBorders>
            <w:vAlign w:val="center"/>
          </w:tcPr>
          <w:p w14:paraId="795ABAC0" w14:textId="77777777" w:rsidR="005858CD" w:rsidRPr="005858CD" w:rsidRDefault="005858CD" w:rsidP="008C041F">
            <w:pPr>
              <w:jc w:val="center"/>
              <w:rPr>
                <w:b/>
                <w:bCs/>
                <w:color w:val="000000"/>
                <w:sz w:val="28"/>
                <w:szCs w:val="28"/>
              </w:rPr>
            </w:pPr>
            <w:r w:rsidRPr="005858CD">
              <w:rPr>
                <w:b/>
                <w:bCs/>
                <w:color w:val="000000"/>
                <w:sz w:val="28"/>
                <w:szCs w:val="28"/>
              </w:rPr>
              <w:lastRenderedPageBreak/>
              <w:t>|__|</w:t>
            </w:r>
          </w:p>
        </w:tc>
      </w:tr>
      <w:tr w:rsidR="005858CD" w:rsidRPr="005858CD" w14:paraId="3B7B17A3" w14:textId="77777777" w:rsidTr="00873A6E">
        <w:trPr>
          <w:trHeight w:val="851"/>
        </w:trPr>
        <w:tc>
          <w:tcPr>
            <w:tcW w:w="567" w:type="dxa"/>
            <w:tcBorders>
              <w:left w:val="single" w:sz="12" w:space="0" w:color="000000"/>
            </w:tcBorders>
            <w:vAlign w:val="center"/>
          </w:tcPr>
          <w:p w14:paraId="35C2820B"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4.15</w:t>
            </w:r>
          </w:p>
        </w:tc>
        <w:tc>
          <w:tcPr>
            <w:tcW w:w="4536" w:type="dxa"/>
            <w:gridSpan w:val="3"/>
            <w:tcBorders>
              <w:right w:val="nil"/>
            </w:tcBorders>
            <w:vAlign w:val="center"/>
          </w:tcPr>
          <w:p w14:paraId="0203BB43"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lang w:val="es-NI"/>
              </w:rPr>
              <w:t xml:space="preserve">En el último mes, cuánto dinero recibió de otros miembro/as del hogar para gastos de la casa?  </w:t>
            </w:r>
          </w:p>
        </w:tc>
        <w:tc>
          <w:tcPr>
            <w:tcW w:w="2977" w:type="dxa"/>
            <w:tcBorders>
              <w:left w:val="nil"/>
              <w:right w:val="single" w:sz="8" w:space="0" w:color="000000"/>
            </w:tcBorders>
            <w:vAlign w:val="center"/>
          </w:tcPr>
          <w:p w14:paraId="6433B5F4" w14:textId="77777777" w:rsidR="005858CD" w:rsidRPr="005858CD" w:rsidRDefault="005858CD" w:rsidP="008C041F">
            <w:pPr>
              <w:rPr>
                <w:rFonts w:ascii="Book Antiqua" w:hAnsi="Book Antiqua" w:cs="Arial"/>
                <w:bCs/>
                <w:iCs/>
                <w:color w:val="000000"/>
                <w:sz w:val="14"/>
                <w:szCs w:val="14"/>
                <w:lang w:val="es-ES_tradnl"/>
              </w:rPr>
            </w:pPr>
            <w:r w:rsidRPr="005858CD">
              <w:rPr>
                <w:rFonts w:ascii="Book Antiqua" w:hAnsi="Book Antiqua" w:cs="Arial"/>
                <w:bCs/>
                <w:iCs/>
                <w:color w:val="000000"/>
                <w:sz w:val="14"/>
                <w:szCs w:val="14"/>
                <w:lang w:val="es-ES_tradnl"/>
              </w:rPr>
              <w:t>Cantidad en córdobas</w:t>
            </w:r>
          </w:p>
        </w:tc>
        <w:tc>
          <w:tcPr>
            <w:tcW w:w="2180" w:type="dxa"/>
            <w:tcBorders>
              <w:left w:val="single" w:sz="8" w:space="0" w:color="000000"/>
              <w:right w:val="single" w:sz="12" w:space="0" w:color="000000"/>
            </w:tcBorders>
            <w:vAlign w:val="center"/>
          </w:tcPr>
          <w:p w14:paraId="2ED84FD3" w14:textId="77777777" w:rsidR="005858CD" w:rsidRPr="005858CD" w:rsidRDefault="005858CD" w:rsidP="008C041F">
            <w:pPr>
              <w:jc w:val="center"/>
              <w:rPr>
                <w:rFonts w:ascii="Arial" w:hAnsi="Arial" w:cs="Arial"/>
                <w:bCs/>
                <w:color w:val="000000"/>
                <w:sz w:val="16"/>
                <w:szCs w:val="16"/>
              </w:rPr>
            </w:pPr>
            <w:r w:rsidRPr="005858CD">
              <w:rPr>
                <w:rFonts w:ascii="Book Antiqua" w:hAnsi="Book Antiqua" w:cs="Arial"/>
                <w:bCs/>
                <w:iCs/>
                <w:color w:val="000000"/>
                <w:sz w:val="16"/>
                <w:szCs w:val="16"/>
                <w:lang w:val="es-ES_tradnl"/>
              </w:rPr>
              <w:t>C$</w:t>
            </w:r>
            <w:r w:rsidRPr="005858CD">
              <w:rPr>
                <w:b/>
                <w:bCs/>
                <w:color w:val="000000"/>
                <w:sz w:val="28"/>
                <w:szCs w:val="28"/>
              </w:rPr>
              <w:t>_____________</w:t>
            </w:r>
          </w:p>
        </w:tc>
      </w:tr>
      <w:tr w:rsidR="005858CD" w:rsidRPr="005858CD" w14:paraId="773CA01E" w14:textId="77777777" w:rsidTr="00873A6E">
        <w:trPr>
          <w:trHeight w:val="509"/>
        </w:trPr>
        <w:tc>
          <w:tcPr>
            <w:tcW w:w="567" w:type="dxa"/>
            <w:tcBorders>
              <w:left w:val="single" w:sz="12" w:space="0" w:color="000000"/>
              <w:bottom w:val="single" w:sz="12" w:space="0" w:color="auto"/>
            </w:tcBorders>
            <w:vAlign w:val="center"/>
          </w:tcPr>
          <w:p w14:paraId="7C4694B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4.16</w:t>
            </w:r>
          </w:p>
        </w:tc>
        <w:tc>
          <w:tcPr>
            <w:tcW w:w="4536" w:type="dxa"/>
            <w:gridSpan w:val="3"/>
            <w:tcBorders>
              <w:bottom w:val="single" w:sz="12" w:space="0" w:color="auto"/>
              <w:right w:val="nil"/>
            </w:tcBorders>
            <w:vAlign w:val="center"/>
          </w:tcPr>
          <w:p w14:paraId="3AC41BC7" w14:textId="77777777" w:rsidR="005858CD" w:rsidRPr="005858CD" w:rsidRDefault="005858CD" w:rsidP="008C041F">
            <w:pPr>
              <w:rPr>
                <w:rFonts w:ascii="Book Antiqua" w:eastAsia="Arial Unicode MS" w:hAnsi="Book Antiqua" w:cs="Arial"/>
                <w:b/>
                <w:iCs/>
                <w:color w:val="000000"/>
                <w:sz w:val="16"/>
                <w:szCs w:val="16"/>
                <w:lang w:val="es-NI"/>
              </w:rPr>
            </w:pPr>
            <w:r w:rsidRPr="005858CD">
              <w:rPr>
                <w:rFonts w:ascii="Book Antiqua" w:hAnsi="Book Antiqua" w:cs="Arial"/>
                <w:b/>
                <w:color w:val="212121"/>
                <w:sz w:val="16"/>
                <w:szCs w:val="16"/>
                <w:lang w:val="es-ES"/>
              </w:rPr>
              <w:t>¿</w:t>
            </w:r>
            <w:r w:rsidRPr="005858CD">
              <w:rPr>
                <w:rFonts w:ascii="Book Antiqua" w:eastAsia="Arial Unicode MS" w:hAnsi="Book Antiqua" w:cs="Arial"/>
                <w:b/>
                <w:iCs/>
                <w:color w:val="000000"/>
                <w:sz w:val="16"/>
                <w:szCs w:val="16"/>
                <w:lang w:val="es-NI"/>
              </w:rPr>
              <w:t>Tiene tierra a su nombre?</w:t>
            </w:r>
          </w:p>
        </w:tc>
        <w:tc>
          <w:tcPr>
            <w:tcW w:w="2977" w:type="dxa"/>
            <w:tcBorders>
              <w:left w:val="nil"/>
              <w:bottom w:val="single" w:sz="12" w:space="0" w:color="auto"/>
              <w:right w:val="single" w:sz="8" w:space="0" w:color="000000"/>
            </w:tcBorders>
            <w:vAlign w:val="center"/>
          </w:tcPr>
          <w:p w14:paraId="106A7F55"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0 = No</w:t>
            </w:r>
          </w:p>
          <w:p w14:paraId="60A391C8"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1 = Si</w:t>
            </w:r>
          </w:p>
          <w:p w14:paraId="7E1C7E71"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2 = Si, mancomunada</w:t>
            </w:r>
          </w:p>
        </w:tc>
        <w:tc>
          <w:tcPr>
            <w:tcW w:w="2180" w:type="dxa"/>
            <w:tcBorders>
              <w:left w:val="single" w:sz="8" w:space="0" w:color="000000"/>
              <w:bottom w:val="single" w:sz="12" w:space="0" w:color="auto"/>
              <w:right w:val="single" w:sz="12" w:space="0" w:color="000000"/>
            </w:tcBorders>
            <w:vAlign w:val="center"/>
          </w:tcPr>
          <w:p w14:paraId="262BBE9F" w14:textId="77777777" w:rsidR="005858CD" w:rsidRPr="005858CD" w:rsidRDefault="005858CD" w:rsidP="008C041F">
            <w:pPr>
              <w:jc w:val="center"/>
              <w:rPr>
                <w:b/>
                <w:bCs/>
                <w:color w:val="000000"/>
                <w:sz w:val="28"/>
                <w:szCs w:val="28"/>
              </w:rPr>
            </w:pPr>
            <w:r w:rsidRPr="005858CD">
              <w:rPr>
                <w:b/>
                <w:bCs/>
                <w:color w:val="000000"/>
                <w:sz w:val="28"/>
                <w:szCs w:val="28"/>
              </w:rPr>
              <w:t>|__|</w:t>
            </w:r>
          </w:p>
        </w:tc>
      </w:tr>
    </w:tbl>
    <w:p w14:paraId="6BD78E3D" w14:textId="77777777" w:rsidR="005858CD" w:rsidRPr="005858CD" w:rsidRDefault="005858CD" w:rsidP="008C041F">
      <w:pPr>
        <w:rPr>
          <w:rFonts w:ascii="Arial" w:hAnsi="Arial" w:cs="Arial"/>
          <w:b/>
          <w:color w:val="000000"/>
          <w:sz w:val="22"/>
          <w:szCs w:val="22"/>
          <w:u w:val="single"/>
        </w:rPr>
      </w:pPr>
    </w:p>
    <w:p w14:paraId="4778B75D" w14:textId="77777777" w:rsidR="005858CD" w:rsidRPr="005858CD" w:rsidRDefault="005858CD" w:rsidP="008C041F">
      <w:pPr>
        <w:rPr>
          <w:rFonts w:ascii="Arial" w:hAnsi="Arial" w:cs="Arial"/>
          <w:b/>
          <w:color w:val="000000"/>
          <w:sz w:val="22"/>
          <w:szCs w:val="22"/>
          <w:u w:val="single"/>
        </w:rPr>
      </w:pPr>
    </w:p>
    <w:p w14:paraId="7D1F58B4" w14:textId="77777777" w:rsidR="005858CD" w:rsidRPr="005858CD" w:rsidRDefault="005858CD" w:rsidP="008C041F">
      <w:pPr>
        <w:rPr>
          <w:rFonts w:ascii="Arial" w:hAnsi="Arial" w:cs="Arial"/>
          <w:b/>
          <w:color w:val="000000"/>
          <w:sz w:val="22"/>
          <w:szCs w:val="22"/>
          <w:u w:val="single"/>
        </w:rPr>
      </w:pPr>
    </w:p>
    <w:p w14:paraId="369ADD23" w14:textId="77777777" w:rsidR="005858CD" w:rsidRPr="005858CD" w:rsidRDefault="005858CD" w:rsidP="008C041F">
      <w:pPr>
        <w:rPr>
          <w:rFonts w:ascii="Arial" w:hAnsi="Arial" w:cs="Arial"/>
          <w:b/>
          <w:color w:val="000000"/>
          <w:sz w:val="22"/>
          <w:szCs w:val="22"/>
          <w:u w:val="single"/>
        </w:rPr>
      </w:pPr>
    </w:p>
    <w:p w14:paraId="6E226958" w14:textId="77777777" w:rsidR="005858CD" w:rsidRPr="005858CD" w:rsidRDefault="005858CD" w:rsidP="008C041F">
      <w:pPr>
        <w:rPr>
          <w:rFonts w:ascii="Arial" w:hAnsi="Arial" w:cs="Arial"/>
          <w:b/>
          <w:color w:val="000000"/>
          <w:sz w:val="22"/>
          <w:szCs w:val="22"/>
          <w:u w:val="single"/>
        </w:rPr>
      </w:pPr>
    </w:p>
    <w:p w14:paraId="393048CF" w14:textId="77777777" w:rsidR="005858CD" w:rsidRPr="005858CD" w:rsidRDefault="005858CD" w:rsidP="008C041F">
      <w:pPr>
        <w:rPr>
          <w:rFonts w:ascii="Book Antiqua" w:hAnsi="Book Antiqua" w:cs="Arial"/>
          <w:b/>
          <w:color w:val="000000"/>
          <w:sz w:val="20"/>
          <w:szCs w:val="20"/>
          <w:u w:val="single"/>
        </w:rPr>
      </w:pPr>
      <w:r w:rsidRPr="005858CD">
        <w:rPr>
          <w:rFonts w:ascii="Book Antiqua" w:hAnsi="Book Antiqua" w:cs="Arial"/>
          <w:b/>
          <w:color w:val="000000"/>
          <w:sz w:val="20"/>
          <w:szCs w:val="20"/>
          <w:u w:val="single"/>
        </w:rPr>
        <w:t>5)Uso diario del tiempo</w:t>
      </w:r>
    </w:p>
    <w:p w14:paraId="0C660026" w14:textId="77777777" w:rsidR="005858CD" w:rsidRPr="005858CD" w:rsidRDefault="005858CD" w:rsidP="008C041F">
      <w:pPr>
        <w:rPr>
          <w:rFonts w:ascii="Arial" w:hAnsi="Arial" w:cs="Arial"/>
          <w:b/>
          <w:bCs/>
          <w:color w:val="000000"/>
          <w:sz w:val="18"/>
          <w:szCs w:val="18"/>
        </w:rPr>
      </w:pPr>
    </w:p>
    <w:p w14:paraId="40206834" w14:textId="77777777" w:rsidR="005858CD" w:rsidRPr="005858CD" w:rsidRDefault="005858CD" w:rsidP="008C041F">
      <w:pPr>
        <w:rPr>
          <w:rFonts w:ascii="Book Antiqua" w:hAnsi="Book Antiqua"/>
          <w:sz w:val="16"/>
          <w:szCs w:val="16"/>
        </w:rPr>
      </w:pPr>
      <w:r w:rsidRPr="005858CD">
        <w:rPr>
          <w:rFonts w:ascii="Book Antiqua" w:hAnsi="Book Antiqua"/>
          <w:b/>
          <w:bCs/>
          <w:sz w:val="16"/>
          <w:szCs w:val="16"/>
          <w:lang w:val="es-NI"/>
        </w:rPr>
        <w:t xml:space="preserve">Piense en lo que hizo durante las últimas 24 horas. Preguntaremos por una actividad principal y una actividad simultánea para cada hora del día. </w:t>
      </w:r>
    </w:p>
    <w:tbl>
      <w:tblPr>
        <w:tblW w:w="923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1560"/>
        <w:gridCol w:w="1350"/>
        <w:gridCol w:w="1530"/>
        <w:gridCol w:w="2070"/>
        <w:gridCol w:w="2160"/>
      </w:tblGrid>
      <w:tr w:rsidR="005858CD" w:rsidRPr="005858CD" w14:paraId="373D0C50" w14:textId="77777777" w:rsidTr="00873A6E">
        <w:trPr>
          <w:trHeight w:val="183"/>
        </w:trPr>
        <w:tc>
          <w:tcPr>
            <w:tcW w:w="567" w:type="dxa"/>
            <w:noWrap/>
          </w:tcPr>
          <w:p w14:paraId="364A67C9" w14:textId="77777777" w:rsidR="005858CD" w:rsidRPr="005858CD" w:rsidRDefault="005858CD">
            <w:pPr>
              <w:spacing w:before="80"/>
              <w:rPr>
                <w:rFonts w:ascii="Book Antiqua" w:hAnsi="Book Antiqua" w:cs="Arial"/>
                <w:bCs/>
                <w:color w:val="000000"/>
                <w:sz w:val="16"/>
                <w:szCs w:val="16"/>
              </w:rPr>
            </w:pPr>
            <w:r w:rsidRPr="005858CD">
              <w:rPr>
                <w:rFonts w:ascii="Book Antiqua" w:hAnsi="Book Antiqua" w:cs="Arial"/>
                <w:bCs/>
                <w:color w:val="000000"/>
                <w:sz w:val="16"/>
                <w:szCs w:val="16"/>
              </w:rPr>
              <w:t>No.</w:t>
            </w:r>
          </w:p>
        </w:tc>
        <w:tc>
          <w:tcPr>
            <w:tcW w:w="1560" w:type="dxa"/>
            <w:noWrap/>
            <w:vAlign w:val="center"/>
          </w:tcPr>
          <w:p w14:paraId="5F7C5C24" w14:textId="77777777" w:rsidR="005858CD" w:rsidRPr="005858CD" w:rsidRDefault="005858CD">
            <w:pPr>
              <w:rPr>
                <w:rFonts w:ascii="Book Antiqua" w:hAnsi="Book Antiqua" w:cs="Arial"/>
                <w:bCs/>
                <w:color w:val="000000"/>
                <w:sz w:val="16"/>
                <w:szCs w:val="16"/>
              </w:rPr>
            </w:pPr>
          </w:p>
        </w:tc>
        <w:tc>
          <w:tcPr>
            <w:tcW w:w="1350" w:type="dxa"/>
            <w:noWrap/>
            <w:vAlign w:val="bottom"/>
          </w:tcPr>
          <w:p w14:paraId="40E7ADEA" w14:textId="77777777" w:rsidR="005858CD" w:rsidRPr="005858CD" w:rsidRDefault="005858CD">
            <w:pPr>
              <w:rPr>
                <w:rFonts w:ascii="Book Antiqua" w:hAnsi="Book Antiqua" w:cs="Arial"/>
                <w:b/>
                <w:bCs/>
                <w:color w:val="000000"/>
                <w:sz w:val="16"/>
                <w:szCs w:val="16"/>
              </w:rPr>
            </w:pPr>
            <w:r w:rsidRPr="005858CD">
              <w:rPr>
                <w:rFonts w:ascii="Book Antiqua" w:hAnsi="Book Antiqua" w:cs="Arial"/>
                <w:color w:val="000000"/>
                <w:sz w:val="16"/>
                <w:szCs w:val="16"/>
              </w:rPr>
              <w:t xml:space="preserve">5.1            </w:t>
            </w:r>
          </w:p>
        </w:tc>
        <w:tc>
          <w:tcPr>
            <w:tcW w:w="1530" w:type="dxa"/>
            <w:vAlign w:val="center"/>
          </w:tcPr>
          <w:p w14:paraId="1307C5DF" w14:textId="77777777" w:rsidR="005858CD" w:rsidRPr="005858CD" w:rsidRDefault="005858CD">
            <w:pPr>
              <w:spacing w:before="80"/>
              <w:rPr>
                <w:rFonts w:ascii="Book Antiqua" w:hAnsi="Book Antiqua" w:cs="Arial"/>
                <w:b/>
                <w:bCs/>
                <w:color w:val="000000"/>
                <w:sz w:val="16"/>
                <w:szCs w:val="16"/>
                <w:lang w:val="es-NI"/>
              </w:rPr>
            </w:pPr>
            <w:r w:rsidRPr="005858CD">
              <w:rPr>
                <w:rFonts w:ascii="Book Antiqua" w:hAnsi="Book Antiqua" w:cs="Arial"/>
                <w:bCs/>
                <w:color w:val="000000"/>
                <w:sz w:val="16"/>
                <w:szCs w:val="16"/>
                <w:lang w:val="es-NI"/>
              </w:rPr>
              <w:t>5.2</w:t>
            </w:r>
          </w:p>
        </w:tc>
        <w:tc>
          <w:tcPr>
            <w:tcW w:w="2070" w:type="dxa"/>
          </w:tcPr>
          <w:p w14:paraId="2C3ECA03" w14:textId="77777777" w:rsidR="005858CD" w:rsidRPr="005858CD" w:rsidRDefault="005858CD">
            <w:pPr>
              <w:spacing w:before="80"/>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5.3               </w:t>
            </w:r>
          </w:p>
        </w:tc>
        <w:tc>
          <w:tcPr>
            <w:tcW w:w="2160" w:type="dxa"/>
          </w:tcPr>
          <w:p w14:paraId="7FD8B24C" w14:textId="77777777" w:rsidR="005858CD" w:rsidRPr="005858CD" w:rsidRDefault="005858CD">
            <w:pPr>
              <w:spacing w:before="80"/>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5.4</w:t>
            </w:r>
          </w:p>
        </w:tc>
      </w:tr>
      <w:tr w:rsidR="005858CD" w:rsidRPr="005858CD" w14:paraId="2B550666" w14:textId="77777777" w:rsidTr="00873A6E">
        <w:trPr>
          <w:trHeight w:val="1466"/>
        </w:trPr>
        <w:tc>
          <w:tcPr>
            <w:tcW w:w="567" w:type="dxa"/>
            <w:noWrap/>
          </w:tcPr>
          <w:p w14:paraId="3C0E38E5" w14:textId="77777777" w:rsidR="005858CD" w:rsidRPr="005858CD" w:rsidRDefault="005858CD" w:rsidP="008C041F">
            <w:pPr>
              <w:spacing w:before="80"/>
              <w:rPr>
                <w:rFonts w:ascii="Book Antiqua" w:hAnsi="Book Antiqua" w:cs="Arial"/>
                <w:bCs/>
                <w:color w:val="000000"/>
                <w:sz w:val="16"/>
                <w:szCs w:val="16"/>
                <w:lang w:val="es-NI"/>
              </w:rPr>
            </w:pPr>
          </w:p>
          <w:p w14:paraId="08A98F3F" w14:textId="77777777" w:rsidR="005858CD" w:rsidRPr="005858CD" w:rsidRDefault="005858CD" w:rsidP="008C041F">
            <w:pPr>
              <w:rPr>
                <w:rFonts w:ascii="Book Antiqua" w:hAnsi="Book Antiqua" w:cs="Arial"/>
                <w:sz w:val="16"/>
                <w:szCs w:val="16"/>
                <w:lang w:val="es-NI"/>
              </w:rPr>
            </w:pPr>
          </w:p>
        </w:tc>
        <w:tc>
          <w:tcPr>
            <w:tcW w:w="1560" w:type="dxa"/>
            <w:noWrap/>
            <w:vAlign w:val="center"/>
          </w:tcPr>
          <w:p w14:paraId="6BE9267F" w14:textId="77777777" w:rsidR="005858CD" w:rsidRPr="005858CD" w:rsidRDefault="005858CD" w:rsidP="008C041F">
            <w:pPr>
              <w:rPr>
                <w:rFonts w:ascii="Book Antiqua" w:hAnsi="Book Antiqua" w:cs="Arial"/>
                <w:bCs/>
                <w:color w:val="000000"/>
                <w:sz w:val="16"/>
                <w:szCs w:val="16"/>
                <w:lang w:val="es-NI"/>
              </w:rPr>
            </w:pPr>
          </w:p>
        </w:tc>
        <w:tc>
          <w:tcPr>
            <w:tcW w:w="1350" w:type="dxa"/>
            <w:noWrap/>
            <w:vAlign w:val="bottom"/>
          </w:tcPr>
          <w:p w14:paraId="6A76C255" w14:textId="77777777" w:rsidR="005858CD" w:rsidRPr="005858CD" w:rsidRDefault="005858CD" w:rsidP="008C041F">
            <w:pPr>
              <w:rPr>
                <w:rFonts w:ascii="Book Antiqua" w:hAnsi="Book Antiqua" w:cs="Arial"/>
                <w:b/>
                <w:color w:val="000000"/>
                <w:sz w:val="16"/>
                <w:szCs w:val="16"/>
                <w:lang w:val="es-NI"/>
              </w:rPr>
            </w:pPr>
            <w:r w:rsidRPr="005858CD">
              <w:rPr>
                <w:rFonts w:ascii="Book Antiqua" w:hAnsi="Book Antiqua" w:cs="Arial"/>
                <w:b/>
                <w:color w:val="212121"/>
                <w:sz w:val="16"/>
                <w:szCs w:val="16"/>
                <w:lang w:val="es-ES"/>
              </w:rPr>
              <w:t>¿Qué actividad principal estaba haciendo a esta hora</w:t>
            </w:r>
            <w:r w:rsidRPr="005858CD">
              <w:rPr>
                <w:rFonts w:ascii="Book Antiqua" w:hAnsi="Book Antiqua" w:cs="Arial"/>
                <w:b/>
                <w:color w:val="000000"/>
                <w:sz w:val="16"/>
                <w:szCs w:val="16"/>
                <w:lang w:val="es-NI"/>
              </w:rPr>
              <w:t>?</w:t>
            </w:r>
          </w:p>
          <w:p w14:paraId="690A1BCE" w14:textId="77777777" w:rsidR="005858CD" w:rsidRPr="005858CD" w:rsidRDefault="005858CD" w:rsidP="008C041F">
            <w:pPr>
              <w:keepNext/>
              <w:outlineLvl w:val="0"/>
              <w:rPr>
                <w:rFonts w:ascii="Book Antiqua" w:hAnsi="Book Antiqua"/>
                <w:b/>
                <w:color w:val="000000"/>
                <w:sz w:val="16"/>
                <w:szCs w:val="16"/>
                <w:lang w:val="es-NI"/>
              </w:rPr>
            </w:pPr>
          </w:p>
        </w:tc>
        <w:tc>
          <w:tcPr>
            <w:tcW w:w="1530" w:type="dxa"/>
            <w:vAlign w:val="center"/>
          </w:tcPr>
          <w:p w14:paraId="43D9A160" w14:textId="77777777" w:rsidR="005858CD" w:rsidRPr="005858CD" w:rsidRDefault="005858CD" w:rsidP="008C041F">
            <w:pPr>
              <w:spacing w:before="80"/>
              <w:rPr>
                <w:rFonts w:ascii="Book Antiqua" w:hAnsi="Book Antiqua" w:cs="Arial"/>
                <w:b/>
                <w:color w:val="212121"/>
                <w:sz w:val="16"/>
                <w:szCs w:val="16"/>
                <w:lang w:val="es-NI"/>
              </w:rPr>
            </w:pPr>
          </w:p>
          <w:p w14:paraId="0F10BD2A" w14:textId="77777777" w:rsidR="005858CD" w:rsidRPr="005858CD" w:rsidRDefault="005858CD" w:rsidP="008C041F">
            <w:pPr>
              <w:spacing w:before="80"/>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¿Qué más hacía en ese momento</w:t>
            </w:r>
            <w:r w:rsidRPr="005858CD">
              <w:rPr>
                <w:rFonts w:ascii="Book Antiqua" w:hAnsi="Book Antiqua" w:cs="Arial"/>
                <w:b/>
                <w:bCs/>
                <w:color w:val="000000"/>
                <w:sz w:val="16"/>
                <w:szCs w:val="16"/>
                <w:lang w:val="es-NI"/>
              </w:rPr>
              <w:t>?</w:t>
            </w:r>
          </w:p>
          <w:p w14:paraId="1035AD35" w14:textId="77777777" w:rsidR="005858CD" w:rsidRPr="005858CD" w:rsidRDefault="005858CD">
            <w:pPr>
              <w:spacing w:before="80"/>
              <w:rPr>
                <w:rFonts w:ascii="Book Antiqua" w:hAnsi="Book Antiqua" w:cs="Arial"/>
                <w:b/>
                <w:bCs/>
                <w:color w:val="000000"/>
                <w:sz w:val="16"/>
                <w:szCs w:val="16"/>
                <w:lang w:val="es-NI"/>
              </w:rPr>
            </w:pPr>
          </w:p>
          <w:p w14:paraId="76427F86" w14:textId="77777777" w:rsidR="005858CD" w:rsidRPr="005858CD" w:rsidRDefault="005858CD">
            <w:pPr>
              <w:rPr>
                <w:rFonts w:ascii="Book Antiqua" w:hAnsi="Book Antiqua" w:cs="Arial"/>
                <w:sz w:val="16"/>
                <w:szCs w:val="16"/>
                <w:lang w:val="es-NI" w:eastAsia="en-GB"/>
              </w:rPr>
            </w:pPr>
            <w:r w:rsidRPr="005858CD">
              <w:rPr>
                <w:rFonts w:ascii="Book Antiqua" w:hAnsi="Book Antiqua" w:cs="Arial"/>
                <w:bCs/>
                <w:sz w:val="16"/>
                <w:szCs w:val="16"/>
                <w:lang w:val="es-NI"/>
              </w:rPr>
              <w:t>0 = Nada</w:t>
            </w:r>
          </w:p>
        </w:tc>
        <w:tc>
          <w:tcPr>
            <w:tcW w:w="2070" w:type="dxa"/>
          </w:tcPr>
          <w:p w14:paraId="70233D80" w14:textId="77777777" w:rsidR="005858CD" w:rsidRPr="005858CD" w:rsidRDefault="005858CD">
            <w:pPr>
              <w:spacing w:before="80"/>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¿Estaba cuidando a un/a menor en el momento</w:t>
            </w:r>
            <w:r w:rsidRPr="005858CD">
              <w:rPr>
                <w:rFonts w:ascii="Book Antiqua" w:hAnsi="Book Antiqua" w:cs="Arial"/>
                <w:b/>
                <w:bCs/>
                <w:color w:val="000000"/>
                <w:sz w:val="16"/>
                <w:szCs w:val="16"/>
                <w:lang w:val="es-NI"/>
              </w:rPr>
              <w:t>?</w:t>
            </w:r>
          </w:p>
          <w:p w14:paraId="12FB413A" w14:textId="77777777" w:rsidR="005858CD" w:rsidRPr="005858CD" w:rsidRDefault="005858CD">
            <w:pPr>
              <w:rPr>
                <w:rFonts w:ascii="Book Antiqua" w:hAnsi="Book Antiqua" w:cs="Arial"/>
                <w:bCs/>
                <w:iCs/>
                <w:color w:val="000000"/>
                <w:sz w:val="16"/>
                <w:szCs w:val="16"/>
              </w:rPr>
            </w:pPr>
            <w:r w:rsidRPr="005858CD">
              <w:rPr>
                <w:rFonts w:ascii="Book Antiqua" w:hAnsi="Book Antiqua" w:cs="Arial"/>
                <w:bCs/>
                <w:iCs/>
                <w:color w:val="000000"/>
                <w:sz w:val="16"/>
                <w:szCs w:val="16"/>
              </w:rPr>
              <w:t>0 = No</w:t>
            </w:r>
          </w:p>
          <w:p w14:paraId="4C020CEF" w14:textId="77777777" w:rsidR="005858CD" w:rsidRPr="005858CD" w:rsidRDefault="005858CD">
            <w:pPr>
              <w:rPr>
                <w:rFonts w:ascii="Book Antiqua" w:hAnsi="Book Antiqua" w:cs="Arial"/>
                <w:bCs/>
                <w:iCs/>
                <w:color w:val="000000"/>
                <w:sz w:val="16"/>
                <w:szCs w:val="16"/>
                <w:lang w:val="es-NI"/>
              </w:rPr>
            </w:pPr>
            <w:r w:rsidRPr="005858CD">
              <w:rPr>
                <w:rFonts w:ascii="Book Antiqua" w:hAnsi="Book Antiqua" w:cs="Arial"/>
                <w:bCs/>
                <w:iCs/>
                <w:color w:val="000000"/>
                <w:sz w:val="16"/>
                <w:szCs w:val="16"/>
                <w:lang w:val="es-NI"/>
              </w:rPr>
              <w:t>1 = Si</w:t>
            </w:r>
          </w:p>
          <w:p w14:paraId="05B715E1" w14:textId="77777777" w:rsidR="005858CD" w:rsidRPr="005858CD" w:rsidRDefault="005858CD">
            <w:pPr>
              <w:rPr>
                <w:rFonts w:ascii="Book Antiqua" w:hAnsi="Book Antiqua" w:cs="Arial"/>
                <w:bCs/>
                <w:iCs/>
                <w:color w:val="000000"/>
                <w:sz w:val="16"/>
                <w:szCs w:val="16"/>
                <w:lang w:val="es-NI"/>
              </w:rPr>
            </w:pPr>
            <w:r w:rsidRPr="005858CD">
              <w:rPr>
                <w:rFonts w:ascii="Book Antiqua" w:hAnsi="Book Antiqua" w:cs="Arial"/>
                <w:bCs/>
                <w:iCs/>
                <w:color w:val="000000"/>
                <w:sz w:val="16"/>
                <w:szCs w:val="16"/>
                <w:lang w:val="es-NI"/>
              </w:rPr>
              <w:t>2 = No hay menores en mi hogar</w:t>
            </w:r>
          </w:p>
        </w:tc>
        <w:tc>
          <w:tcPr>
            <w:tcW w:w="2160" w:type="dxa"/>
          </w:tcPr>
          <w:p w14:paraId="5BCEFF2D" w14:textId="77777777" w:rsidR="005858CD" w:rsidRPr="005858CD" w:rsidRDefault="005858CD">
            <w:pPr>
              <w:spacing w:before="80"/>
              <w:rPr>
                <w:rFonts w:ascii="Book Antiqua" w:hAnsi="Book Antiqua" w:cs="Arial"/>
                <w:b/>
                <w:bCs/>
                <w:color w:val="000000"/>
                <w:sz w:val="16"/>
                <w:szCs w:val="16"/>
                <w:lang w:val="es-NI"/>
              </w:rPr>
            </w:pPr>
            <w:r w:rsidRPr="005858CD">
              <w:rPr>
                <w:rFonts w:ascii="Book Antiqua" w:hAnsi="Book Antiqua" w:cs="Arial"/>
                <w:b/>
                <w:color w:val="212121"/>
                <w:sz w:val="16"/>
                <w:szCs w:val="16"/>
                <w:lang w:val="es-ES"/>
              </w:rPr>
              <w:t>¿Era responsable de cuidar a alguna persona adulta que requiera cuidados en el momento?</w:t>
            </w:r>
          </w:p>
          <w:p w14:paraId="2F204228" w14:textId="77777777" w:rsidR="005858CD" w:rsidRPr="005858CD" w:rsidRDefault="005858CD">
            <w:pPr>
              <w:rPr>
                <w:rFonts w:ascii="Book Antiqua" w:hAnsi="Book Antiqua" w:cs="Arial"/>
                <w:bCs/>
                <w:iCs/>
                <w:color w:val="000000"/>
                <w:sz w:val="16"/>
                <w:szCs w:val="16"/>
                <w:lang w:val="es-NI"/>
              </w:rPr>
            </w:pPr>
            <w:r w:rsidRPr="005858CD">
              <w:rPr>
                <w:rFonts w:ascii="Book Antiqua" w:hAnsi="Book Antiqua" w:cs="Arial"/>
                <w:bCs/>
                <w:iCs/>
                <w:color w:val="000000"/>
                <w:sz w:val="16"/>
                <w:szCs w:val="16"/>
                <w:lang w:val="es-NI"/>
              </w:rPr>
              <w:t>0 = No</w:t>
            </w:r>
          </w:p>
          <w:p w14:paraId="0396C616" w14:textId="77777777" w:rsidR="005858CD" w:rsidRPr="005858CD" w:rsidRDefault="005858CD">
            <w:pPr>
              <w:rPr>
                <w:rFonts w:ascii="Book Antiqua" w:hAnsi="Book Antiqua" w:cs="Arial"/>
                <w:bCs/>
                <w:iCs/>
                <w:color w:val="000000"/>
                <w:sz w:val="16"/>
                <w:szCs w:val="16"/>
                <w:lang w:val="es-NI"/>
              </w:rPr>
            </w:pPr>
            <w:r w:rsidRPr="005858CD">
              <w:rPr>
                <w:rFonts w:ascii="Book Antiqua" w:hAnsi="Book Antiqua" w:cs="Arial"/>
                <w:bCs/>
                <w:iCs/>
                <w:color w:val="000000"/>
                <w:sz w:val="16"/>
                <w:szCs w:val="16"/>
                <w:lang w:val="es-NI"/>
              </w:rPr>
              <w:t>1 = Si</w:t>
            </w:r>
          </w:p>
          <w:p w14:paraId="4A39ED65" w14:textId="77777777" w:rsidR="005858CD" w:rsidRPr="005858CD" w:rsidRDefault="005858CD">
            <w:pPr>
              <w:rPr>
                <w:rFonts w:ascii="Book Antiqua" w:hAnsi="Book Antiqua" w:cs="Arial"/>
                <w:bCs/>
                <w:iCs/>
                <w:color w:val="000000"/>
                <w:sz w:val="16"/>
                <w:szCs w:val="16"/>
                <w:lang w:val="es-NI"/>
              </w:rPr>
            </w:pPr>
            <w:r w:rsidRPr="005858CD">
              <w:rPr>
                <w:rFonts w:ascii="Book Antiqua" w:hAnsi="Book Antiqua" w:cs="Arial"/>
                <w:bCs/>
                <w:iCs/>
                <w:color w:val="000000"/>
                <w:sz w:val="16"/>
                <w:szCs w:val="16"/>
                <w:lang w:val="es-NI"/>
              </w:rPr>
              <w:t>2 = No hay adulto/as en esa situación</w:t>
            </w:r>
          </w:p>
        </w:tc>
      </w:tr>
      <w:tr w:rsidR="005858CD" w:rsidRPr="005858CD" w14:paraId="01D24E78" w14:textId="77777777" w:rsidTr="00873A6E">
        <w:trPr>
          <w:trHeight w:val="20"/>
        </w:trPr>
        <w:tc>
          <w:tcPr>
            <w:tcW w:w="567" w:type="dxa"/>
            <w:noWrap/>
          </w:tcPr>
          <w:p w14:paraId="77E32E3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A</w:t>
            </w:r>
          </w:p>
        </w:tc>
        <w:tc>
          <w:tcPr>
            <w:tcW w:w="1560" w:type="dxa"/>
            <w:noWrap/>
            <w:vAlign w:val="center"/>
          </w:tcPr>
          <w:p w14:paraId="61704EB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06am – 07am</w:t>
            </w:r>
            <w:r w:rsidRPr="005858CD">
              <w:rPr>
                <w:rFonts w:ascii="Book Antiqua" w:hAnsi="Book Antiqua" w:cs="Arial"/>
                <w:b/>
                <w:bCs/>
                <w:color w:val="000000"/>
                <w:sz w:val="20"/>
                <w:szCs w:val="20"/>
              </w:rPr>
              <w:t>**</w:t>
            </w:r>
          </w:p>
        </w:tc>
        <w:tc>
          <w:tcPr>
            <w:tcW w:w="1350" w:type="dxa"/>
            <w:noWrap/>
          </w:tcPr>
          <w:p w14:paraId="2C899E60"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368D8A10"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6EF662B3"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7D355387"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2F7137AE" w14:textId="77777777" w:rsidTr="00873A6E">
        <w:trPr>
          <w:trHeight w:val="20"/>
        </w:trPr>
        <w:tc>
          <w:tcPr>
            <w:tcW w:w="567" w:type="dxa"/>
            <w:noWrap/>
          </w:tcPr>
          <w:p w14:paraId="7C18FEC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B</w:t>
            </w:r>
          </w:p>
        </w:tc>
        <w:tc>
          <w:tcPr>
            <w:tcW w:w="1560" w:type="dxa"/>
            <w:noWrap/>
            <w:vAlign w:val="center"/>
          </w:tcPr>
          <w:p w14:paraId="65F2E01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07am – 08am</w:t>
            </w:r>
          </w:p>
        </w:tc>
        <w:tc>
          <w:tcPr>
            <w:tcW w:w="1350" w:type="dxa"/>
            <w:noWrap/>
          </w:tcPr>
          <w:p w14:paraId="318B2A4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42E16C16"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5CFC6BB8"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5ABD68FA"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6DAD006E" w14:textId="77777777" w:rsidTr="00873A6E">
        <w:trPr>
          <w:trHeight w:val="20"/>
        </w:trPr>
        <w:tc>
          <w:tcPr>
            <w:tcW w:w="567" w:type="dxa"/>
            <w:noWrap/>
          </w:tcPr>
          <w:p w14:paraId="2571E78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C</w:t>
            </w:r>
          </w:p>
        </w:tc>
        <w:tc>
          <w:tcPr>
            <w:tcW w:w="1560" w:type="dxa"/>
            <w:noWrap/>
            <w:vAlign w:val="center"/>
          </w:tcPr>
          <w:p w14:paraId="1DCBED4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08am – 09am</w:t>
            </w:r>
          </w:p>
        </w:tc>
        <w:tc>
          <w:tcPr>
            <w:tcW w:w="1350" w:type="dxa"/>
            <w:noWrap/>
          </w:tcPr>
          <w:p w14:paraId="335B72D9"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5651BA6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186A18BB"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394380B2"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30141120" w14:textId="77777777" w:rsidTr="00873A6E">
        <w:trPr>
          <w:trHeight w:val="20"/>
        </w:trPr>
        <w:tc>
          <w:tcPr>
            <w:tcW w:w="567" w:type="dxa"/>
            <w:noWrap/>
          </w:tcPr>
          <w:p w14:paraId="20F67F0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D</w:t>
            </w:r>
          </w:p>
        </w:tc>
        <w:tc>
          <w:tcPr>
            <w:tcW w:w="1560" w:type="dxa"/>
            <w:noWrap/>
            <w:vAlign w:val="center"/>
          </w:tcPr>
          <w:p w14:paraId="2B73641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09am – 10am</w:t>
            </w:r>
          </w:p>
        </w:tc>
        <w:tc>
          <w:tcPr>
            <w:tcW w:w="1350" w:type="dxa"/>
            <w:noWrap/>
          </w:tcPr>
          <w:p w14:paraId="04D3A392"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4636CA04"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3EF0DB36"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391685B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EA81BDB" w14:textId="77777777" w:rsidTr="00873A6E">
        <w:trPr>
          <w:trHeight w:val="20"/>
        </w:trPr>
        <w:tc>
          <w:tcPr>
            <w:tcW w:w="567" w:type="dxa"/>
            <w:noWrap/>
          </w:tcPr>
          <w:p w14:paraId="0CE1BE1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E</w:t>
            </w:r>
          </w:p>
        </w:tc>
        <w:tc>
          <w:tcPr>
            <w:tcW w:w="1560" w:type="dxa"/>
            <w:noWrap/>
            <w:vAlign w:val="center"/>
          </w:tcPr>
          <w:p w14:paraId="4B461414"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10am – 11am</w:t>
            </w:r>
          </w:p>
        </w:tc>
        <w:tc>
          <w:tcPr>
            <w:tcW w:w="1350" w:type="dxa"/>
            <w:noWrap/>
          </w:tcPr>
          <w:p w14:paraId="5A7D250C"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0E0318C6"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27DA2E7C"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78361A9E"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78804509" w14:textId="77777777" w:rsidTr="00873A6E">
        <w:trPr>
          <w:trHeight w:val="20"/>
        </w:trPr>
        <w:tc>
          <w:tcPr>
            <w:tcW w:w="567" w:type="dxa"/>
            <w:noWrap/>
          </w:tcPr>
          <w:p w14:paraId="22416F2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F</w:t>
            </w:r>
          </w:p>
        </w:tc>
        <w:tc>
          <w:tcPr>
            <w:tcW w:w="1560" w:type="dxa"/>
            <w:noWrap/>
            <w:vAlign w:val="center"/>
          </w:tcPr>
          <w:p w14:paraId="4352402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11am – 12pm</w:t>
            </w:r>
          </w:p>
        </w:tc>
        <w:tc>
          <w:tcPr>
            <w:tcW w:w="1350" w:type="dxa"/>
            <w:noWrap/>
          </w:tcPr>
          <w:p w14:paraId="4572E95C"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646F512D"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1D8A14A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5545F978"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CF3443B" w14:textId="77777777" w:rsidTr="00873A6E">
        <w:trPr>
          <w:trHeight w:val="20"/>
        </w:trPr>
        <w:tc>
          <w:tcPr>
            <w:tcW w:w="567" w:type="dxa"/>
            <w:noWrap/>
          </w:tcPr>
          <w:p w14:paraId="6BE55F4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G</w:t>
            </w:r>
          </w:p>
        </w:tc>
        <w:tc>
          <w:tcPr>
            <w:tcW w:w="1560" w:type="dxa"/>
            <w:noWrap/>
            <w:vAlign w:val="center"/>
          </w:tcPr>
          <w:p w14:paraId="5986290C"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12pm – 01pm</w:t>
            </w:r>
          </w:p>
        </w:tc>
        <w:tc>
          <w:tcPr>
            <w:tcW w:w="1350" w:type="dxa"/>
            <w:noWrap/>
          </w:tcPr>
          <w:p w14:paraId="0AE198FD"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0BB6DD68"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01589ACE"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3F3770E8"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12658ED4" w14:textId="77777777" w:rsidTr="00873A6E">
        <w:trPr>
          <w:trHeight w:val="20"/>
        </w:trPr>
        <w:tc>
          <w:tcPr>
            <w:tcW w:w="567" w:type="dxa"/>
            <w:noWrap/>
          </w:tcPr>
          <w:p w14:paraId="2B8D697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H</w:t>
            </w:r>
          </w:p>
        </w:tc>
        <w:tc>
          <w:tcPr>
            <w:tcW w:w="1560" w:type="dxa"/>
            <w:noWrap/>
            <w:vAlign w:val="center"/>
          </w:tcPr>
          <w:p w14:paraId="6B13F8DB"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01pm – 02pm</w:t>
            </w:r>
          </w:p>
        </w:tc>
        <w:tc>
          <w:tcPr>
            <w:tcW w:w="1350" w:type="dxa"/>
            <w:noWrap/>
          </w:tcPr>
          <w:p w14:paraId="783EE8B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20727166"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6175237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65DE0B5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0FDCD865" w14:textId="77777777" w:rsidTr="00873A6E">
        <w:trPr>
          <w:trHeight w:val="20"/>
        </w:trPr>
        <w:tc>
          <w:tcPr>
            <w:tcW w:w="567" w:type="dxa"/>
            <w:noWrap/>
          </w:tcPr>
          <w:p w14:paraId="5D25116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I</w:t>
            </w:r>
          </w:p>
        </w:tc>
        <w:tc>
          <w:tcPr>
            <w:tcW w:w="1560" w:type="dxa"/>
            <w:noWrap/>
            <w:vAlign w:val="center"/>
          </w:tcPr>
          <w:p w14:paraId="7219E46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02pm – 03pm</w:t>
            </w:r>
          </w:p>
        </w:tc>
        <w:tc>
          <w:tcPr>
            <w:tcW w:w="1350" w:type="dxa"/>
            <w:noWrap/>
          </w:tcPr>
          <w:p w14:paraId="665C158A"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75B32BF7"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75AAA4F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2E871928"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21B09479" w14:textId="77777777" w:rsidTr="00873A6E">
        <w:trPr>
          <w:trHeight w:val="20"/>
        </w:trPr>
        <w:tc>
          <w:tcPr>
            <w:tcW w:w="567" w:type="dxa"/>
            <w:noWrap/>
          </w:tcPr>
          <w:p w14:paraId="26664B6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J</w:t>
            </w:r>
          </w:p>
        </w:tc>
        <w:tc>
          <w:tcPr>
            <w:tcW w:w="1560" w:type="dxa"/>
            <w:noWrap/>
            <w:vAlign w:val="center"/>
          </w:tcPr>
          <w:p w14:paraId="3D673E14"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03pm – 04pm</w:t>
            </w:r>
          </w:p>
        </w:tc>
        <w:tc>
          <w:tcPr>
            <w:tcW w:w="1350" w:type="dxa"/>
            <w:noWrap/>
          </w:tcPr>
          <w:p w14:paraId="3CC55DAE"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7AA7C2E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10EE4C27"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20EC3B6D"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72CE5D2" w14:textId="77777777" w:rsidTr="00873A6E">
        <w:trPr>
          <w:trHeight w:val="20"/>
        </w:trPr>
        <w:tc>
          <w:tcPr>
            <w:tcW w:w="567" w:type="dxa"/>
            <w:noWrap/>
          </w:tcPr>
          <w:p w14:paraId="0E3CB19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K</w:t>
            </w:r>
          </w:p>
        </w:tc>
        <w:tc>
          <w:tcPr>
            <w:tcW w:w="1560" w:type="dxa"/>
            <w:noWrap/>
            <w:vAlign w:val="center"/>
          </w:tcPr>
          <w:p w14:paraId="49749F5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04pm – 05pm</w:t>
            </w:r>
          </w:p>
        </w:tc>
        <w:tc>
          <w:tcPr>
            <w:tcW w:w="1350" w:type="dxa"/>
            <w:noWrap/>
          </w:tcPr>
          <w:p w14:paraId="1A1228D3"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45B4D40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45382023"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1535ACA5"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523CABB1" w14:textId="77777777" w:rsidTr="00873A6E">
        <w:trPr>
          <w:trHeight w:val="20"/>
        </w:trPr>
        <w:tc>
          <w:tcPr>
            <w:tcW w:w="567" w:type="dxa"/>
            <w:noWrap/>
          </w:tcPr>
          <w:p w14:paraId="207985C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L</w:t>
            </w:r>
          </w:p>
        </w:tc>
        <w:tc>
          <w:tcPr>
            <w:tcW w:w="1560" w:type="dxa"/>
            <w:noWrap/>
            <w:vAlign w:val="center"/>
          </w:tcPr>
          <w:p w14:paraId="710CF62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05pm – 06pm</w:t>
            </w:r>
          </w:p>
        </w:tc>
        <w:tc>
          <w:tcPr>
            <w:tcW w:w="1350" w:type="dxa"/>
            <w:noWrap/>
          </w:tcPr>
          <w:p w14:paraId="194B58F6"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7AA08A57"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7BE8158D"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118FBC6F"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5109750" w14:textId="77777777" w:rsidTr="00873A6E">
        <w:trPr>
          <w:trHeight w:val="20"/>
        </w:trPr>
        <w:tc>
          <w:tcPr>
            <w:tcW w:w="567" w:type="dxa"/>
            <w:noWrap/>
          </w:tcPr>
          <w:p w14:paraId="7C93761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lastRenderedPageBreak/>
              <w:t>M</w:t>
            </w:r>
          </w:p>
        </w:tc>
        <w:tc>
          <w:tcPr>
            <w:tcW w:w="1560" w:type="dxa"/>
            <w:noWrap/>
            <w:vAlign w:val="center"/>
          </w:tcPr>
          <w:p w14:paraId="4025896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06pm – 07pm</w:t>
            </w:r>
          </w:p>
        </w:tc>
        <w:tc>
          <w:tcPr>
            <w:tcW w:w="1350" w:type="dxa"/>
            <w:noWrap/>
          </w:tcPr>
          <w:p w14:paraId="7B14E771"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6BFFCEA3"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4FA7355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5CB5C9EE"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6E9D8457" w14:textId="77777777" w:rsidTr="00873A6E">
        <w:trPr>
          <w:trHeight w:val="20"/>
        </w:trPr>
        <w:tc>
          <w:tcPr>
            <w:tcW w:w="567" w:type="dxa"/>
            <w:noWrap/>
          </w:tcPr>
          <w:p w14:paraId="2889A87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N</w:t>
            </w:r>
          </w:p>
        </w:tc>
        <w:tc>
          <w:tcPr>
            <w:tcW w:w="1560" w:type="dxa"/>
            <w:noWrap/>
            <w:vAlign w:val="center"/>
          </w:tcPr>
          <w:p w14:paraId="44108CE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07pm – 08pm</w:t>
            </w:r>
          </w:p>
        </w:tc>
        <w:tc>
          <w:tcPr>
            <w:tcW w:w="1350" w:type="dxa"/>
            <w:noWrap/>
          </w:tcPr>
          <w:p w14:paraId="49F9A80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09AFB391"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34887CCC"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73285DA5"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02E2CCAE" w14:textId="77777777" w:rsidTr="00873A6E">
        <w:trPr>
          <w:trHeight w:val="20"/>
        </w:trPr>
        <w:tc>
          <w:tcPr>
            <w:tcW w:w="567" w:type="dxa"/>
            <w:noWrap/>
          </w:tcPr>
          <w:p w14:paraId="2BEAF21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O</w:t>
            </w:r>
          </w:p>
        </w:tc>
        <w:tc>
          <w:tcPr>
            <w:tcW w:w="1560" w:type="dxa"/>
            <w:noWrap/>
            <w:vAlign w:val="center"/>
          </w:tcPr>
          <w:p w14:paraId="6F57541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08pm – 09pm</w:t>
            </w:r>
          </w:p>
        </w:tc>
        <w:tc>
          <w:tcPr>
            <w:tcW w:w="1350" w:type="dxa"/>
            <w:noWrap/>
          </w:tcPr>
          <w:p w14:paraId="0443005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1970730E"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09FAA014"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6EDBD762"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3F904B68" w14:textId="77777777" w:rsidTr="00873A6E">
        <w:trPr>
          <w:trHeight w:val="20"/>
        </w:trPr>
        <w:tc>
          <w:tcPr>
            <w:tcW w:w="567" w:type="dxa"/>
            <w:noWrap/>
          </w:tcPr>
          <w:p w14:paraId="51D2EF4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P</w:t>
            </w:r>
          </w:p>
        </w:tc>
        <w:tc>
          <w:tcPr>
            <w:tcW w:w="1560" w:type="dxa"/>
            <w:noWrap/>
            <w:vAlign w:val="center"/>
          </w:tcPr>
          <w:p w14:paraId="243235E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09pm – 10pm</w:t>
            </w:r>
          </w:p>
        </w:tc>
        <w:tc>
          <w:tcPr>
            <w:tcW w:w="1350" w:type="dxa"/>
            <w:noWrap/>
          </w:tcPr>
          <w:p w14:paraId="354A0DB2"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74FC436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0CB282D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375128A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5B20A9A9" w14:textId="77777777" w:rsidTr="00873A6E">
        <w:trPr>
          <w:trHeight w:val="20"/>
        </w:trPr>
        <w:tc>
          <w:tcPr>
            <w:tcW w:w="567" w:type="dxa"/>
            <w:noWrap/>
          </w:tcPr>
          <w:p w14:paraId="1DA9A0FC"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Q</w:t>
            </w:r>
          </w:p>
        </w:tc>
        <w:tc>
          <w:tcPr>
            <w:tcW w:w="1560" w:type="dxa"/>
            <w:noWrap/>
            <w:vAlign w:val="center"/>
          </w:tcPr>
          <w:p w14:paraId="0F91B2F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10pm – 11pm</w:t>
            </w:r>
          </w:p>
        </w:tc>
        <w:tc>
          <w:tcPr>
            <w:tcW w:w="1350" w:type="dxa"/>
            <w:noWrap/>
          </w:tcPr>
          <w:p w14:paraId="638BC29C"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03B5D7CE"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7224BA59"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060DD13C"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EC36F76" w14:textId="77777777" w:rsidTr="00873A6E">
        <w:trPr>
          <w:trHeight w:val="20"/>
        </w:trPr>
        <w:tc>
          <w:tcPr>
            <w:tcW w:w="567" w:type="dxa"/>
            <w:noWrap/>
          </w:tcPr>
          <w:p w14:paraId="0F19A17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R</w:t>
            </w:r>
          </w:p>
        </w:tc>
        <w:tc>
          <w:tcPr>
            <w:tcW w:w="1560" w:type="dxa"/>
            <w:noWrap/>
            <w:vAlign w:val="center"/>
          </w:tcPr>
          <w:p w14:paraId="65535F3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11pm – 12am</w:t>
            </w:r>
          </w:p>
        </w:tc>
        <w:tc>
          <w:tcPr>
            <w:tcW w:w="1350" w:type="dxa"/>
            <w:noWrap/>
          </w:tcPr>
          <w:p w14:paraId="4A78A1CA"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10E38FF0"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05159D98"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294B749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2CCE2E4E" w14:textId="77777777" w:rsidTr="00873A6E">
        <w:trPr>
          <w:trHeight w:val="20"/>
        </w:trPr>
        <w:tc>
          <w:tcPr>
            <w:tcW w:w="567" w:type="dxa"/>
            <w:noWrap/>
          </w:tcPr>
          <w:p w14:paraId="3A97CFB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S</w:t>
            </w:r>
          </w:p>
        </w:tc>
        <w:tc>
          <w:tcPr>
            <w:tcW w:w="1560" w:type="dxa"/>
            <w:noWrap/>
            <w:vAlign w:val="center"/>
          </w:tcPr>
          <w:p w14:paraId="6D08951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12am – 01am</w:t>
            </w:r>
          </w:p>
        </w:tc>
        <w:tc>
          <w:tcPr>
            <w:tcW w:w="1350" w:type="dxa"/>
            <w:noWrap/>
          </w:tcPr>
          <w:p w14:paraId="7D4D807A"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Pr>
          <w:p w14:paraId="2146CDC5"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vAlign w:val="center"/>
          </w:tcPr>
          <w:p w14:paraId="3450C56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vAlign w:val="center"/>
          </w:tcPr>
          <w:p w14:paraId="19B0C04E"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6F19B612" w14:textId="77777777" w:rsidTr="00873A6E">
        <w:trPr>
          <w:trHeight w:val="20"/>
        </w:trPr>
        <w:tc>
          <w:tcPr>
            <w:tcW w:w="567" w:type="dxa"/>
            <w:tcBorders>
              <w:top w:val="single" w:sz="4" w:space="0" w:color="000000"/>
              <w:left w:val="single" w:sz="12" w:space="0" w:color="000000"/>
              <w:bottom w:val="single" w:sz="2" w:space="0" w:color="auto"/>
              <w:right w:val="single" w:sz="4" w:space="0" w:color="000000"/>
            </w:tcBorders>
            <w:noWrap/>
          </w:tcPr>
          <w:p w14:paraId="7CD3222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T</w:t>
            </w:r>
          </w:p>
        </w:tc>
        <w:tc>
          <w:tcPr>
            <w:tcW w:w="1560" w:type="dxa"/>
            <w:tcBorders>
              <w:top w:val="single" w:sz="4" w:space="0" w:color="000000"/>
              <w:left w:val="single" w:sz="4" w:space="0" w:color="000000"/>
              <w:bottom w:val="single" w:sz="2" w:space="0" w:color="auto"/>
              <w:right w:val="single" w:sz="4" w:space="0" w:color="000000"/>
            </w:tcBorders>
            <w:noWrap/>
            <w:vAlign w:val="center"/>
          </w:tcPr>
          <w:p w14:paraId="4AD123E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01am – 02am</w:t>
            </w:r>
          </w:p>
        </w:tc>
        <w:tc>
          <w:tcPr>
            <w:tcW w:w="1350" w:type="dxa"/>
            <w:tcBorders>
              <w:top w:val="single" w:sz="4" w:space="0" w:color="000000"/>
              <w:left w:val="single" w:sz="4" w:space="0" w:color="000000"/>
              <w:bottom w:val="single" w:sz="2" w:space="0" w:color="auto"/>
              <w:right w:val="single" w:sz="4" w:space="0" w:color="000000"/>
            </w:tcBorders>
            <w:noWrap/>
          </w:tcPr>
          <w:p w14:paraId="545A4B20"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Borders>
              <w:top w:val="single" w:sz="4" w:space="0" w:color="000000"/>
              <w:left w:val="single" w:sz="4" w:space="0" w:color="000000"/>
              <w:bottom w:val="single" w:sz="2" w:space="0" w:color="auto"/>
              <w:right w:val="single" w:sz="4" w:space="0" w:color="000000"/>
            </w:tcBorders>
          </w:tcPr>
          <w:p w14:paraId="2700E30B"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tcBorders>
              <w:top w:val="single" w:sz="4" w:space="0" w:color="000000"/>
              <w:left w:val="single" w:sz="4" w:space="0" w:color="000000"/>
              <w:bottom w:val="single" w:sz="2" w:space="0" w:color="auto"/>
              <w:right w:val="single" w:sz="4" w:space="0" w:color="000000"/>
            </w:tcBorders>
            <w:vAlign w:val="center"/>
          </w:tcPr>
          <w:p w14:paraId="6812DD5B"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tcBorders>
              <w:top w:val="single" w:sz="4" w:space="0" w:color="000000"/>
              <w:left w:val="single" w:sz="4" w:space="0" w:color="000000"/>
              <w:bottom w:val="single" w:sz="2" w:space="0" w:color="auto"/>
              <w:right w:val="single" w:sz="4" w:space="0" w:color="auto"/>
            </w:tcBorders>
            <w:vAlign w:val="center"/>
          </w:tcPr>
          <w:p w14:paraId="36C2ED63"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03B65988" w14:textId="77777777" w:rsidTr="00873A6E">
        <w:trPr>
          <w:trHeight w:val="20"/>
        </w:trPr>
        <w:tc>
          <w:tcPr>
            <w:tcW w:w="567" w:type="dxa"/>
            <w:tcBorders>
              <w:top w:val="single" w:sz="2" w:space="0" w:color="auto"/>
              <w:left w:val="single" w:sz="12" w:space="0" w:color="000000"/>
              <w:bottom w:val="single" w:sz="2" w:space="0" w:color="auto"/>
              <w:right w:val="single" w:sz="4" w:space="0" w:color="000000"/>
            </w:tcBorders>
            <w:noWrap/>
          </w:tcPr>
          <w:p w14:paraId="486AB8D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U</w:t>
            </w:r>
          </w:p>
        </w:tc>
        <w:tc>
          <w:tcPr>
            <w:tcW w:w="1560" w:type="dxa"/>
            <w:tcBorders>
              <w:top w:val="single" w:sz="2" w:space="0" w:color="auto"/>
              <w:left w:val="single" w:sz="4" w:space="0" w:color="000000"/>
              <w:bottom w:val="single" w:sz="2" w:space="0" w:color="auto"/>
              <w:right w:val="single" w:sz="4" w:space="0" w:color="000000"/>
            </w:tcBorders>
            <w:noWrap/>
            <w:vAlign w:val="center"/>
          </w:tcPr>
          <w:p w14:paraId="4141E3F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02am – 03am</w:t>
            </w:r>
          </w:p>
        </w:tc>
        <w:tc>
          <w:tcPr>
            <w:tcW w:w="1350" w:type="dxa"/>
            <w:tcBorders>
              <w:top w:val="single" w:sz="2" w:space="0" w:color="auto"/>
              <w:left w:val="single" w:sz="4" w:space="0" w:color="000000"/>
              <w:bottom w:val="single" w:sz="2" w:space="0" w:color="auto"/>
              <w:right w:val="single" w:sz="4" w:space="0" w:color="000000"/>
            </w:tcBorders>
            <w:noWrap/>
          </w:tcPr>
          <w:p w14:paraId="17D2C4E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Borders>
              <w:top w:val="single" w:sz="2" w:space="0" w:color="auto"/>
              <w:left w:val="single" w:sz="4" w:space="0" w:color="000000"/>
              <w:bottom w:val="single" w:sz="2" w:space="0" w:color="auto"/>
              <w:right w:val="single" w:sz="4" w:space="0" w:color="000000"/>
            </w:tcBorders>
          </w:tcPr>
          <w:p w14:paraId="0BD9CEA2"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tcBorders>
              <w:top w:val="single" w:sz="2" w:space="0" w:color="auto"/>
              <w:left w:val="single" w:sz="4" w:space="0" w:color="000000"/>
              <w:bottom w:val="single" w:sz="2" w:space="0" w:color="auto"/>
              <w:right w:val="single" w:sz="4" w:space="0" w:color="000000"/>
            </w:tcBorders>
            <w:vAlign w:val="center"/>
          </w:tcPr>
          <w:p w14:paraId="3DD8CD1B"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tcBorders>
              <w:top w:val="single" w:sz="2" w:space="0" w:color="auto"/>
              <w:left w:val="single" w:sz="4" w:space="0" w:color="000000"/>
              <w:bottom w:val="single" w:sz="2" w:space="0" w:color="auto"/>
              <w:right w:val="single" w:sz="4" w:space="0" w:color="auto"/>
            </w:tcBorders>
            <w:vAlign w:val="center"/>
          </w:tcPr>
          <w:p w14:paraId="41415DC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7D5E953F" w14:textId="77777777" w:rsidTr="00873A6E">
        <w:trPr>
          <w:trHeight w:val="20"/>
        </w:trPr>
        <w:tc>
          <w:tcPr>
            <w:tcW w:w="567" w:type="dxa"/>
            <w:tcBorders>
              <w:top w:val="single" w:sz="2" w:space="0" w:color="auto"/>
              <w:left w:val="single" w:sz="12" w:space="0" w:color="000000"/>
              <w:bottom w:val="single" w:sz="2" w:space="0" w:color="auto"/>
              <w:right w:val="single" w:sz="4" w:space="0" w:color="000000"/>
            </w:tcBorders>
            <w:noWrap/>
          </w:tcPr>
          <w:p w14:paraId="0595748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V</w:t>
            </w:r>
          </w:p>
        </w:tc>
        <w:tc>
          <w:tcPr>
            <w:tcW w:w="1560" w:type="dxa"/>
            <w:tcBorders>
              <w:top w:val="single" w:sz="2" w:space="0" w:color="auto"/>
              <w:left w:val="single" w:sz="4" w:space="0" w:color="000000"/>
              <w:bottom w:val="single" w:sz="2" w:space="0" w:color="auto"/>
              <w:right w:val="single" w:sz="4" w:space="0" w:color="000000"/>
            </w:tcBorders>
            <w:noWrap/>
            <w:vAlign w:val="center"/>
          </w:tcPr>
          <w:p w14:paraId="51A4026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03am – 04am</w:t>
            </w:r>
          </w:p>
        </w:tc>
        <w:tc>
          <w:tcPr>
            <w:tcW w:w="1350" w:type="dxa"/>
            <w:tcBorders>
              <w:top w:val="single" w:sz="2" w:space="0" w:color="auto"/>
              <w:left w:val="single" w:sz="4" w:space="0" w:color="000000"/>
              <w:bottom w:val="single" w:sz="2" w:space="0" w:color="auto"/>
              <w:right w:val="single" w:sz="4" w:space="0" w:color="000000"/>
            </w:tcBorders>
            <w:noWrap/>
          </w:tcPr>
          <w:p w14:paraId="1BFD45CC"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Borders>
              <w:top w:val="single" w:sz="2" w:space="0" w:color="auto"/>
              <w:left w:val="single" w:sz="4" w:space="0" w:color="000000"/>
              <w:bottom w:val="single" w:sz="2" w:space="0" w:color="auto"/>
              <w:right w:val="single" w:sz="4" w:space="0" w:color="000000"/>
            </w:tcBorders>
          </w:tcPr>
          <w:p w14:paraId="5E6B59CE"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tcBorders>
              <w:top w:val="single" w:sz="2" w:space="0" w:color="auto"/>
              <w:left w:val="single" w:sz="4" w:space="0" w:color="000000"/>
              <w:bottom w:val="single" w:sz="2" w:space="0" w:color="auto"/>
              <w:right w:val="single" w:sz="4" w:space="0" w:color="000000"/>
            </w:tcBorders>
            <w:vAlign w:val="center"/>
          </w:tcPr>
          <w:p w14:paraId="5761249A"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tcBorders>
              <w:top w:val="single" w:sz="2" w:space="0" w:color="auto"/>
              <w:left w:val="single" w:sz="4" w:space="0" w:color="000000"/>
              <w:bottom w:val="single" w:sz="2" w:space="0" w:color="auto"/>
              <w:right w:val="single" w:sz="4" w:space="0" w:color="auto"/>
            </w:tcBorders>
            <w:vAlign w:val="center"/>
          </w:tcPr>
          <w:p w14:paraId="44C60FF2"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4356B4E7" w14:textId="77777777" w:rsidTr="00873A6E">
        <w:trPr>
          <w:trHeight w:val="20"/>
        </w:trPr>
        <w:tc>
          <w:tcPr>
            <w:tcW w:w="567" w:type="dxa"/>
            <w:tcBorders>
              <w:top w:val="single" w:sz="2" w:space="0" w:color="auto"/>
              <w:left w:val="single" w:sz="12" w:space="0" w:color="000000"/>
              <w:bottom w:val="single" w:sz="2" w:space="0" w:color="auto"/>
              <w:right w:val="single" w:sz="4" w:space="0" w:color="000000"/>
            </w:tcBorders>
            <w:noWrap/>
          </w:tcPr>
          <w:p w14:paraId="30908607"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W</w:t>
            </w:r>
          </w:p>
        </w:tc>
        <w:tc>
          <w:tcPr>
            <w:tcW w:w="1560" w:type="dxa"/>
            <w:tcBorders>
              <w:top w:val="single" w:sz="2" w:space="0" w:color="auto"/>
              <w:left w:val="single" w:sz="4" w:space="0" w:color="000000"/>
              <w:bottom w:val="single" w:sz="2" w:space="0" w:color="auto"/>
              <w:right w:val="single" w:sz="4" w:space="0" w:color="000000"/>
            </w:tcBorders>
            <w:noWrap/>
            <w:vAlign w:val="center"/>
          </w:tcPr>
          <w:p w14:paraId="3372830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04am – 05am</w:t>
            </w:r>
          </w:p>
        </w:tc>
        <w:tc>
          <w:tcPr>
            <w:tcW w:w="1350" w:type="dxa"/>
            <w:tcBorders>
              <w:top w:val="single" w:sz="2" w:space="0" w:color="auto"/>
              <w:left w:val="single" w:sz="4" w:space="0" w:color="000000"/>
              <w:bottom w:val="single" w:sz="2" w:space="0" w:color="auto"/>
              <w:right w:val="single" w:sz="4" w:space="0" w:color="000000"/>
            </w:tcBorders>
            <w:noWrap/>
          </w:tcPr>
          <w:p w14:paraId="4B186347"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Borders>
              <w:top w:val="single" w:sz="2" w:space="0" w:color="auto"/>
              <w:left w:val="single" w:sz="4" w:space="0" w:color="000000"/>
              <w:bottom w:val="single" w:sz="2" w:space="0" w:color="auto"/>
              <w:right w:val="single" w:sz="4" w:space="0" w:color="000000"/>
            </w:tcBorders>
          </w:tcPr>
          <w:p w14:paraId="01A57130"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tcBorders>
              <w:top w:val="single" w:sz="2" w:space="0" w:color="auto"/>
              <w:left w:val="single" w:sz="4" w:space="0" w:color="000000"/>
              <w:bottom w:val="single" w:sz="2" w:space="0" w:color="auto"/>
              <w:right w:val="single" w:sz="4" w:space="0" w:color="000000"/>
            </w:tcBorders>
            <w:vAlign w:val="center"/>
          </w:tcPr>
          <w:p w14:paraId="42F40279"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tcBorders>
              <w:top w:val="single" w:sz="2" w:space="0" w:color="auto"/>
              <w:left w:val="single" w:sz="4" w:space="0" w:color="000000"/>
              <w:bottom w:val="single" w:sz="2" w:space="0" w:color="auto"/>
              <w:right w:val="single" w:sz="4" w:space="0" w:color="auto"/>
            </w:tcBorders>
            <w:vAlign w:val="center"/>
          </w:tcPr>
          <w:p w14:paraId="260FB31A"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r w:rsidR="005858CD" w:rsidRPr="005858CD" w14:paraId="7D2B199A" w14:textId="77777777" w:rsidTr="00873A6E">
        <w:trPr>
          <w:trHeight w:val="20"/>
        </w:trPr>
        <w:tc>
          <w:tcPr>
            <w:tcW w:w="567" w:type="dxa"/>
            <w:tcBorders>
              <w:top w:val="single" w:sz="2" w:space="0" w:color="auto"/>
              <w:left w:val="single" w:sz="12" w:space="0" w:color="000000"/>
              <w:bottom w:val="single" w:sz="2" w:space="0" w:color="auto"/>
              <w:right w:val="single" w:sz="4" w:space="0" w:color="000000"/>
            </w:tcBorders>
            <w:noWrap/>
          </w:tcPr>
          <w:p w14:paraId="7066CE3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X</w:t>
            </w:r>
          </w:p>
        </w:tc>
        <w:tc>
          <w:tcPr>
            <w:tcW w:w="1560" w:type="dxa"/>
            <w:tcBorders>
              <w:top w:val="single" w:sz="2" w:space="0" w:color="auto"/>
              <w:left w:val="single" w:sz="4" w:space="0" w:color="000000"/>
              <w:bottom w:val="single" w:sz="2" w:space="0" w:color="auto"/>
              <w:right w:val="single" w:sz="4" w:space="0" w:color="000000"/>
            </w:tcBorders>
            <w:noWrap/>
            <w:vAlign w:val="center"/>
          </w:tcPr>
          <w:p w14:paraId="33012A8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05am – 06am</w:t>
            </w:r>
          </w:p>
        </w:tc>
        <w:tc>
          <w:tcPr>
            <w:tcW w:w="1350" w:type="dxa"/>
            <w:tcBorders>
              <w:top w:val="single" w:sz="2" w:space="0" w:color="auto"/>
              <w:left w:val="single" w:sz="4" w:space="0" w:color="000000"/>
              <w:bottom w:val="single" w:sz="2" w:space="0" w:color="auto"/>
              <w:right w:val="single" w:sz="4" w:space="0" w:color="000000"/>
            </w:tcBorders>
            <w:noWrap/>
          </w:tcPr>
          <w:p w14:paraId="4ECA740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1530" w:type="dxa"/>
            <w:tcBorders>
              <w:top w:val="single" w:sz="2" w:space="0" w:color="auto"/>
              <w:left w:val="single" w:sz="4" w:space="0" w:color="000000"/>
              <w:bottom w:val="single" w:sz="2" w:space="0" w:color="auto"/>
              <w:right w:val="single" w:sz="4" w:space="0" w:color="000000"/>
            </w:tcBorders>
          </w:tcPr>
          <w:p w14:paraId="47D3418F" w14:textId="77777777" w:rsidR="005858CD" w:rsidRPr="005858CD" w:rsidRDefault="005858CD" w:rsidP="008C041F">
            <w:pPr>
              <w:jc w:val="center"/>
              <w:rPr>
                <w:rFonts w:ascii="Book Antiqua" w:hAnsi="Book Antiqua"/>
                <w:sz w:val="16"/>
                <w:szCs w:val="16"/>
              </w:rPr>
            </w:pPr>
            <w:r w:rsidRPr="005858CD">
              <w:rPr>
                <w:rFonts w:ascii="Book Antiqua" w:hAnsi="Book Antiqua"/>
                <w:b/>
                <w:bCs/>
                <w:color w:val="000000"/>
                <w:sz w:val="16"/>
                <w:szCs w:val="16"/>
              </w:rPr>
              <w:t>|__|__|</w:t>
            </w:r>
          </w:p>
        </w:tc>
        <w:tc>
          <w:tcPr>
            <w:tcW w:w="2070" w:type="dxa"/>
            <w:tcBorders>
              <w:top w:val="single" w:sz="2" w:space="0" w:color="auto"/>
              <w:left w:val="single" w:sz="4" w:space="0" w:color="000000"/>
              <w:bottom w:val="single" w:sz="2" w:space="0" w:color="auto"/>
              <w:right w:val="single" w:sz="4" w:space="0" w:color="000000"/>
            </w:tcBorders>
            <w:vAlign w:val="center"/>
          </w:tcPr>
          <w:p w14:paraId="0E86EA30"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c>
          <w:tcPr>
            <w:tcW w:w="2160" w:type="dxa"/>
            <w:tcBorders>
              <w:top w:val="single" w:sz="2" w:space="0" w:color="auto"/>
              <w:left w:val="single" w:sz="4" w:space="0" w:color="000000"/>
              <w:bottom w:val="single" w:sz="2" w:space="0" w:color="auto"/>
              <w:right w:val="single" w:sz="4" w:space="0" w:color="auto"/>
            </w:tcBorders>
            <w:vAlign w:val="center"/>
          </w:tcPr>
          <w:p w14:paraId="68D2E1BE" w14:textId="77777777" w:rsidR="005858CD" w:rsidRPr="005858CD" w:rsidRDefault="005858CD" w:rsidP="008C041F">
            <w:pPr>
              <w:jc w:val="center"/>
              <w:rPr>
                <w:rFonts w:ascii="Book Antiqua" w:hAnsi="Book Antiqua"/>
                <w:b/>
                <w:bCs/>
                <w:color w:val="000000"/>
                <w:sz w:val="16"/>
                <w:szCs w:val="16"/>
              </w:rPr>
            </w:pPr>
            <w:r w:rsidRPr="005858CD">
              <w:rPr>
                <w:rFonts w:ascii="Book Antiqua" w:hAnsi="Book Antiqua"/>
                <w:b/>
                <w:bCs/>
                <w:color w:val="000000"/>
                <w:sz w:val="16"/>
                <w:szCs w:val="16"/>
              </w:rPr>
              <w:t>|__|</w:t>
            </w:r>
          </w:p>
        </w:tc>
      </w:tr>
    </w:tbl>
    <w:p w14:paraId="79821224" w14:textId="77777777" w:rsidR="005858CD" w:rsidRPr="005858CD" w:rsidRDefault="005858CD" w:rsidP="008C041F">
      <w:pPr>
        <w:rPr>
          <w:rFonts w:ascii="Book Antiqua" w:hAnsi="Book Antiqua"/>
          <w:sz w:val="16"/>
          <w:szCs w:val="16"/>
        </w:rPr>
      </w:pPr>
    </w:p>
    <w:p w14:paraId="0DFEF02F"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 xml:space="preserve"> </w:t>
      </w:r>
      <w:r w:rsidRPr="005858CD">
        <w:rPr>
          <w:rFonts w:ascii="Book Antiqua" w:hAnsi="Book Antiqua" w:cs="Arial"/>
          <w:b/>
          <w:sz w:val="16"/>
          <w:szCs w:val="16"/>
          <w:u w:val="single"/>
          <w:lang w:eastAsia="en-GB"/>
        </w:rPr>
        <w:t>Códigos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206"/>
      </w:tblGrid>
      <w:tr w:rsidR="005858CD" w:rsidRPr="005858CD" w14:paraId="13416D9A" w14:textId="77777777" w:rsidTr="00873A6E">
        <w:trPr>
          <w:trHeight w:val="2649"/>
        </w:trPr>
        <w:tc>
          <w:tcPr>
            <w:tcW w:w="5097" w:type="dxa"/>
            <w:tcBorders>
              <w:top w:val="single" w:sz="12" w:space="0" w:color="auto"/>
              <w:left w:val="single" w:sz="8" w:space="0" w:color="auto"/>
              <w:bottom w:val="single" w:sz="12" w:space="0" w:color="auto"/>
            </w:tcBorders>
            <w:shd w:val="clear" w:color="auto" w:fill="auto"/>
          </w:tcPr>
          <w:p w14:paraId="0850ED5B" w14:textId="77777777" w:rsidR="005858CD" w:rsidRPr="005858CD" w:rsidRDefault="005858CD" w:rsidP="008C041F">
            <w:pPr>
              <w:rPr>
                <w:rFonts w:ascii="Book Antiqua" w:hAnsi="Book Antiqua" w:cs="Arial"/>
                <w:sz w:val="16"/>
                <w:szCs w:val="16"/>
                <w:lang w:val="es-NI" w:eastAsia="en-GB"/>
              </w:rPr>
            </w:pPr>
            <w:r w:rsidRPr="005858CD">
              <w:rPr>
                <w:rFonts w:ascii="Book Antiqua" w:hAnsi="Book Antiqua" w:cs="Arial"/>
                <w:sz w:val="16"/>
                <w:szCs w:val="16"/>
                <w:lang w:val="es-NI" w:eastAsia="en-GB"/>
              </w:rPr>
              <w:t>00 = Nada</w:t>
            </w:r>
          </w:p>
          <w:p w14:paraId="23AE6AF7" w14:textId="77777777" w:rsidR="005858CD" w:rsidRPr="005858CD" w:rsidRDefault="005858CD" w:rsidP="008C041F">
            <w:pPr>
              <w:rPr>
                <w:rFonts w:ascii="Book Antiqua" w:hAnsi="Book Antiqua" w:cs="Arial"/>
                <w:sz w:val="16"/>
                <w:szCs w:val="16"/>
                <w:lang w:val="es-NI" w:eastAsia="en-GB"/>
              </w:rPr>
            </w:pPr>
            <w:r w:rsidRPr="005858CD">
              <w:rPr>
                <w:rFonts w:ascii="Book Antiqua" w:hAnsi="Book Antiqua" w:cs="Arial"/>
                <w:sz w:val="16"/>
                <w:szCs w:val="16"/>
                <w:lang w:val="es-NI" w:eastAsia="en-GB"/>
              </w:rPr>
              <w:t>01 = Dormir</w:t>
            </w:r>
          </w:p>
          <w:p w14:paraId="754A5454" w14:textId="77777777" w:rsidR="005858CD" w:rsidRPr="005858CD" w:rsidRDefault="005858CD" w:rsidP="008C041F">
            <w:pPr>
              <w:rPr>
                <w:rFonts w:ascii="Book Antiqua" w:hAnsi="Book Antiqua" w:cs="Arial"/>
                <w:sz w:val="16"/>
                <w:szCs w:val="16"/>
                <w:lang w:val="es-NI" w:eastAsia="en-GB"/>
              </w:rPr>
            </w:pPr>
            <w:r w:rsidRPr="005858CD">
              <w:rPr>
                <w:rFonts w:ascii="Book Antiqua" w:hAnsi="Book Antiqua" w:cs="Arial"/>
                <w:sz w:val="16"/>
                <w:szCs w:val="16"/>
                <w:lang w:val="es-NI" w:eastAsia="en-GB"/>
              </w:rPr>
              <w:t>02 = Cuidado personal y comida</w:t>
            </w:r>
          </w:p>
          <w:p w14:paraId="3F92091C" w14:textId="77777777" w:rsidR="005858CD" w:rsidRPr="005858CD" w:rsidRDefault="005858CD" w:rsidP="008C041F">
            <w:pPr>
              <w:rPr>
                <w:rFonts w:ascii="Book Antiqua" w:hAnsi="Book Antiqua" w:cs="Arial"/>
                <w:sz w:val="16"/>
                <w:szCs w:val="16"/>
                <w:lang w:val="es-NI" w:eastAsia="en-GB"/>
              </w:rPr>
            </w:pPr>
            <w:r w:rsidRPr="005858CD">
              <w:rPr>
                <w:rFonts w:ascii="Book Antiqua" w:hAnsi="Book Antiqua" w:cs="Arial"/>
                <w:sz w:val="16"/>
                <w:szCs w:val="16"/>
                <w:lang w:val="es-NI" w:eastAsia="en-GB"/>
              </w:rPr>
              <w:t>03 = Ir a la escuela</w:t>
            </w:r>
          </w:p>
          <w:p w14:paraId="607454E8" w14:textId="77777777" w:rsidR="005858CD" w:rsidRPr="005858CD" w:rsidRDefault="005858CD" w:rsidP="008C041F">
            <w:pPr>
              <w:rPr>
                <w:rFonts w:ascii="Book Antiqua" w:hAnsi="Book Antiqua" w:cs="Arial"/>
                <w:sz w:val="16"/>
                <w:szCs w:val="16"/>
                <w:lang w:val="es-NI" w:eastAsia="en-GB"/>
              </w:rPr>
            </w:pPr>
            <w:r w:rsidRPr="005858CD">
              <w:rPr>
                <w:rFonts w:ascii="Book Antiqua" w:hAnsi="Book Antiqua" w:cs="Arial"/>
                <w:sz w:val="16"/>
                <w:szCs w:val="16"/>
                <w:lang w:val="es-NI" w:eastAsia="en-GB"/>
              </w:rPr>
              <w:t>04 = Trabajo remunerado, trabajo en negocio propio</w:t>
            </w:r>
          </w:p>
          <w:p w14:paraId="69EA2B09" w14:textId="77777777" w:rsidR="005858CD" w:rsidRPr="005858CD" w:rsidRDefault="005858CD">
            <w:pPr>
              <w:rPr>
                <w:rFonts w:ascii="Book Antiqua" w:hAnsi="Book Antiqua" w:cs="Arial"/>
                <w:bCs/>
                <w:color w:val="000000"/>
                <w:sz w:val="16"/>
                <w:szCs w:val="16"/>
                <w:lang w:val="es-NI"/>
              </w:rPr>
            </w:pPr>
            <w:r w:rsidRPr="005858CD">
              <w:rPr>
                <w:rFonts w:ascii="Book Antiqua" w:hAnsi="Book Antiqua" w:cs="Arial"/>
                <w:sz w:val="16"/>
                <w:szCs w:val="16"/>
                <w:lang w:val="es-NI" w:eastAsia="en-GB"/>
              </w:rPr>
              <w:t>05 = Actividades que generan ingresos</w:t>
            </w:r>
            <w:r w:rsidRPr="005858CD">
              <w:rPr>
                <w:rFonts w:ascii="Book Antiqua" w:hAnsi="Book Antiqua" w:cs="Arial"/>
                <w:bCs/>
                <w:color w:val="000000"/>
                <w:sz w:val="16"/>
                <w:szCs w:val="16"/>
                <w:lang w:val="es-NI"/>
              </w:rPr>
              <w:t xml:space="preserve"> </w:t>
            </w:r>
          </w:p>
          <w:p w14:paraId="5781E18B" w14:textId="77777777" w:rsidR="005858CD" w:rsidRPr="005858CD" w:rsidRDefault="005858CD">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06 = Construcción, reparación </w:t>
            </w:r>
          </w:p>
          <w:p w14:paraId="2CB67334" w14:textId="77777777" w:rsidR="005858CD" w:rsidRPr="005858CD" w:rsidRDefault="005858CD">
            <w:pPr>
              <w:rPr>
                <w:rFonts w:ascii="Book Antiqua" w:hAnsi="Book Antiqua" w:cs="Arial"/>
                <w:sz w:val="16"/>
                <w:szCs w:val="16"/>
                <w:lang w:val="es-NI" w:eastAsia="en-GB"/>
              </w:rPr>
            </w:pPr>
            <w:r w:rsidRPr="005858CD">
              <w:rPr>
                <w:rFonts w:ascii="Book Antiqua" w:hAnsi="Book Antiqua" w:cs="Arial"/>
                <w:sz w:val="16"/>
                <w:szCs w:val="16"/>
                <w:lang w:val="es-NI" w:eastAsia="en-GB"/>
              </w:rPr>
              <w:t xml:space="preserve">07 = Pesca, atender aves de patio, cuido de animals </w:t>
            </w:r>
          </w:p>
          <w:p w14:paraId="6E6E6655" w14:textId="77777777" w:rsidR="005858CD" w:rsidRPr="005858CD" w:rsidRDefault="005858CD">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08 = Preparación de la tierra para sembrar </w:t>
            </w:r>
          </w:p>
          <w:p w14:paraId="1C58BFEB"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t>09 = Chapodar</w:t>
            </w:r>
          </w:p>
          <w:p w14:paraId="13C769B9" w14:textId="77777777" w:rsidR="005858CD" w:rsidRPr="005858CD" w:rsidRDefault="005858CD">
            <w:pPr>
              <w:rPr>
                <w:rFonts w:ascii="Book Antiqua" w:hAnsi="Book Antiqua" w:cs="Arial"/>
                <w:sz w:val="16"/>
                <w:szCs w:val="16"/>
                <w:lang w:eastAsia="en-GB"/>
              </w:rPr>
            </w:pPr>
            <w:r w:rsidRPr="005858CD">
              <w:rPr>
                <w:rFonts w:ascii="Book Antiqua" w:hAnsi="Book Antiqua" w:cs="Arial"/>
                <w:bCs/>
                <w:color w:val="000000"/>
                <w:sz w:val="16"/>
                <w:szCs w:val="16"/>
              </w:rPr>
              <w:t>10 = Cosechar</w:t>
            </w:r>
          </w:p>
          <w:p w14:paraId="642F9F65" w14:textId="77777777" w:rsidR="005858CD" w:rsidRPr="005858CD" w:rsidRDefault="005858CD">
            <w:pPr>
              <w:rPr>
                <w:rFonts w:ascii="Book Antiqua" w:hAnsi="Book Antiqua" w:cs="Arial"/>
                <w:sz w:val="16"/>
                <w:szCs w:val="16"/>
                <w:lang w:eastAsia="en-GB"/>
              </w:rPr>
            </w:pPr>
            <w:r w:rsidRPr="005858CD">
              <w:rPr>
                <w:rFonts w:ascii="Book Antiqua" w:hAnsi="Book Antiqua" w:cs="Arial"/>
                <w:sz w:val="16"/>
                <w:szCs w:val="16"/>
                <w:lang w:eastAsia="en-GB"/>
              </w:rPr>
              <w:t>11 = Comprar</w:t>
            </w:r>
          </w:p>
          <w:p w14:paraId="1202C095" w14:textId="77777777" w:rsidR="005858CD" w:rsidRPr="005858CD" w:rsidRDefault="005858CD">
            <w:pPr>
              <w:rPr>
                <w:rFonts w:ascii="Book Antiqua" w:hAnsi="Book Antiqua" w:cs="Arial"/>
                <w:sz w:val="16"/>
                <w:szCs w:val="16"/>
                <w:lang w:eastAsia="en-GB"/>
              </w:rPr>
            </w:pPr>
            <w:r w:rsidRPr="005858CD">
              <w:rPr>
                <w:rFonts w:ascii="Book Antiqua" w:hAnsi="Book Antiqua" w:cs="Arial"/>
                <w:sz w:val="16"/>
                <w:szCs w:val="16"/>
                <w:lang w:eastAsia="en-GB"/>
              </w:rPr>
              <w:t>12 = Lavar, planchar, reparar ropa</w:t>
            </w:r>
          </w:p>
          <w:p w14:paraId="0EA2D445" w14:textId="77777777" w:rsidR="005858CD" w:rsidRPr="005858CD" w:rsidRDefault="005858CD">
            <w:pPr>
              <w:rPr>
                <w:rFonts w:ascii="Book Antiqua" w:hAnsi="Book Antiqua" w:cs="Arial"/>
                <w:sz w:val="16"/>
                <w:szCs w:val="16"/>
                <w:lang w:eastAsia="en-GB"/>
              </w:rPr>
            </w:pPr>
            <w:r w:rsidRPr="005858CD">
              <w:rPr>
                <w:rFonts w:ascii="Book Antiqua" w:hAnsi="Book Antiqua" w:cs="Arial"/>
                <w:sz w:val="16"/>
                <w:szCs w:val="16"/>
                <w:lang w:eastAsia="en-GB"/>
              </w:rPr>
              <w:t>13 = Preparación de alimentos</w:t>
            </w:r>
          </w:p>
        </w:tc>
        <w:tc>
          <w:tcPr>
            <w:tcW w:w="5206" w:type="dxa"/>
            <w:tcBorders>
              <w:top w:val="single" w:sz="12" w:space="0" w:color="auto"/>
              <w:bottom w:val="single" w:sz="12" w:space="0" w:color="auto"/>
              <w:right w:val="single" w:sz="12" w:space="0" w:color="auto"/>
            </w:tcBorders>
            <w:shd w:val="clear" w:color="auto" w:fill="auto"/>
          </w:tcPr>
          <w:p w14:paraId="17B62121" w14:textId="77777777" w:rsidR="005858CD" w:rsidRPr="00293176" w:rsidRDefault="005858CD">
            <w:pPr>
              <w:rPr>
                <w:sz w:val="16"/>
                <w:lang w:val="es-NI" w:eastAsia="en-GB"/>
              </w:rPr>
            </w:pPr>
            <w:r w:rsidRPr="00293176">
              <w:rPr>
                <w:sz w:val="16"/>
                <w:lang w:val="es-NI" w:eastAsia="en-GB"/>
              </w:rPr>
              <w:t xml:space="preserve">14 = Moler granos </w:t>
            </w:r>
          </w:p>
          <w:p w14:paraId="41219C18" w14:textId="77777777" w:rsidR="005858CD" w:rsidRPr="00293176" w:rsidRDefault="005858CD">
            <w:pPr>
              <w:rPr>
                <w:sz w:val="16"/>
                <w:lang w:val="es-NI" w:eastAsia="en-GB"/>
              </w:rPr>
            </w:pPr>
            <w:r w:rsidRPr="00293176">
              <w:rPr>
                <w:sz w:val="16"/>
                <w:lang w:val="es-NI" w:eastAsia="en-GB"/>
              </w:rPr>
              <w:t>15 = Limpiar</w:t>
            </w:r>
          </w:p>
          <w:p w14:paraId="416E2BE5" w14:textId="77777777" w:rsidR="005858CD" w:rsidRPr="00293176" w:rsidRDefault="005858CD">
            <w:pPr>
              <w:rPr>
                <w:sz w:val="16"/>
                <w:lang w:val="es-NI" w:eastAsia="en-GB"/>
              </w:rPr>
            </w:pPr>
            <w:r w:rsidRPr="00293176">
              <w:rPr>
                <w:sz w:val="16"/>
                <w:lang w:val="es-NI" w:eastAsia="en-GB"/>
              </w:rPr>
              <w:t>16 = Recolectar leña y carbón)</w:t>
            </w:r>
          </w:p>
          <w:p w14:paraId="3A96CE9A" w14:textId="77777777" w:rsidR="005858CD" w:rsidRPr="00293176" w:rsidRDefault="005858CD">
            <w:pPr>
              <w:rPr>
                <w:sz w:val="16"/>
                <w:lang w:val="es-NI" w:eastAsia="en-GB"/>
              </w:rPr>
            </w:pPr>
            <w:r w:rsidRPr="00293176">
              <w:rPr>
                <w:sz w:val="16"/>
                <w:lang w:val="es-NI" w:eastAsia="en-GB"/>
              </w:rPr>
              <w:t>17 = Recolectar agua</w:t>
            </w:r>
          </w:p>
          <w:p w14:paraId="4680BEB0" w14:textId="77777777" w:rsidR="005858CD" w:rsidRPr="00293176" w:rsidRDefault="005858CD">
            <w:pPr>
              <w:rPr>
                <w:sz w:val="16"/>
                <w:lang w:val="es-NI" w:eastAsia="en-GB"/>
              </w:rPr>
            </w:pPr>
            <w:r w:rsidRPr="00293176">
              <w:rPr>
                <w:sz w:val="16"/>
                <w:lang w:val="es-NI" w:eastAsia="en-GB"/>
              </w:rPr>
              <w:t>18 = Cuido de niño/as</w:t>
            </w:r>
          </w:p>
          <w:p w14:paraId="5420507C" w14:textId="77777777" w:rsidR="005858CD" w:rsidRPr="00293176" w:rsidRDefault="005858CD">
            <w:pPr>
              <w:rPr>
                <w:sz w:val="16"/>
                <w:lang w:val="es-NI" w:eastAsia="en-GB"/>
              </w:rPr>
            </w:pPr>
            <w:r w:rsidRPr="00293176">
              <w:rPr>
                <w:sz w:val="16"/>
                <w:lang w:val="es-NI" w:eastAsia="en-GB"/>
              </w:rPr>
              <w:t xml:space="preserve">19 = Cuido de adulto/a dependiente </w:t>
            </w:r>
          </w:p>
          <w:p w14:paraId="76BC8A1F" w14:textId="77777777" w:rsidR="005858CD" w:rsidRPr="00293176" w:rsidRDefault="005858CD">
            <w:pPr>
              <w:rPr>
                <w:sz w:val="16"/>
                <w:lang w:val="es-NI" w:eastAsia="en-GB"/>
              </w:rPr>
            </w:pPr>
            <w:r w:rsidRPr="00293176">
              <w:rPr>
                <w:sz w:val="16"/>
                <w:lang w:val="es-NI" w:eastAsia="en-GB"/>
              </w:rPr>
              <w:t xml:space="preserve">20 = Cuido de persona con discapacidad </w:t>
            </w:r>
          </w:p>
          <w:p w14:paraId="3A0BC8BD" w14:textId="77777777" w:rsidR="005858CD" w:rsidRPr="00293176" w:rsidRDefault="005858CD">
            <w:pPr>
              <w:rPr>
                <w:sz w:val="16"/>
                <w:lang w:val="es-NI" w:eastAsia="en-GB"/>
              </w:rPr>
            </w:pPr>
            <w:r w:rsidRPr="00293176">
              <w:rPr>
                <w:sz w:val="16"/>
                <w:lang w:val="es-NI" w:eastAsia="en-GB"/>
              </w:rPr>
              <w:t xml:space="preserve">21 = Cuido de personas de la comunidad </w:t>
            </w:r>
          </w:p>
          <w:p w14:paraId="7120CFB3" w14:textId="77777777" w:rsidR="005858CD" w:rsidRPr="00293176" w:rsidRDefault="005858CD">
            <w:pPr>
              <w:rPr>
                <w:sz w:val="16"/>
                <w:lang w:val="es-NI" w:eastAsia="en-GB"/>
              </w:rPr>
            </w:pPr>
            <w:r w:rsidRPr="00293176">
              <w:rPr>
                <w:sz w:val="16"/>
                <w:lang w:val="es-NI" w:eastAsia="en-GB"/>
              </w:rPr>
              <w:t>22 = Viajar</w:t>
            </w:r>
          </w:p>
          <w:p w14:paraId="12CD0C74" w14:textId="77777777" w:rsidR="005858CD" w:rsidRPr="00293176" w:rsidRDefault="005858CD" w:rsidP="00293176">
            <w:pPr>
              <w:rPr>
                <w:bCs/>
                <w:color w:val="000000"/>
                <w:sz w:val="16"/>
                <w:lang w:val="es-NI"/>
              </w:rPr>
            </w:pPr>
            <w:r w:rsidRPr="00293176">
              <w:rPr>
                <w:sz w:val="16"/>
                <w:lang w:val="es-NI" w:eastAsia="en-GB"/>
              </w:rPr>
              <w:t xml:space="preserve">23 = </w:t>
            </w:r>
            <w:r w:rsidRPr="00293176">
              <w:rPr>
                <w:bCs/>
                <w:color w:val="000000"/>
                <w:sz w:val="16"/>
                <w:lang w:val="es-NI"/>
              </w:rPr>
              <w:t xml:space="preserve">Diversión  </w:t>
            </w:r>
          </w:p>
          <w:p w14:paraId="5F636C85" w14:textId="77777777" w:rsidR="005858CD" w:rsidRPr="00293176" w:rsidRDefault="005858CD" w:rsidP="00293176">
            <w:pPr>
              <w:rPr>
                <w:bCs/>
                <w:color w:val="000000"/>
                <w:sz w:val="16"/>
                <w:lang w:val="es-NI"/>
              </w:rPr>
            </w:pPr>
            <w:r w:rsidRPr="00293176">
              <w:rPr>
                <w:sz w:val="16"/>
                <w:lang w:val="es-NI" w:eastAsia="en-GB"/>
              </w:rPr>
              <w:t>24 = Actividades religiosas</w:t>
            </w:r>
          </w:p>
          <w:p w14:paraId="044714DE" w14:textId="77777777" w:rsidR="005858CD" w:rsidRPr="00293176" w:rsidRDefault="005858CD">
            <w:pPr>
              <w:rPr>
                <w:bCs/>
                <w:color w:val="000000"/>
                <w:sz w:val="16"/>
                <w:lang w:val="es-NI"/>
              </w:rPr>
            </w:pPr>
            <w:r w:rsidRPr="00293176">
              <w:rPr>
                <w:bCs/>
                <w:color w:val="000000"/>
                <w:sz w:val="16"/>
                <w:lang w:val="es-NI"/>
              </w:rPr>
              <w:t>25 = Asistir a reuniones de grupo</w:t>
            </w:r>
          </w:p>
          <w:p w14:paraId="35F8475D" w14:textId="77777777" w:rsidR="005858CD" w:rsidRPr="00293176" w:rsidRDefault="005858CD">
            <w:pPr>
              <w:rPr>
                <w:bCs/>
                <w:color w:val="000000"/>
                <w:sz w:val="16"/>
                <w:lang w:val="es-NI"/>
              </w:rPr>
            </w:pPr>
            <w:r w:rsidRPr="00293176">
              <w:rPr>
                <w:bCs/>
                <w:color w:val="000000"/>
                <w:sz w:val="16"/>
                <w:lang w:val="es-NI"/>
              </w:rPr>
              <w:t>26= Hacer café para consumo doméstico</w:t>
            </w:r>
          </w:p>
          <w:p w14:paraId="10D695E7" w14:textId="77777777" w:rsidR="005858CD" w:rsidRPr="005858CD" w:rsidRDefault="005858CD">
            <w:pPr>
              <w:rPr>
                <w:bCs/>
                <w:color w:val="000000"/>
                <w:lang w:val="es-NI"/>
              </w:rPr>
            </w:pPr>
            <w:r w:rsidRPr="00293176">
              <w:rPr>
                <w:bCs/>
                <w:color w:val="000000"/>
                <w:sz w:val="16"/>
                <w:lang w:val="es-NI"/>
              </w:rPr>
              <w:t xml:space="preserve">27. Otra </w:t>
            </w:r>
            <w:r w:rsidRPr="005858CD">
              <w:rPr>
                <w:bCs/>
                <w:color w:val="000000"/>
                <w:lang w:val="es-NI"/>
              </w:rPr>
              <w:t>______________________________</w:t>
            </w:r>
          </w:p>
        </w:tc>
      </w:tr>
    </w:tbl>
    <w:p w14:paraId="501666A4" w14:textId="77777777" w:rsidR="005858CD" w:rsidRPr="005858CD" w:rsidRDefault="005858CD" w:rsidP="008C041F">
      <w:pPr>
        <w:rPr>
          <w:rFonts w:ascii="Book Antiqua" w:hAnsi="Book Antiqua"/>
          <w:sz w:val="16"/>
          <w:szCs w:val="16"/>
          <w:lang w:val="es-NI"/>
        </w:rPr>
      </w:pPr>
    </w:p>
    <w:p w14:paraId="066C762D" w14:textId="77777777" w:rsidR="005858CD" w:rsidRPr="005858CD" w:rsidRDefault="005858CD" w:rsidP="008C041F">
      <w:pPr>
        <w:rPr>
          <w:rFonts w:ascii="Arial" w:hAnsi="Arial" w:cs="Arial"/>
          <w:b/>
          <w:sz w:val="18"/>
          <w:szCs w:val="18"/>
          <w:u w:val="single"/>
          <w:lang w:val="es-NI" w:eastAsia="en-GB"/>
        </w:rPr>
      </w:pPr>
    </w:p>
    <w:tbl>
      <w:tblPr>
        <w:tblW w:w="8832" w:type="dxa"/>
        <w:tblInd w:w="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10"/>
        <w:gridCol w:w="4530"/>
        <w:gridCol w:w="2028"/>
        <w:gridCol w:w="1764"/>
      </w:tblGrid>
      <w:tr w:rsidR="005858CD" w:rsidRPr="005858CD" w14:paraId="33BBA9F9" w14:textId="77777777" w:rsidTr="00873A6E">
        <w:trPr>
          <w:trHeight w:val="402"/>
        </w:trPr>
        <w:tc>
          <w:tcPr>
            <w:tcW w:w="510" w:type="dxa"/>
            <w:noWrap/>
            <w:vAlign w:val="center"/>
          </w:tcPr>
          <w:p w14:paraId="09FE5299"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5.5</w:t>
            </w:r>
          </w:p>
        </w:tc>
        <w:tc>
          <w:tcPr>
            <w:tcW w:w="4530" w:type="dxa"/>
            <w:tcBorders>
              <w:right w:val="nil"/>
            </w:tcBorders>
            <w:noWrap/>
            <w:vAlign w:val="center"/>
          </w:tcPr>
          <w:p w14:paraId="7CB37E89" w14:textId="77777777" w:rsidR="005858CD" w:rsidRPr="005858CD" w:rsidRDefault="005858CD" w:rsidP="008C041F">
            <w:pPr>
              <w:rPr>
                <w:rFonts w:ascii="Book Antiqua" w:hAnsi="Book Antiqua" w:cs="Arial"/>
                <w:b/>
                <w:sz w:val="16"/>
                <w:szCs w:val="16"/>
              </w:rPr>
            </w:pPr>
            <w:r w:rsidRPr="005858CD">
              <w:rPr>
                <w:rFonts w:ascii="Book Antiqua" w:hAnsi="Book Antiqua" w:cs="Arial"/>
                <w:b/>
                <w:color w:val="212121"/>
                <w:sz w:val="16"/>
                <w:szCs w:val="16"/>
              </w:rPr>
              <w:t>¿</w:t>
            </w:r>
            <w:r w:rsidRPr="005858CD">
              <w:rPr>
                <w:rFonts w:ascii="Book Antiqua" w:hAnsi="Book Antiqua" w:cs="Arial"/>
                <w:b/>
                <w:sz w:val="16"/>
                <w:szCs w:val="16"/>
              </w:rPr>
              <w:t>Hay alguna actividad que no hizo ayer pero que regularmente realiza?</w:t>
            </w:r>
          </w:p>
        </w:tc>
        <w:tc>
          <w:tcPr>
            <w:tcW w:w="2028" w:type="dxa"/>
            <w:tcBorders>
              <w:top w:val="single" w:sz="12" w:space="0" w:color="000000"/>
              <w:left w:val="nil"/>
              <w:bottom w:val="single" w:sz="4" w:space="0" w:color="000000"/>
            </w:tcBorders>
            <w:noWrap/>
            <w:vAlign w:val="bottom"/>
          </w:tcPr>
          <w:p w14:paraId="0D0A4E80"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5F723A5F"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1 = Si</w:t>
            </w:r>
          </w:p>
          <w:p w14:paraId="3C363F5B" w14:textId="77777777" w:rsidR="005858CD" w:rsidRPr="005858CD" w:rsidRDefault="005858CD" w:rsidP="008C041F">
            <w:pPr>
              <w:autoSpaceDE w:val="0"/>
              <w:autoSpaceDN w:val="0"/>
              <w:adjustRightInd w:val="0"/>
              <w:rPr>
                <w:rFonts w:ascii="Arial" w:hAnsi="Arial" w:cs="Arial"/>
                <w:bCs/>
                <w:iCs/>
                <w:color w:val="000000"/>
                <w:sz w:val="14"/>
                <w:szCs w:val="14"/>
              </w:rPr>
            </w:pPr>
          </w:p>
        </w:tc>
        <w:tc>
          <w:tcPr>
            <w:tcW w:w="1764" w:type="dxa"/>
            <w:noWrap/>
            <w:vAlign w:val="center"/>
          </w:tcPr>
          <w:p w14:paraId="08294EAB" w14:textId="77777777" w:rsidR="005858CD" w:rsidRPr="005858CD" w:rsidRDefault="005858CD">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22D7A8F6" w14:textId="77777777" w:rsidTr="00873A6E">
        <w:trPr>
          <w:trHeight w:val="412"/>
        </w:trPr>
        <w:tc>
          <w:tcPr>
            <w:tcW w:w="510" w:type="dxa"/>
            <w:tcBorders>
              <w:top w:val="single" w:sz="8" w:space="0" w:color="auto"/>
            </w:tcBorders>
            <w:noWrap/>
            <w:vAlign w:val="center"/>
          </w:tcPr>
          <w:p w14:paraId="4174839C"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5.6</w:t>
            </w:r>
          </w:p>
        </w:tc>
        <w:tc>
          <w:tcPr>
            <w:tcW w:w="4530" w:type="dxa"/>
            <w:tcBorders>
              <w:top w:val="single" w:sz="8" w:space="0" w:color="auto"/>
              <w:right w:val="nil"/>
            </w:tcBorders>
            <w:noWrap/>
            <w:vAlign w:val="center"/>
          </w:tcPr>
          <w:p w14:paraId="2DE9BC75" w14:textId="77777777" w:rsidR="005858CD" w:rsidRPr="005858CD" w:rsidRDefault="005858CD" w:rsidP="008C041F">
            <w:pPr>
              <w:rPr>
                <w:rFonts w:ascii="Book Antiqua" w:hAnsi="Book Antiqua" w:cs="Arial"/>
                <w:b/>
                <w:sz w:val="16"/>
                <w:szCs w:val="16"/>
              </w:rPr>
            </w:pPr>
            <w:r w:rsidRPr="005858CD">
              <w:rPr>
                <w:rFonts w:ascii="Book Antiqua" w:hAnsi="Book Antiqua" w:cs="Arial"/>
                <w:b/>
                <w:color w:val="212121"/>
                <w:sz w:val="16"/>
                <w:szCs w:val="16"/>
                <w:lang w:val="es-ES"/>
              </w:rPr>
              <w:t>¿Cuál es esa actividad</w:t>
            </w:r>
            <w:r w:rsidRPr="005858CD">
              <w:rPr>
                <w:rFonts w:ascii="Book Antiqua" w:hAnsi="Book Antiqua" w:cs="Arial"/>
                <w:b/>
                <w:sz w:val="16"/>
                <w:szCs w:val="16"/>
              </w:rPr>
              <w:t>?</w:t>
            </w:r>
          </w:p>
        </w:tc>
        <w:tc>
          <w:tcPr>
            <w:tcW w:w="2028" w:type="dxa"/>
            <w:tcBorders>
              <w:top w:val="single" w:sz="4" w:space="0" w:color="000000"/>
              <w:left w:val="nil"/>
              <w:bottom w:val="single" w:sz="4" w:space="0" w:color="000000"/>
            </w:tcBorders>
            <w:noWrap/>
            <w:vAlign w:val="bottom"/>
          </w:tcPr>
          <w:p w14:paraId="7AEFA499"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Usar códigos</w:t>
            </w:r>
          </w:p>
          <w:p w14:paraId="568A8874" w14:textId="77777777" w:rsidR="005858CD" w:rsidRPr="005858CD" w:rsidRDefault="005858CD" w:rsidP="008C041F">
            <w:pPr>
              <w:rPr>
                <w:rFonts w:ascii="Arial" w:hAnsi="Arial" w:cs="Arial"/>
                <w:bCs/>
                <w:iCs/>
                <w:color w:val="000000"/>
                <w:sz w:val="14"/>
                <w:szCs w:val="14"/>
              </w:rPr>
            </w:pPr>
          </w:p>
        </w:tc>
        <w:tc>
          <w:tcPr>
            <w:tcW w:w="1764" w:type="dxa"/>
            <w:tcBorders>
              <w:top w:val="single" w:sz="8" w:space="0" w:color="auto"/>
            </w:tcBorders>
            <w:noWrap/>
          </w:tcPr>
          <w:p w14:paraId="1BA1A22F"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26D4DFD8" w14:textId="77777777" w:rsidTr="00873A6E">
        <w:trPr>
          <w:trHeight w:val="539"/>
        </w:trPr>
        <w:tc>
          <w:tcPr>
            <w:tcW w:w="510" w:type="dxa"/>
            <w:noWrap/>
            <w:vAlign w:val="center"/>
          </w:tcPr>
          <w:p w14:paraId="4679AE92"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5.7</w:t>
            </w:r>
          </w:p>
        </w:tc>
        <w:tc>
          <w:tcPr>
            <w:tcW w:w="4530" w:type="dxa"/>
            <w:tcBorders>
              <w:right w:val="nil"/>
            </w:tcBorders>
            <w:noWrap/>
            <w:vAlign w:val="center"/>
          </w:tcPr>
          <w:p w14:paraId="452B02A3" w14:textId="77777777" w:rsidR="005858CD" w:rsidRPr="005858CD" w:rsidRDefault="005858CD" w:rsidP="008C041F">
            <w:pPr>
              <w:rPr>
                <w:rFonts w:ascii="Book Antiqua" w:hAnsi="Book Antiqua" w:cs="Arial"/>
                <w:b/>
                <w:sz w:val="16"/>
                <w:szCs w:val="16"/>
                <w:lang w:val="es-NI"/>
              </w:rPr>
            </w:pPr>
            <w:r w:rsidRPr="005858CD">
              <w:rPr>
                <w:rFonts w:ascii="Book Antiqua" w:hAnsi="Book Antiqua" w:cs="Arial"/>
                <w:b/>
                <w:color w:val="212121"/>
                <w:sz w:val="16"/>
                <w:szCs w:val="16"/>
                <w:lang w:val="es-NI"/>
              </w:rPr>
              <w:t>¿Cuántas horas al día le toma esa actividad</w:t>
            </w:r>
            <w:r w:rsidRPr="005858CD">
              <w:rPr>
                <w:rFonts w:ascii="Book Antiqua" w:hAnsi="Book Antiqua" w:cs="Arial"/>
                <w:b/>
                <w:sz w:val="16"/>
                <w:szCs w:val="16"/>
                <w:lang w:val="es-NI"/>
              </w:rPr>
              <w:t>?</w:t>
            </w:r>
          </w:p>
        </w:tc>
        <w:tc>
          <w:tcPr>
            <w:tcW w:w="2028" w:type="dxa"/>
            <w:tcBorders>
              <w:top w:val="single" w:sz="4" w:space="0" w:color="000000"/>
              <w:left w:val="nil"/>
              <w:bottom w:val="single" w:sz="4" w:space="0" w:color="000000"/>
            </w:tcBorders>
            <w:noWrap/>
            <w:vAlign w:val="bottom"/>
          </w:tcPr>
          <w:p w14:paraId="1E10FAC3" w14:textId="77777777" w:rsidR="005858CD" w:rsidRPr="005858CD" w:rsidRDefault="005858CD" w:rsidP="008C041F">
            <w:pPr>
              <w:rPr>
                <w:rFonts w:ascii="Arial" w:hAnsi="Arial" w:cs="Arial"/>
                <w:bCs/>
                <w:iCs/>
                <w:color w:val="000000"/>
                <w:sz w:val="14"/>
                <w:szCs w:val="14"/>
                <w:lang w:val="es-NI"/>
              </w:rPr>
            </w:pPr>
          </w:p>
          <w:p w14:paraId="0C70D2A0"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Número de horas</w:t>
            </w:r>
          </w:p>
        </w:tc>
        <w:tc>
          <w:tcPr>
            <w:tcW w:w="1764" w:type="dxa"/>
            <w:noWrap/>
          </w:tcPr>
          <w:p w14:paraId="5F4CF80C"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1B13CF11" w14:textId="77777777" w:rsidTr="00873A6E">
        <w:trPr>
          <w:trHeight w:val="494"/>
        </w:trPr>
        <w:tc>
          <w:tcPr>
            <w:tcW w:w="510" w:type="dxa"/>
            <w:noWrap/>
            <w:vAlign w:val="center"/>
          </w:tcPr>
          <w:p w14:paraId="4F9C2222"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5.8</w:t>
            </w:r>
          </w:p>
        </w:tc>
        <w:tc>
          <w:tcPr>
            <w:tcW w:w="4530" w:type="dxa"/>
            <w:tcBorders>
              <w:right w:val="nil"/>
            </w:tcBorders>
            <w:noWrap/>
            <w:vAlign w:val="center"/>
          </w:tcPr>
          <w:p w14:paraId="33D642D3" w14:textId="77777777" w:rsidR="005858CD" w:rsidRPr="005858CD" w:rsidRDefault="005858CD" w:rsidP="008C041F">
            <w:pPr>
              <w:rPr>
                <w:rFonts w:ascii="Book Antiqua" w:hAnsi="Book Antiqua" w:cs="Arial"/>
                <w:b/>
                <w:sz w:val="16"/>
                <w:szCs w:val="16"/>
              </w:rPr>
            </w:pPr>
            <w:r w:rsidRPr="005858CD">
              <w:rPr>
                <w:rFonts w:ascii="Book Antiqua" w:hAnsi="Book Antiqua" w:cs="Arial"/>
                <w:b/>
                <w:color w:val="212121"/>
                <w:sz w:val="16"/>
                <w:szCs w:val="16"/>
                <w:lang w:val="es-NI"/>
              </w:rPr>
              <w:t>¿Hay alguna actividad que hizo ayer que generalmente no hace</w:t>
            </w:r>
            <w:r w:rsidRPr="005858CD">
              <w:rPr>
                <w:rFonts w:ascii="Book Antiqua" w:hAnsi="Book Antiqua" w:cs="Arial"/>
                <w:b/>
                <w:sz w:val="16"/>
                <w:szCs w:val="16"/>
              </w:rPr>
              <w:t>?</w:t>
            </w:r>
          </w:p>
        </w:tc>
        <w:tc>
          <w:tcPr>
            <w:tcW w:w="2028" w:type="dxa"/>
            <w:tcBorders>
              <w:top w:val="single" w:sz="4" w:space="0" w:color="000000"/>
              <w:left w:val="nil"/>
              <w:bottom w:val="single" w:sz="4" w:space="0" w:color="000000"/>
            </w:tcBorders>
            <w:noWrap/>
            <w:vAlign w:val="bottom"/>
          </w:tcPr>
          <w:p w14:paraId="3DCE75A4"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3483D804"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1 = Si</w:t>
            </w:r>
          </w:p>
          <w:p w14:paraId="4102D736" w14:textId="77777777" w:rsidR="005858CD" w:rsidRPr="005858CD" w:rsidRDefault="005858CD" w:rsidP="008C041F">
            <w:pPr>
              <w:autoSpaceDE w:val="0"/>
              <w:autoSpaceDN w:val="0"/>
              <w:adjustRightInd w:val="0"/>
              <w:rPr>
                <w:rFonts w:ascii="Book Antiqua" w:hAnsi="Book Antiqua" w:cs="Arial"/>
                <w:bCs/>
                <w:iCs/>
                <w:color w:val="000000"/>
                <w:sz w:val="14"/>
                <w:szCs w:val="14"/>
              </w:rPr>
            </w:pPr>
          </w:p>
        </w:tc>
        <w:tc>
          <w:tcPr>
            <w:tcW w:w="1764" w:type="dxa"/>
            <w:noWrap/>
            <w:vAlign w:val="center"/>
          </w:tcPr>
          <w:p w14:paraId="25071094"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283A74C7" w14:textId="77777777" w:rsidTr="00873A6E">
        <w:trPr>
          <w:trHeight w:val="404"/>
        </w:trPr>
        <w:tc>
          <w:tcPr>
            <w:tcW w:w="510" w:type="dxa"/>
            <w:noWrap/>
            <w:vAlign w:val="center"/>
          </w:tcPr>
          <w:p w14:paraId="61FB75B9"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lastRenderedPageBreak/>
              <w:t>5.9</w:t>
            </w:r>
          </w:p>
        </w:tc>
        <w:tc>
          <w:tcPr>
            <w:tcW w:w="4530" w:type="dxa"/>
            <w:tcBorders>
              <w:right w:val="nil"/>
            </w:tcBorders>
            <w:noWrap/>
            <w:vAlign w:val="center"/>
          </w:tcPr>
          <w:p w14:paraId="06E01D0B" w14:textId="77777777" w:rsidR="005858CD" w:rsidRPr="005858CD" w:rsidRDefault="005858CD" w:rsidP="008C041F">
            <w:pPr>
              <w:rPr>
                <w:rFonts w:ascii="Book Antiqua" w:hAnsi="Book Antiqua" w:cs="Arial"/>
                <w:b/>
                <w:sz w:val="16"/>
                <w:szCs w:val="16"/>
              </w:rPr>
            </w:pPr>
            <w:r w:rsidRPr="005858CD">
              <w:rPr>
                <w:rFonts w:ascii="Book Antiqua" w:hAnsi="Book Antiqua" w:cs="Arial"/>
                <w:b/>
                <w:color w:val="212121"/>
                <w:sz w:val="16"/>
                <w:szCs w:val="16"/>
                <w:lang w:val="es-ES"/>
              </w:rPr>
              <w:t>¿Cuál es esa actividad</w:t>
            </w:r>
            <w:r w:rsidRPr="005858CD">
              <w:rPr>
                <w:rFonts w:ascii="Book Antiqua" w:hAnsi="Book Antiqua" w:cs="Arial"/>
                <w:b/>
                <w:sz w:val="16"/>
                <w:szCs w:val="16"/>
              </w:rPr>
              <w:t>?</w:t>
            </w:r>
          </w:p>
        </w:tc>
        <w:tc>
          <w:tcPr>
            <w:tcW w:w="2028" w:type="dxa"/>
            <w:tcBorders>
              <w:top w:val="single" w:sz="4" w:space="0" w:color="000000"/>
              <w:left w:val="nil"/>
              <w:bottom w:val="single" w:sz="12" w:space="0" w:color="000000"/>
            </w:tcBorders>
            <w:noWrap/>
            <w:vAlign w:val="bottom"/>
          </w:tcPr>
          <w:p w14:paraId="5EC6D283"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Usar códigos</w:t>
            </w:r>
          </w:p>
          <w:p w14:paraId="0C86C92E" w14:textId="77777777" w:rsidR="005858CD" w:rsidRPr="005858CD" w:rsidRDefault="005858CD" w:rsidP="008C041F">
            <w:pPr>
              <w:rPr>
                <w:rFonts w:ascii="Arial" w:hAnsi="Arial" w:cs="Arial"/>
                <w:bCs/>
                <w:iCs/>
                <w:color w:val="000000"/>
                <w:sz w:val="14"/>
                <w:szCs w:val="14"/>
              </w:rPr>
            </w:pPr>
          </w:p>
        </w:tc>
        <w:tc>
          <w:tcPr>
            <w:tcW w:w="1764" w:type="dxa"/>
            <w:noWrap/>
            <w:vAlign w:val="center"/>
          </w:tcPr>
          <w:p w14:paraId="29E0982B" w14:textId="77777777" w:rsidR="005858CD" w:rsidRPr="005858CD" w:rsidRDefault="005858CD" w:rsidP="008C041F">
            <w:pPr>
              <w:autoSpaceDE w:val="0"/>
              <w:autoSpaceDN w:val="0"/>
              <w:adjustRightInd w:val="0"/>
              <w:jc w:val="center"/>
              <w:rPr>
                <w:b/>
                <w:bCs/>
                <w:sz w:val="28"/>
                <w:szCs w:val="28"/>
                <w:lang w:val="es-HN"/>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bl>
    <w:p w14:paraId="659EB0E3" w14:textId="77777777" w:rsidR="005858CD" w:rsidRPr="005858CD" w:rsidRDefault="005858CD" w:rsidP="008C041F">
      <w:pPr>
        <w:keepNext/>
        <w:autoSpaceDE w:val="0"/>
        <w:autoSpaceDN w:val="0"/>
        <w:adjustRightInd w:val="0"/>
        <w:outlineLvl w:val="1"/>
        <w:rPr>
          <w:rFonts w:ascii="Arial" w:hAnsi="Arial"/>
          <w:b/>
          <w:bCs/>
          <w:color w:val="000000"/>
          <w:sz w:val="22"/>
          <w:szCs w:val="22"/>
          <w:u w:val="single"/>
        </w:rPr>
      </w:pPr>
    </w:p>
    <w:p w14:paraId="13F4CFF5" w14:textId="77777777" w:rsidR="005858CD" w:rsidRPr="005858CD" w:rsidRDefault="005858CD" w:rsidP="008C041F">
      <w:pPr>
        <w:rPr>
          <w:rFonts w:ascii="Book Antiqua" w:hAnsi="Book Antiqua" w:cs="Arial"/>
          <w:b/>
          <w:sz w:val="18"/>
          <w:szCs w:val="18"/>
        </w:rPr>
      </w:pPr>
    </w:p>
    <w:p w14:paraId="31DA952A" w14:textId="77777777" w:rsidR="005858CD" w:rsidRPr="005858CD" w:rsidRDefault="005858CD" w:rsidP="008C041F">
      <w:pPr>
        <w:rPr>
          <w:rFonts w:ascii="Book Antiqua" w:hAnsi="Book Antiqua" w:cs="Arial"/>
          <w:b/>
          <w:sz w:val="18"/>
          <w:szCs w:val="18"/>
        </w:rPr>
      </w:pPr>
    </w:p>
    <w:p w14:paraId="299937B6" w14:textId="77777777" w:rsidR="005858CD" w:rsidRPr="005858CD" w:rsidRDefault="005858CD" w:rsidP="008C041F">
      <w:pPr>
        <w:rPr>
          <w:rFonts w:ascii="Book Antiqua" w:hAnsi="Book Antiqua" w:cs="Arial"/>
          <w:b/>
          <w:sz w:val="18"/>
          <w:szCs w:val="18"/>
          <w:lang w:val="es-NI"/>
        </w:rPr>
      </w:pPr>
    </w:p>
    <w:p w14:paraId="75FB1795" w14:textId="77777777" w:rsidR="005858CD" w:rsidRPr="005858CD" w:rsidRDefault="005858CD" w:rsidP="008C041F">
      <w:pPr>
        <w:rPr>
          <w:rFonts w:ascii="Book Antiqua" w:hAnsi="Book Antiqua" w:cs="Arial"/>
          <w:b/>
          <w:sz w:val="18"/>
          <w:szCs w:val="18"/>
        </w:rPr>
      </w:pPr>
      <w:r w:rsidRPr="005858CD">
        <w:rPr>
          <w:rFonts w:ascii="Book Antiqua" w:hAnsi="Book Antiqua" w:cs="Arial"/>
          <w:b/>
          <w:sz w:val="18"/>
          <w:szCs w:val="18"/>
        </w:rPr>
        <w:t xml:space="preserve">6. Distribución de tareas de cuidado en el hogar. </w:t>
      </w:r>
    </w:p>
    <w:tbl>
      <w:tblPr>
        <w:tblW w:w="9270" w:type="dxa"/>
        <w:tblInd w:w="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40"/>
        <w:gridCol w:w="4280"/>
        <w:gridCol w:w="2740"/>
        <w:gridCol w:w="1710"/>
      </w:tblGrid>
      <w:tr w:rsidR="005858CD" w:rsidRPr="005858CD" w14:paraId="6A2B6F24" w14:textId="77777777" w:rsidTr="00873A6E">
        <w:trPr>
          <w:trHeight w:val="1137"/>
        </w:trPr>
        <w:tc>
          <w:tcPr>
            <w:tcW w:w="540" w:type="dxa"/>
            <w:vAlign w:val="center"/>
          </w:tcPr>
          <w:p w14:paraId="3CC4A07F"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6.1</w:t>
            </w:r>
          </w:p>
        </w:tc>
        <w:tc>
          <w:tcPr>
            <w:tcW w:w="4280" w:type="dxa"/>
            <w:vAlign w:val="center"/>
          </w:tcPr>
          <w:p w14:paraId="5E4DFB3B" w14:textId="77777777" w:rsidR="005858CD" w:rsidRPr="005858CD" w:rsidRDefault="005858CD" w:rsidP="008C041F">
            <w:pPr>
              <w:autoSpaceDE w:val="0"/>
              <w:autoSpaceDN w:val="0"/>
              <w:adjustRightInd w:val="0"/>
              <w:rPr>
                <w:rFonts w:ascii="Book Antiqua" w:hAnsi="Book Antiqua" w:cs="Arial"/>
                <w:b/>
                <w:bCs/>
                <w:sz w:val="18"/>
              </w:rPr>
            </w:pPr>
            <w:r w:rsidRPr="005858CD">
              <w:rPr>
                <w:rFonts w:ascii="Book Antiqua" w:hAnsi="Book Antiqua" w:cs="Arial"/>
                <w:b/>
                <w:color w:val="212121"/>
                <w:sz w:val="16"/>
                <w:szCs w:val="16"/>
              </w:rPr>
              <w:t xml:space="preserve">¿Quién de los miembro/as de su hogar, además de usted, hace la mayoría de los trabajos de cuidado, su pareja, su hija mayor, su hijo mayor? </w:t>
            </w:r>
          </w:p>
          <w:p w14:paraId="70ABF121" w14:textId="77777777" w:rsidR="005858CD" w:rsidRPr="005858CD" w:rsidRDefault="005858CD">
            <w:pPr>
              <w:rPr>
                <w:rFonts w:ascii="Book Antiqua" w:hAnsi="Book Antiqua" w:cs="Arial"/>
                <w:b/>
                <w:bCs/>
                <w:sz w:val="18"/>
              </w:rPr>
            </w:pPr>
          </w:p>
        </w:tc>
        <w:tc>
          <w:tcPr>
            <w:tcW w:w="2740" w:type="dxa"/>
            <w:vAlign w:val="bottom"/>
          </w:tcPr>
          <w:p w14:paraId="0F4E7202" w14:textId="77777777" w:rsidR="005858CD" w:rsidRPr="005858CD" w:rsidRDefault="005858CD">
            <w:pPr>
              <w:autoSpaceDE w:val="0"/>
              <w:autoSpaceDN w:val="0"/>
              <w:adjustRightInd w:val="0"/>
              <w:rPr>
                <w:rFonts w:ascii="Book Antiqua" w:eastAsia="Calibri" w:hAnsi="Book Antiqua" w:cs="Arial"/>
                <w:sz w:val="14"/>
                <w:szCs w:val="14"/>
                <w:lang w:eastAsia="en-GB"/>
              </w:rPr>
            </w:pPr>
            <w:r w:rsidRPr="005858CD">
              <w:rPr>
                <w:rFonts w:ascii="Book Antiqua" w:eastAsia="Calibri" w:hAnsi="Book Antiqua" w:cs="Arial"/>
                <w:sz w:val="14"/>
                <w:szCs w:val="14"/>
                <w:lang w:val="es-NI" w:eastAsia="en-GB"/>
              </w:rPr>
              <w:t xml:space="preserve">0 = No hay nadie más en mi hogar que haga este trabajo. </w:t>
            </w:r>
          </w:p>
          <w:p w14:paraId="4F78634F" w14:textId="77777777" w:rsidR="005858CD" w:rsidRPr="005858CD" w:rsidRDefault="005858CD">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1 = Mujer mayor (e.g. abuela)</w:t>
            </w:r>
          </w:p>
          <w:p w14:paraId="5886AA76" w14:textId="77777777" w:rsidR="005858CD" w:rsidRPr="005858CD" w:rsidRDefault="005858CD">
            <w:pPr>
              <w:autoSpaceDE w:val="0"/>
              <w:autoSpaceDN w:val="0"/>
              <w:adjustRightInd w:val="0"/>
              <w:rPr>
                <w:rFonts w:ascii="Book Antiqua" w:eastAsia="Calibri" w:hAnsi="Book Antiqua" w:cs="Arial"/>
                <w:sz w:val="14"/>
                <w:szCs w:val="14"/>
                <w:lang w:eastAsia="en-GB"/>
              </w:rPr>
            </w:pPr>
            <w:r w:rsidRPr="005858CD">
              <w:rPr>
                <w:rFonts w:ascii="Book Antiqua" w:eastAsia="Calibri" w:hAnsi="Book Antiqua" w:cs="Arial"/>
                <w:sz w:val="14"/>
                <w:szCs w:val="14"/>
                <w:lang w:eastAsia="en-GB"/>
              </w:rPr>
              <w:t xml:space="preserve"> 2 = Hombre mayor (e.g. abuelo)</w:t>
            </w:r>
          </w:p>
          <w:p w14:paraId="414645C3" w14:textId="77777777" w:rsidR="005858CD" w:rsidRPr="005858CD" w:rsidRDefault="005858CD">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 xml:space="preserve">3 = Hija </w:t>
            </w:r>
          </w:p>
          <w:p w14:paraId="3FEF1BF6" w14:textId="77777777" w:rsidR="005858CD" w:rsidRPr="005858CD" w:rsidRDefault="005858CD">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 xml:space="preserve">4 = Hijo </w:t>
            </w:r>
          </w:p>
          <w:p w14:paraId="53108934" w14:textId="77777777" w:rsidR="005858CD" w:rsidRPr="005858CD" w:rsidRDefault="005858CD">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5 = Mujer</w:t>
            </w:r>
          </w:p>
          <w:p w14:paraId="3C6C6BC1" w14:textId="77777777" w:rsidR="005858CD" w:rsidRPr="005858CD" w:rsidRDefault="005858CD">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6 = Hombre</w:t>
            </w:r>
          </w:p>
          <w:p w14:paraId="266E991E" w14:textId="77777777" w:rsidR="005858CD" w:rsidRPr="005858CD" w:rsidRDefault="005858CD">
            <w:pPr>
              <w:autoSpaceDE w:val="0"/>
              <w:autoSpaceDN w:val="0"/>
              <w:adjustRightInd w:val="0"/>
              <w:rPr>
                <w:rFonts w:ascii="Arial" w:eastAsia="Calibri" w:hAnsi="Arial" w:cs="Arial"/>
                <w:sz w:val="14"/>
                <w:szCs w:val="14"/>
                <w:lang w:val="es-NI" w:eastAsia="en-GB"/>
              </w:rPr>
            </w:pPr>
            <w:r w:rsidRPr="005858CD">
              <w:rPr>
                <w:rFonts w:ascii="Book Antiqua" w:eastAsia="Calibri" w:hAnsi="Book Antiqua" w:cs="Arial"/>
                <w:sz w:val="14"/>
                <w:szCs w:val="14"/>
                <w:lang w:val="es-NI" w:eastAsia="en-GB"/>
              </w:rPr>
              <w:t>7= Trabajador/a remunerada/o</w:t>
            </w:r>
          </w:p>
        </w:tc>
        <w:tc>
          <w:tcPr>
            <w:tcW w:w="1710" w:type="dxa"/>
            <w:vAlign w:val="center"/>
          </w:tcPr>
          <w:p w14:paraId="7BF4CABE" w14:textId="77777777" w:rsidR="005858CD" w:rsidRPr="005858CD" w:rsidRDefault="005858CD">
            <w:pPr>
              <w:pBdr>
                <w:bottom w:val="single" w:sz="12" w:space="1" w:color="auto"/>
              </w:pBdr>
              <w:autoSpaceDE w:val="0"/>
              <w:autoSpaceDN w:val="0"/>
              <w:adjustRightInd w:val="0"/>
              <w:jc w:val="center"/>
              <w:rPr>
                <w:rFonts w:ascii="Book Antiqua" w:hAnsi="Book Antiqua" w:cs="Arial"/>
                <w:bCs/>
                <w:sz w:val="14"/>
                <w:szCs w:val="14"/>
              </w:rPr>
            </w:pPr>
            <w:r w:rsidRPr="005858CD">
              <w:rPr>
                <w:rFonts w:ascii="Book Antiqua" w:hAnsi="Book Antiqua" w:cs="Arial"/>
                <w:bCs/>
                <w:sz w:val="14"/>
                <w:szCs w:val="14"/>
              </w:rPr>
              <w:t>Nombre:</w:t>
            </w:r>
          </w:p>
          <w:p w14:paraId="7912D9B9" w14:textId="77777777" w:rsidR="005858CD" w:rsidRPr="005858CD" w:rsidRDefault="005858CD">
            <w:pPr>
              <w:pBdr>
                <w:bottom w:val="single" w:sz="12" w:space="1" w:color="auto"/>
              </w:pBdr>
              <w:autoSpaceDE w:val="0"/>
              <w:autoSpaceDN w:val="0"/>
              <w:adjustRightInd w:val="0"/>
              <w:jc w:val="center"/>
              <w:rPr>
                <w:rFonts w:ascii="Arial" w:hAnsi="Arial" w:cs="Arial"/>
                <w:bCs/>
                <w:sz w:val="14"/>
                <w:szCs w:val="14"/>
              </w:rPr>
            </w:pPr>
          </w:p>
          <w:p w14:paraId="63379467" w14:textId="77777777" w:rsidR="005858CD" w:rsidRPr="005858CD" w:rsidRDefault="005858CD">
            <w:pPr>
              <w:pBdr>
                <w:bottom w:val="single" w:sz="12" w:space="1" w:color="auto"/>
              </w:pBdr>
              <w:autoSpaceDE w:val="0"/>
              <w:autoSpaceDN w:val="0"/>
              <w:adjustRightInd w:val="0"/>
              <w:jc w:val="center"/>
              <w:rPr>
                <w:rFonts w:ascii="Arial" w:hAnsi="Arial" w:cs="Arial"/>
                <w:bCs/>
                <w:sz w:val="14"/>
                <w:szCs w:val="14"/>
              </w:rPr>
            </w:pPr>
          </w:p>
          <w:p w14:paraId="6645198B" w14:textId="77777777" w:rsidR="005858CD" w:rsidRPr="005858CD" w:rsidRDefault="005858CD">
            <w:pPr>
              <w:autoSpaceDE w:val="0"/>
              <w:autoSpaceDN w:val="0"/>
              <w:adjustRightInd w:val="0"/>
              <w:jc w:val="center"/>
              <w:rPr>
                <w:rFonts w:ascii="Arial" w:hAnsi="Arial" w:cs="Arial"/>
                <w:bCs/>
                <w:sz w:val="14"/>
                <w:szCs w:val="14"/>
              </w:rPr>
            </w:pPr>
          </w:p>
          <w:p w14:paraId="03F1D971" w14:textId="77777777" w:rsidR="005858CD" w:rsidRPr="005858CD" w:rsidRDefault="005858CD">
            <w:pPr>
              <w:autoSpaceDE w:val="0"/>
              <w:autoSpaceDN w:val="0"/>
              <w:adjustRightInd w:val="0"/>
              <w:jc w:val="center"/>
              <w:rPr>
                <w:rFonts w:ascii="Arial" w:hAnsi="Arial" w:cs="Arial"/>
                <w:bCs/>
                <w:sz w:val="14"/>
                <w:szCs w:val="14"/>
              </w:rPr>
            </w:pPr>
            <w:r w:rsidRPr="005858CD">
              <w:rPr>
                <w:rFonts w:ascii="Arial" w:hAnsi="Arial" w:cs="Arial"/>
                <w:bCs/>
                <w:sz w:val="14"/>
                <w:szCs w:val="14"/>
              </w:rPr>
              <w:t>Código:</w:t>
            </w:r>
          </w:p>
          <w:p w14:paraId="702F85C3" w14:textId="77777777" w:rsidR="005858CD" w:rsidRPr="005858CD" w:rsidRDefault="005858CD">
            <w:pPr>
              <w:autoSpaceDE w:val="0"/>
              <w:autoSpaceDN w:val="0"/>
              <w:adjustRightInd w:val="0"/>
              <w:jc w:val="center"/>
              <w:rPr>
                <w:b/>
                <w:bCs/>
                <w:sz w:val="28"/>
                <w:szCs w:val="28"/>
              </w:rPr>
            </w:pPr>
            <w:r w:rsidRPr="005858CD">
              <w:rPr>
                <w:b/>
                <w:bCs/>
                <w:sz w:val="28"/>
                <w:szCs w:val="28"/>
              </w:rPr>
              <w:t>|__|</w:t>
            </w:r>
          </w:p>
        </w:tc>
      </w:tr>
    </w:tbl>
    <w:p w14:paraId="1F53A819" w14:textId="77777777" w:rsidR="005858CD" w:rsidRPr="005858CD" w:rsidRDefault="005858CD" w:rsidP="008C041F">
      <w:pPr>
        <w:rPr>
          <w:rFonts w:ascii="Arial" w:hAnsi="Arial" w:cs="Arial"/>
          <w:b/>
          <w:color w:val="000000"/>
          <w:sz w:val="18"/>
          <w:szCs w:val="18"/>
        </w:rPr>
      </w:pPr>
    </w:p>
    <w:p w14:paraId="67648FC3" w14:textId="77777777" w:rsidR="005858CD" w:rsidRPr="005858CD" w:rsidRDefault="005858CD" w:rsidP="008C041F">
      <w:pPr>
        <w:rPr>
          <w:rFonts w:ascii="Book Antiqua" w:hAnsi="Book Antiqua" w:cs="Arial"/>
          <w:b/>
          <w:color w:val="000000"/>
          <w:sz w:val="18"/>
          <w:szCs w:val="18"/>
          <w:lang w:val="es-NI"/>
        </w:rPr>
      </w:pPr>
      <w:r w:rsidRPr="005858CD">
        <w:rPr>
          <w:rFonts w:ascii="Book Antiqua" w:hAnsi="Book Antiqua" w:cs="Arial"/>
          <w:b/>
          <w:color w:val="212121"/>
          <w:sz w:val="16"/>
          <w:szCs w:val="16"/>
          <w:lang w:val="es-NI"/>
        </w:rPr>
        <w:t>¿</w:t>
      </w:r>
      <w:r w:rsidRPr="005858CD">
        <w:rPr>
          <w:rFonts w:ascii="Book Antiqua" w:hAnsi="Book Antiqua" w:cs="Arial"/>
          <w:b/>
          <w:color w:val="000000"/>
          <w:sz w:val="18"/>
          <w:szCs w:val="18"/>
          <w:lang w:val="es-NI"/>
        </w:rPr>
        <w:t>En el ultimo mes, con qué frecuencia los/as miembro/as de su familia han realizado las siguientes actividades?</w:t>
      </w:r>
    </w:p>
    <w:p w14:paraId="17EC0D06" w14:textId="77777777" w:rsidR="005858CD" w:rsidRPr="005858CD" w:rsidRDefault="005858CD" w:rsidP="008C041F">
      <w:pPr>
        <w:rPr>
          <w:rFonts w:ascii="Book Antiqua" w:hAnsi="Book Antiqua" w:cs="Arial"/>
          <w:sz w:val="18"/>
          <w:szCs w:val="18"/>
          <w:lang w:val="es-NI"/>
        </w:rPr>
      </w:pPr>
    </w:p>
    <w:tbl>
      <w:tblPr>
        <w:tblW w:w="10980" w:type="dxa"/>
        <w:tblInd w:w="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40"/>
        <w:gridCol w:w="1890"/>
        <w:gridCol w:w="1710"/>
        <w:gridCol w:w="1710"/>
        <w:gridCol w:w="1710"/>
        <w:gridCol w:w="1710"/>
        <w:gridCol w:w="1710"/>
      </w:tblGrid>
      <w:tr w:rsidR="005858CD" w:rsidRPr="005858CD" w14:paraId="7EE51686" w14:textId="77777777" w:rsidTr="00873A6E">
        <w:trPr>
          <w:trHeight w:val="1650"/>
        </w:trPr>
        <w:tc>
          <w:tcPr>
            <w:tcW w:w="540" w:type="dxa"/>
          </w:tcPr>
          <w:p w14:paraId="55BC6935" w14:textId="77777777" w:rsidR="005858CD" w:rsidRPr="005858CD" w:rsidRDefault="005858CD" w:rsidP="008C041F">
            <w:pPr>
              <w:spacing w:before="80"/>
              <w:rPr>
                <w:rFonts w:ascii="Book Antiqua" w:hAnsi="Book Antiqua" w:cs="Arial"/>
                <w:bCs/>
                <w:color w:val="000000"/>
                <w:sz w:val="16"/>
                <w:szCs w:val="16"/>
              </w:rPr>
            </w:pPr>
            <w:r w:rsidRPr="005858CD">
              <w:rPr>
                <w:rFonts w:ascii="Book Antiqua" w:hAnsi="Book Antiqua" w:cs="Arial"/>
                <w:bCs/>
                <w:color w:val="000000"/>
                <w:sz w:val="16"/>
                <w:szCs w:val="16"/>
              </w:rPr>
              <w:t>6.2</w:t>
            </w:r>
          </w:p>
        </w:tc>
        <w:tc>
          <w:tcPr>
            <w:tcW w:w="1890" w:type="dxa"/>
          </w:tcPr>
          <w:p w14:paraId="381D01C7" w14:textId="77777777" w:rsidR="005858CD" w:rsidRPr="005858CD" w:rsidRDefault="005858CD" w:rsidP="008C041F">
            <w:pPr>
              <w:rPr>
                <w:rFonts w:ascii="Book Antiqua" w:hAnsi="Book Antiqua" w:cs="Arial"/>
                <w:sz w:val="16"/>
                <w:szCs w:val="16"/>
              </w:rPr>
            </w:pPr>
            <w:r w:rsidRPr="005858CD">
              <w:rPr>
                <w:rFonts w:ascii="Book Antiqua" w:hAnsi="Book Antiqua" w:cs="Arial"/>
                <w:bCs/>
                <w:color w:val="000000"/>
                <w:sz w:val="16"/>
                <w:szCs w:val="16"/>
              </w:rPr>
              <w:t>Actividad</w:t>
            </w:r>
          </w:p>
        </w:tc>
        <w:tc>
          <w:tcPr>
            <w:tcW w:w="1710" w:type="dxa"/>
            <w:vAlign w:val="center"/>
          </w:tcPr>
          <w:p w14:paraId="4BD9FBDF" w14:textId="77777777" w:rsidR="005858CD" w:rsidRPr="005858CD" w:rsidRDefault="005858CD" w:rsidP="008C041F">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Usted</w:t>
            </w:r>
          </w:p>
          <w:p w14:paraId="04A065EB"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18729BED"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7FD4855F"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170D8925"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7D531F30"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Varias veces al día</w:t>
            </w:r>
          </w:p>
          <w:p w14:paraId="78E070F7" w14:textId="77777777" w:rsidR="005858CD" w:rsidRPr="005858CD" w:rsidRDefault="005858CD">
            <w:pPr>
              <w:rPr>
                <w:rFonts w:ascii="Arial" w:hAnsi="Arial" w:cs="Arial"/>
                <w:b/>
                <w:bCs/>
                <w:color w:val="000000"/>
                <w:sz w:val="18"/>
                <w:szCs w:val="18"/>
                <w:lang w:val="es-NI"/>
              </w:rPr>
            </w:pPr>
            <w:r w:rsidRPr="005858CD">
              <w:rPr>
                <w:rFonts w:ascii="Book Antiqua" w:hAnsi="Book Antiqua" w:cs="Arial"/>
                <w:bCs/>
                <w:iCs/>
                <w:color w:val="000000"/>
                <w:sz w:val="14"/>
                <w:szCs w:val="14"/>
                <w:lang w:val="es-NI"/>
              </w:rPr>
              <w:t>5 = No aplica</w:t>
            </w:r>
          </w:p>
        </w:tc>
        <w:tc>
          <w:tcPr>
            <w:tcW w:w="1710" w:type="dxa"/>
            <w:vAlign w:val="center"/>
          </w:tcPr>
          <w:p w14:paraId="555AAFBC" w14:textId="77777777" w:rsidR="005858CD" w:rsidRPr="005858CD" w:rsidRDefault="005858CD">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Esposo/pareja</w:t>
            </w:r>
          </w:p>
          <w:p w14:paraId="1314B0D1"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1BCFFC86"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151755CF"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3B43915C"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2A2C41E0"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Varias veces al día</w:t>
            </w:r>
          </w:p>
          <w:p w14:paraId="7EE804D7" w14:textId="77777777" w:rsidR="005858CD" w:rsidRPr="005858CD" w:rsidRDefault="005858CD">
            <w:pPr>
              <w:rPr>
                <w:rFonts w:ascii="Arial" w:hAnsi="Arial" w:cs="Arial"/>
                <w:b/>
                <w:bCs/>
                <w:color w:val="000000"/>
                <w:sz w:val="18"/>
                <w:szCs w:val="18"/>
              </w:rPr>
            </w:pPr>
            <w:r w:rsidRPr="005858CD">
              <w:rPr>
                <w:rFonts w:ascii="Book Antiqua" w:hAnsi="Book Antiqua" w:cs="Arial"/>
                <w:bCs/>
                <w:iCs/>
                <w:color w:val="000000"/>
                <w:sz w:val="14"/>
                <w:szCs w:val="14"/>
                <w:lang w:val="es-NI"/>
              </w:rPr>
              <w:t>5 = No aplica</w:t>
            </w:r>
          </w:p>
        </w:tc>
        <w:tc>
          <w:tcPr>
            <w:tcW w:w="1710" w:type="dxa"/>
            <w:vAlign w:val="center"/>
          </w:tcPr>
          <w:p w14:paraId="260E9D79" w14:textId="77777777" w:rsidR="005858CD" w:rsidRPr="005858CD" w:rsidRDefault="005858CD">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 xml:space="preserve">Hija mayor </w:t>
            </w:r>
          </w:p>
          <w:p w14:paraId="19BBFE0E" w14:textId="77777777" w:rsidR="005858CD" w:rsidRPr="005858CD" w:rsidRDefault="005858CD">
            <w:pPr>
              <w:jc w:val="center"/>
              <w:rPr>
                <w:rFonts w:ascii="Book Antiqua" w:hAnsi="Book Antiqua" w:cs="Arial"/>
                <w:bCs/>
                <w:i/>
                <w:color w:val="000000"/>
                <w:sz w:val="14"/>
                <w:szCs w:val="14"/>
                <w:lang w:val="es-NI"/>
              </w:rPr>
            </w:pPr>
            <w:r w:rsidRPr="005858CD">
              <w:rPr>
                <w:rFonts w:ascii="Book Antiqua" w:hAnsi="Book Antiqua" w:cs="Arial"/>
                <w:bCs/>
                <w:i/>
                <w:color w:val="000000"/>
                <w:sz w:val="14"/>
                <w:szCs w:val="14"/>
                <w:lang w:val="es-NI"/>
              </w:rPr>
              <w:t>(Que vive en el hogar)</w:t>
            </w:r>
          </w:p>
          <w:p w14:paraId="5C0E236B"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2571B2E3"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15E88157"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13B6960A"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5EA6B048"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Varias veces al día</w:t>
            </w:r>
          </w:p>
          <w:p w14:paraId="3BC5B244" w14:textId="77777777" w:rsidR="005858CD" w:rsidRPr="005858CD" w:rsidRDefault="005858CD">
            <w:pPr>
              <w:rPr>
                <w:rFonts w:ascii="Arial" w:hAnsi="Arial" w:cs="Arial"/>
                <w:bCs/>
                <w:iCs/>
                <w:color w:val="000000"/>
                <w:sz w:val="14"/>
                <w:szCs w:val="14"/>
              </w:rPr>
            </w:pPr>
            <w:r w:rsidRPr="005858CD">
              <w:rPr>
                <w:rFonts w:ascii="Book Antiqua" w:hAnsi="Book Antiqua" w:cs="Arial"/>
                <w:bCs/>
                <w:iCs/>
                <w:color w:val="000000"/>
                <w:sz w:val="14"/>
                <w:szCs w:val="14"/>
                <w:lang w:val="es-NI"/>
              </w:rPr>
              <w:t>5 = No aplica</w:t>
            </w:r>
          </w:p>
        </w:tc>
        <w:tc>
          <w:tcPr>
            <w:tcW w:w="1710" w:type="dxa"/>
            <w:vAlign w:val="center"/>
          </w:tcPr>
          <w:p w14:paraId="2A54BB10" w14:textId="77777777" w:rsidR="005858CD" w:rsidRPr="005858CD" w:rsidRDefault="005858CD">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Hijo mayor</w:t>
            </w:r>
          </w:p>
          <w:p w14:paraId="0F991EEB" w14:textId="77777777" w:rsidR="005858CD" w:rsidRPr="005858CD" w:rsidRDefault="005858CD">
            <w:pPr>
              <w:jc w:val="center"/>
              <w:rPr>
                <w:rFonts w:ascii="Book Antiqua" w:hAnsi="Book Antiqua" w:cs="Arial"/>
                <w:bCs/>
                <w:i/>
                <w:color w:val="000000"/>
                <w:sz w:val="14"/>
                <w:szCs w:val="14"/>
                <w:lang w:val="es-NI"/>
              </w:rPr>
            </w:pPr>
            <w:r w:rsidRPr="005858CD">
              <w:rPr>
                <w:rFonts w:ascii="Book Antiqua" w:hAnsi="Book Antiqua" w:cs="Arial"/>
                <w:bCs/>
                <w:i/>
                <w:color w:val="000000"/>
                <w:sz w:val="14"/>
                <w:szCs w:val="14"/>
                <w:lang w:val="es-NI"/>
              </w:rPr>
              <w:t>(Que vive en el hogar)</w:t>
            </w:r>
          </w:p>
          <w:p w14:paraId="0043E981"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48619BF5"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63A8D248"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5E97F8EF"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0735CE6E"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Varias veces al día</w:t>
            </w:r>
          </w:p>
          <w:p w14:paraId="363D1120" w14:textId="77777777" w:rsidR="005858CD" w:rsidRPr="005858CD" w:rsidRDefault="005858CD">
            <w:pPr>
              <w:rPr>
                <w:rFonts w:ascii="Arial" w:hAnsi="Arial" w:cs="Arial"/>
                <w:bCs/>
                <w:iCs/>
                <w:color w:val="000000"/>
                <w:sz w:val="14"/>
                <w:szCs w:val="14"/>
              </w:rPr>
            </w:pPr>
            <w:r w:rsidRPr="005858CD">
              <w:rPr>
                <w:rFonts w:ascii="Book Antiqua" w:hAnsi="Book Antiqua" w:cs="Arial"/>
                <w:bCs/>
                <w:iCs/>
                <w:color w:val="000000"/>
                <w:sz w:val="14"/>
                <w:szCs w:val="14"/>
                <w:lang w:val="es-NI"/>
              </w:rPr>
              <w:t>5 = No aplica</w:t>
            </w:r>
          </w:p>
        </w:tc>
        <w:tc>
          <w:tcPr>
            <w:tcW w:w="1710" w:type="dxa"/>
            <w:vAlign w:val="center"/>
          </w:tcPr>
          <w:p w14:paraId="5FC6D72F" w14:textId="77777777" w:rsidR="005858CD" w:rsidRPr="005858CD" w:rsidRDefault="005858CD">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 xml:space="preserve">Otro/a </w:t>
            </w:r>
          </w:p>
          <w:p w14:paraId="6A3A08C1" w14:textId="77777777" w:rsidR="005858CD" w:rsidRPr="005858CD" w:rsidRDefault="005858CD">
            <w:pPr>
              <w:jc w:val="center"/>
              <w:rPr>
                <w:rFonts w:ascii="Book Antiqua" w:hAnsi="Book Antiqua" w:cs="Arial"/>
                <w:b/>
                <w:bCs/>
                <w:color w:val="000000"/>
                <w:sz w:val="16"/>
                <w:szCs w:val="16"/>
                <w:lang w:val="es-NI"/>
              </w:rPr>
            </w:pPr>
            <w:r w:rsidRPr="005858CD">
              <w:rPr>
                <w:rFonts w:ascii="Book Antiqua" w:hAnsi="Book Antiqua" w:cs="Arial"/>
                <w:b/>
                <w:bCs/>
                <w:color w:val="000000"/>
                <w:sz w:val="16"/>
                <w:szCs w:val="16"/>
                <w:lang w:val="es-NI"/>
              </w:rPr>
              <w:t>[                  ]</w:t>
            </w:r>
          </w:p>
          <w:p w14:paraId="4F6EB66B"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65590CB2"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24490319"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2008A848" w14:textId="77777777" w:rsidR="005858CD" w:rsidRPr="005858CD" w:rsidRDefault="005858CD">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Una vez al día</w:t>
            </w:r>
          </w:p>
          <w:p w14:paraId="072C8F9A"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Varias veces al día</w:t>
            </w:r>
          </w:p>
          <w:p w14:paraId="538DB852" w14:textId="77777777" w:rsidR="005858CD" w:rsidRPr="005858CD" w:rsidRDefault="005858CD">
            <w:pPr>
              <w:rPr>
                <w:rFonts w:ascii="Arial" w:eastAsia="Calibri" w:hAnsi="Arial" w:cs="Arial"/>
                <w:sz w:val="14"/>
                <w:szCs w:val="14"/>
                <w:lang w:eastAsia="en-GB"/>
              </w:rPr>
            </w:pPr>
            <w:r w:rsidRPr="005858CD">
              <w:rPr>
                <w:rFonts w:ascii="Book Antiqua" w:hAnsi="Book Antiqua" w:cs="Arial"/>
                <w:bCs/>
                <w:iCs/>
                <w:color w:val="000000"/>
                <w:sz w:val="14"/>
                <w:szCs w:val="14"/>
                <w:lang w:val="es-NI"/>
              </w:rPr>
              <w:t>5 = No aplica</w:t>
            </w:r>
          </w:p>
        </w:tc>
      </w:tr>
      <w:tr w:rsidR="005858CD" w:rsidRPr="005858CD" w14:paraId="6C4091E7" w14:textId="77777777" w:rsidTr="00873A6E">
        <w:trPr>
          <w:trHeight w:val="397"/>
        </w:trPr>
        <w:tc>
          <w:tcPr>
            <w:tcW w:w="540" w:type="dxa"/>
          </w:tcPr>
          <w:p w14:paraId="359E12BC"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A</w:t>
            </w:r>
          </w:p>
        </w:tc>
        <w:tc>
          <w:tcPr>
            <w:tcW w:w="1890" w:type="dxa"/>
          </w:tcPr>
          <w:p w14:paraId="0C417A1C"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 xml:space="preserve">Recolección de agua </w:t>
            </w:r>
          </w:p>
        </w:tc>
        <w:tc>
          <w:tcPr>
            <w:tcW w:w="1710" w:type="dxa"/>
            <w:vAlign w:val="center"/>
          </w:tcPr>
          <w:p w14:paraId="46F6466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70F7F37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734548AB"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401B9F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114702BC"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713B0954" w14:textId="77777777" w:rsidTr="00873A6E">
        <w:trPr>
          <w:trHeight w:val="397"/>
        </w:trPr>
        <w:tc>
          <w:tcPr>
            <w:tcW w:w="540" w:type="dxa"/>
          </w:tcPr>
          <w:p w14:paraId="042A402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B</w:t>
            </w:r>
          </w:p>
        </w:tc>
        <w:tc>
          <w:tcPr>
            <w:tcW w:w="1890" w:type="dxa"/>
          </w:tcPr>
          <w:p w14:paraId="63ED08E3"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Recolección o compra de leña</w:t>
            </w:r>
          </w:p>
        </w:tc>
        <w:tc>
          <w:tcPr>
            <w:tcW w:w="1710" w:type="dxa"/>
            <w:vAlign w:val="center"/>
          </w:tcPr>
          <w:p w14:paraId="177AE70D"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60FE977E"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22069857"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720EF3BB"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2A93AA1"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10326C59" w14:textId="77777777" w:rsidTr="00873A6E">
        <w:trPr>
          <w:trHeight w:val="397"/>
        </w:trPr>
        <w:tc>
          <w:tcPr>
            <w:tcW w:w="540" w:type="dxa"/>
          </w:tcPr>
          <w:p w14:paraId="00E1C95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C</w:t>
            </w:r>
          </w:p>
        </w:tc>
        <w:tc>
          <w:tcPr>
            <w:tcW w:w="1890" w:type="dxa"/>
          </w:tcPr>
          <w:p w14:paraId="70F6B359"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 xml:space="preserve">Preparación de la comida/lavar trastes </w:t>
            </w:r>
          </w:p>
        </w:tc>
        <w:tc>
          <w:tcPr>
            <w:tcW w:w="1710" w:type="dxa"/>
            <w:vAlign w:val="center"/>
          </w:tcPr>
          <w:p w14:paraId="434B50D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3B6A63D6"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7B84E70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349ED82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CD7DC7C"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6DAA2D5B" w14:textId="77777777" w:rsidTr="00873A6E">
        <w:trPr>
          <w:trHeight w:val="397"/>
        </w:trPr>
        <w:tc>
          <w:tcPr>
            <w:tcW w:w="540" w:type="dxa"/>
          </w:tcPr>
          <w:p w14:paraId="79734A0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D</w:t>
            </w:r>
          </w:p>
        </w:tc>
        <w:tc>
          <w:tcPr>
            <w:tcW w:w="1890" w:type="dxa"/>
          </w:tcPr>
          <w:p w14:paraId="56EAE0A1"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 xml:space="preserve">Limpiar y arreglar la casa </w:t>
            </w:r>
          </w:p>
        </w:tc>
        <w:tc>
          <w:tcPr>
            <w:tcW w:w="1710" w:type="dxa"/>
            <w:vAlign w:val="center"/>
          </w:tcPr>
          <w:p w14:paraId="0BB8596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3A4B9BBD"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01A28625"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300DCC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6323C0D9"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0AFE9F48" w14:textId="77777777" w:rsidTr="00873A6E">
        <w:trPr>
          <w:trHeight w:val="397"/>
        </w:trPr>
        <w:tc>
          <w:tcPr>
            <w:tcW w:w="540" w:type="dxa"/>
          </w:tcPr>
          <w:p w14:paraId="349AE4C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E</w:t>
            </w:r>
          </w:p>
        </w:tc>
        <w:tc>
          <w:tcPr>
            <w:tcW w:w="1890" w:type="dxa"/>
          </w:tcPr>
          <w:p w14:paraId="3548B0A4"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 xml:space="preserve">Lavar, secar, planchar, arreglar ropa </w:t>
            </w:r>
          </w:p>
        </w:tc>
        <w:tc>
          <w:tcPr>
            <w:tcW w:w="1710" w:type="dxa"/>
            <w:vAlign w:val="center"/>
          </w:tcPr>
          <w:p w14:paraId="40AD5C72"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5C0453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C2C844E"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62DC940D"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328B042"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01214817" w14:textId="77777777" w:rsidTr="00873A6E">
        <w:trPr>
          <w:trHeight w:val="397"/>
        </w:trPr>
        <w:tc>
          <w:tcPr>
            <w:tcW w:w="540" w:type="dxa"/>
          </w:tcPr>
          <w:p w14:paraId="653155A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F</w:t>
            </w:r>
          </w:p>
        </w:tc>
        <w:tc>
          <w:tcPr>
            <w:tcW w:w="1890" w:type="dxa"/>
          </w:tcPr>
          <w:p w14:paraId="30B1142F" w14:textId="77777777" w:rsidR="005858CD" w:rsidRPr="005858CD" w:rsidRDefault="005858CD" w:rsidP="008C041F">
            <w:pPr>
              <w:rPr>
                <w:rFonts w:ascii="Book Antiqua" w:hAnsi="Book Antiqua" w:cs="Arial"/>
                <w:sz w:val="16"/>
                <w:szCs w:val="16"/>
              </w:rPr>
            </w:pPr>
            <w:r w:rsidRPr="005858CD">
              <w:rPr>
                <w:rFonts w:ascii="Book Antiqua" w:hAnsi="Book Antiqua" w:cs="Arial"/>
                <w:sz w:val="16"/>
                <w:szCs w:val="16"/>
              </w:rPr>
              <w:t>Cuido de niño/as</w:t>
            </w:r>
          </w:p>
        </w:tc>
        <w:tc>
          <w:tcPr>
            <w:tcW w:w="1710" w:type="dxa"/>
            <w:vAlign w:val="center"/>
          </w:tcPr>
          <w:p w14:paraId="1460215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6EC17BE"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6A57A7A4"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3FC733B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816E378"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10EEF076" w14:textId="77777777" w:rsidTr="00873A6E">
        <w:trPr>
          <w:trHeight w:val="397"/>
        </w:trPr>
        <w:tc>
          <w:tcPr>
            <w:tcW w:w="540" w:type="dxa"/>
          </w:tcPr>
          <w:p w14:paraId="74D7577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lastRenderedPageBreak/>
              <w:t>G</w:t>
            </w:r>
          </w:p>
        </w:tc>
        <w:tc>
          <w:tcPr>
            <w:tcW w:w="1890" w:type="dxa"/>
          </w:tcPr>
          <w:p w14:paraId="0444855F"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Cuido de personas de tercera edad</w:t>
            </w:r>
          </w:p>
        </w:tc>
        <w:tc>
          <w:tcPr>
            <w:tcW w:w="1710" w:type="dxa"/>
            <w:vAlign w:val="center"/>
          </w:tcPr>
          <w:p w14:paraId="53BD519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20F11EE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D3A303E"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1C59B58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3896EC2B"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6D4871B3" w14:textId="77777777" w:rsidTr="00873A6E">
        <w:trPr>
          <w:trHeight w:val="397"/>
        </w:trPr>
        <w:tc>
          <w:tcPr>
            <w:tcW w:w="540" w:type="dxa"/>
          </w:tcPr>
          <w:p w14:paraId="398B933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H</w:t>
            </w:r>
          </w:p>
        </w:tc>
        <w:tc>
          <w:tcPr>
            <w:tcW w:w="1890" w:type="dxa"/>
          </w:tcPr>
          <w:p w14:paraId="3A9C8A17"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bCs/>
                <w:color w:val="000000"/>
                <w:sz w:val="16"/>
                <w:szCs w:val="16"/>
                <w:lang w:val="es-NI"/>
              </w:rPr>
              <w:t>Cuido de personas enfermas, embarazadas y/o con discapacidad</w:t>
            </w:r>
          </w:p>
        </w:tc>
        <w:tc>
          <w:tcPr>
            <w:tcW w:w="1710" w:type="dxa"/>
            <w:vAlign w:val="center"/>
          </w:tcPr>
          <w:p w14:paraId="226A62A8"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665799C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9B248F8"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7A6335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1E0CD4B2"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2B99075E" w14:textId="77777777" w:rsidTr="00873A6E">
        <w:trPr>
          <w:trHeight w:val="397"/>
        </w:trPr>
        <w:tc>
          <w:tcPr>
            <w:tcW w:w="540" w:type="dxa"/>
          </w:tcPr>
          <w:p w14:paraId="0F3ED35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I</w:t>
            </w:r>
          </w:p>
        </w:tc>
        <w:tc>
          <w:tcPr>
            <w:tcW w:w="1890" w:type="dxa"/>
          </w:tcPr>
          <w:p w14:paraId="783E9F6C"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 xml:space="preserve">Cuido de personas de la comunidad </w:t>
            </w:r>
          </w:p>
        </w:tc>
        <w:tc>
          <w:tcPr>
            <w:tcW w:w="1710" w:type="dxa"/>
            <w:vAlign w:val="center"/>
          </w:tcPr>
          <w:p w14:paraId="1576E4E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0D373BE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1B027858"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48CF96DE"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710" w:type="dxa"/>
            <w:vAlign w:val="center"/>
          </w:tcPr>
          <w:p w14:paraId="5EDBA6C0" w14:textId="77777777" w:rsidR="005858CD" w:rsidRPr="005858CD" w:rsidRDefault="005858CD" w:rsidP="008C041F">
            <w:pPr>
              <w:jc w:val="center"/>
              <w:rPr>
                <w:b/>
                <w:bCs/>
                <w:color w:val="000000"/>
                <w:sz w:val="28"/>
                <w:szCs w:val="28"/>
              </w:rPr>
            </w:pPr>
            <w:r w:rsidRPr="005858CD">
              <w:rPr>
                <w:b/>
                <w:bCs/>
                <w:color w:val="000000"/>
                <w:sz w:val="28"/>
                <w:szCs w:val="28"/>
              </w:rPr>
              <w:t>|__|</w:t>
            </w:r>
          </w:p>
        </w:tc>
      </w:tr>
    </w:tbl>
    <w:p w14:paraId="28BC5F0A" w14:textId="77777777" w:rsidR="005858CD" w:rsidRPr="005858CD" w:rsidRDefault="005858CD" w:rsidP="008C041F">
      <w:pPr>
        <w:rPr>
          <w:rFonts w:ascii="Arial" w:hAnsi="Arial" w:cs="Arial"/>
          <w:b/>
          <w:color w:val="000000"/>
          <w:sz w:val="18"/>
          <w:szCs w:val="18"/>
        </w:rPr>
      </w:pPr>
    </w:p>
    <w:tbl>
      <w:tblPr>
        <w:tblW w:w="9270" w:type="dxa"/>
        <w:tblInd w:w="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40"/>
        <w:gridCol w:w="4280"/>
        <w:gridCol w:w="2740"/>
        <w:gridCol w:w="1710"/>
      </w:tblGrid>
      <w:tr w:rsidR="005858CD" w:rsidRPr="005858CD" w14:paraId="6EA9058F" w14:textId="77777777" w:rsidTr="00873A6E">
        <w:trPr>
          <w:trHeight w:val="1137"/>
        </w:trPr>
        <w:tc>
          <w:tcPr>
            <w:tcW w:w="540" w:type="dxa"/>
            <w:vAlign w:val="center"/>
          </w:tcPr>
          <w:p w14:paraId="5D96DDD2" w14:textId="77777777" w:rsidR="005858CD" w:rsidRPr="005858CD" w:rsidRDefault="005858CD" w:rsidP="008C041F">
            <w:pPr>
              <w:rPr>
                <w:rFonts w:ascii="Book Antiqua" w:hAnsi="Book Antiqua" w:cs="Arial"/>
                <w:bCs/>
                <w:sz w:val="16"/>
                <w:szCs w:val="16"/>
              </w:rPr>
            </w:pPr>
            <w:bookmarkStart w:id="190" w:name="_Ref393356788"/>
            <w:r w:rsidRPr="005858CD">
              <w:rPr>
                <w:rFonts w:ascii="Book Antiqua" w:hAnsi="Book Antiqua" w:cs="Arial"/>
                <w:bCs/>
                <w:sz w:val="16"/>
                <w:szCs w:val="16"/>
              </w:rPr>
              <w:t>6.3</w:t>
            </w:r>
          </w:p>
        </w:tc>
        <w:tc>
          <w:tcPr>
            <w:tcW w:w="4280" w:type="dxa"/>
            <w:vAlign w:val="center"/>
          </w:tcPr>
          <w:p w14:paraId="7FC89D4C" w14:textId="77777777" w:rsidR="005858CD" w:rsidRPr="005858CD" w:rsidRDefault="005858CD" w:rsidP="008C041F">
            <w:pPr>
              <w:autoSpaceDE w:val="0"/>
              <w:autoSpaceDN w:val="0"/>
              <w:adjustRightInd w:val="0"/>
              <w:rPr>
                <w:rFonts w:ascii="Book Antiqua" w:hAnsi="Book Antiqua" w:cs="Arial"/>
                <w:b/>
                <w:color w:val="212121"/>
                <w:sz w:val="16"/>
                <w:szCs w:val="16"/>
                <w:lang w:val="es-NI"/>
              </w:rPr>
            </w:pPr>
          </w:p>
          <w:p w14:paraId="4E476EE9" w14:textId="77777777" w:rsidR="005858CD" w:rsidRPr="005858CD" w:rsidRDefault="005858CD" w:rsidP="008C041F">
            <w:pPr>
              <w:autoSpaceDE w:val="0"/>
              <w:autoSpaceDN w:val="0"/>
              <w:adjustRightInd w:val="0"/>
              <w:rPr>
                <w:rFonts w:ascii="Book Antiqua" w:hAnsi="Book Antiqua" w:cs="Arial"/>
                <w:b/>
                <w:color w:val="212121"/>
                <w:sz w:val="16"/>
                <w:szCs w:val="16"/>
                <w:lang w:val="es-NI"/>
              </w:rPr>
            </w:pPr>
            <w:r w:rsidRPr="005858CD">
              <w:rPr>
                <w:rFonts w:ascii="Book Antiqua" w:hAnsi="Book Antiqua" w:cs="Arial"/>
                <w:b/>
                <w:color w:val="212121"/>
                <w:sz w:val="16"/>
                <w:szCs w:val="16"/>
                <w:lang w:val="es-NI"/>
              </w:rPr>
              <w:t xml:space="preserve">¿Alguna vez han pagado por realizar alguno de estos trabajos? </w:t>
            </w:r>
          </w:p>
          <w:p w14:paraId="2576B5B1" w14:textId="77777777" w:rsidR="005858CD" w:rsidRPr="005858CD" w:rsidRDefault="005858CD" w:rsidP="008C041F">
            <w:pPr>
              <w:autoSpaceDE w:val="0"/>
              <w:autoSpaceDN w:val="0"/>
              <w:adjustRightInd w:val="0"/>
              <w:rPr>
                <w:rFonts w:ascii="Book Antiqua" w:eastAsia="Calibri" w:hAnsi="Book Antiqua" w:cs="Arial"/>
                <w:sz w:val="14"/>
                <w:szCs w:val="14"/>
                <w:lang w:val="es-NI" w:eastAsia="en-GB"/>
              </w:rPr>
            </w:pPr>
            <w:r w:rsidRPr="005858CD">
              <w:rPr>
                <w:rFonts w:ascii="Book Antiqua" w:eastAsia="Calibri" w:hAnsi="Book Antiqua" w:cs="Arial"/>
                <w:sz w:val="14"/>
                <w:szCs w:val="14"/>
                <w:lang w:val="es-NI" w:eastAsia="en-GB"/>
              </w:rPr>
              <w:t>0 = No</w:t>
            </w:r>
          </w:p>
          <w:p w14:paraId="562500FF" w14:textId="77777777" w:rsidR="005858CD" w:rsidRPr="005858CD" w:rsidRDefault="005858CD" w:rsidP="008C041F">
            <w:pPr>
              <w:autoSpaceDE w:val="0"/>
              <w:autoSpaceDN w:val="0"/>
              <w:adjustRightInd w:val="0"/>
              <w:rPr>
                <w:rFonts w:ascii="Arial" w:eastAsia="Calibri" w:hAnsi="Arial" w:cs="Arial"/>
                <w:sz w:val="14"/>
                <w:szCs w:val="14"/>
                <w:lang w:val="es-NI" w:eastAsia="en-GB"/>
              </w:rPr>
            </w:pPr>
            <w:r w:rsidRPr="005858CD">
              <w:rPr>
                <w:rFonts w:ascii="Book Antiqua" w:eastAsia="Calibri" w:hAnsi="Book Antiqua" w:cs="Arial"/>
                <w:sz w:val="14"/>
                <w:szCs w:val="14"/>
                <w:lang w:val="es-NI" w:eastAsia="en-GB"/>
              </w:rPr>
              <w:t>1 = Si</w:t>
            </w:r>
          </w:p>
          <w:p w14:paraId="64A40B3B" w14:textId="77777777" w:rsidR="005858CD" w:rsidRPr="005858CD" w:rsidRDefault="005858CD" w:rsidP="008C041F">
            <w:pPr>
              <w:rPr>
                <w:rFonts w:ascii="Book Antiqua" w:hAnsi="Book Antiqua" w:cs="Arial"/>
                <w:b/>
                <w:bCs/>
                <w:sz w:val="18"/>
                <w:lang w:val="es-NI"/>
              </w:rPr>
            </w:pPr>
          </w:p>
        </w:tc>
        <w:tc>
          <w:tcPr>
            <w:tcW w:w="2740" w:type="dxa"/>
            <w:vAlign w:val="bottom"/>
          </w:tcPr>
          <w:p w14:paraId="044FB30D" w14:textId="77777777" w:rsidR="005858CD" w:rsidRPr="005858CD" w:rsidRDefault="005858CD">
            <w:pPr>
              <w:autoSpaceDE w:val="0"/>
              <w:autoSpaceDN w:val="0"/>
              <w:adjustRightInd w:val="0"/>
              <w:rPr>
                <w:rFonts w:ascii="Arial" w:eastAsia="Calibri" w:hAnsi="Arial" w:cs="Arial"/>
                <w:sz w:val="14"/>
                <w:szCs w:val="14"/>
                <w:lang w:val="es-NI" w:eastAsia="en-GB"/>
              </w:rPr>
            </w:pPr>
          </w:p>
        </w:tc>
        <w:tc>
          <w:tcPr>
            <w:tcW w:w="1710" w:type="dxa"/>
            <w:vAlign w:val="center"/>
          </w:tcPr>
          <w:p w14:paraId="00949A52" w14:textId="77777777" w:rsidR="005858CD" w:rsidRPr="005858CD" w:rsidRDefault="005858CD">
            <w:pPr>
              <w:pBdr>
                <w:bottom w:val="single" w:sz="12" w:space="1" w:color="auto"/>
              </w:pBdr>
              <w:autoSpaceDE w:val="0"/>
              <w:autoSpaceDN w:val="0"/>
              <w:adjustRightInd w:val="0"/>
              <w:jc w:val="center"/>
              <w:rPr>
                <w:rFonts w:ascii="Book Antiqua" w:hAnsi="Book Antiqua" w:cs="Arial"/>
                <w:b/>
                <w:bCs/>
                <w:sz w:val="16"/>
                <w:szCs w:val="16"/>
                <w:lang w:val="es-NI"/>
              </w:rPr>
            </w:pPr>
            <w:r w:rsidRPr="005858CD">
              <w:rPr>
                <w:rFonts w:ascii="Book Antiqua" w:hAnsi="Book Antiqua" w:cs="Arial"/>
                <w:b/>
                <w:color w:val="212121"/>
                <w:sz w:val="16"/>
                <w:szCs w:val="16"/>
                <w:lang w:val="es-NI"/>
              </w:rPr>
              <w:t>¿</w:t>
            </w:r>
            <w:r w:rsidRPr="005858CD">
              <w:rPr>
                <w:rFonts w:ascii="Book Antiqua" w:hAnsi="Book Antiqua" w:cs="Arial"/>
                <w:b/>
                <w:bCs/>
                <w:sz w:val="16"/>
                <w:szCs w:val="16"/>
                <w:lang w:val="es-NI"/>
              </w:rPr>
              <w:t>Cuál de ellos?</w:t>
            </w:r>
          </w:p>
          <w:p w14:paraId="5FF0EFCA" w14:textId="77777777" w:rsidR="005858CD" w:rsidRPr="005858CD" w:rsidRDefault="005858CD">
            <w:pPr>
              <w:pBdr>
                <w:bottom w:val="single" w:sz="12" w:space="1" w:color="auto"/>
              </w:pBdr>
              <w:autoSpaceDE w:val="0"/>
              <w:autoSpaceDN w:val="0"/>
              <w:adjustRightInd w:val="0"/>
              <w:jc w:val="center"/>
              <w:rPr>
                <w:rFonts w:ascii="Book Antiqua" w:hAnsi="Book Antiqua" w:cs="Arial"/>
                <w:bCs/>
                <w:sz w:val="14"/>
                <w:szCs w:val="14"/>
                <w:lang w:val="es-NI"/>
              </w:rPr>
            </w:pPr>
          </w:p>
          <w:p w14:paraId="392BF479" w14:textId="77777777" w:rsidR="005858CD" w:rsidRPr="005858CD" w:rsidRDefault="005858CD">
            <w:pPr>
              <w:pBdr>
                <w:bottom w:val="single" w:sz="12" w:space="1" w:color="auto"/>
              </w:pBdr>
              <w:autoSpaceDE w:val="0"/>
              <w:autoSpaceDN w:val="0"/>
              <w:adjustRightInd w:val="0"/>
              <w:jc w:val="center"/>
              <w:rPr>
                <w:rFonts w:ascii="Arial" w:hAnsi="Arial" w:cs="Arial"/>
                <w:bCs/>
                <w:sz w:val="14"/>
                <w:szCs w:val="14"/>
                <w:lang w:val="es-NI"/>
              </w:rPr>
            </w:pPr>
          </w:p>
          <w:p w14:paraId="664E8DF6" w14:textId="77777777" w:rsidR="005858CD" w:rsidRPr="005858CD" w:rsidRDefault="005858CD">
            <w:pPr>
              <w:autoSpaceDE w:val="0"/>
              <w:autoSpaceDN w:val="0"/>
              <w:adjustRightInd w:val="0"/>
              <w:jc w:val="center"/>
              <w:rPr>
                <w:b/>
                <w:bCs/>
                <w:sz w:val="28"/>
                <w:szCs w:val="28"/>
                <w:lang w:val="es-NI"/>
              </w:rPr>
            </w:pPr>
          </w:p>
        </w:tc>
      </w:tr>
    </w:tbl>
    <w:p w14:paraId="65472E11" w14:textId="77777777" w:rsidR="005858CD" w:rsidRPr="005858CD" w:rsidRDefault="005858CD" w:rsidP="008C041F">
      <w:pPr>
        <w:rPr>
          <w:rFonts w:ascii="Book Antiqua" w:hAnsi="Book Antiqua" w:cs="Arial"/>
          <w:sz w:val="20"/>
          <w:szCs w:val="20"/>
          <w:u w:val="single"/>
          <w:lang w:val="es-NI"/>
        </w:rPr>
      </w:pPr>
    </w:p>
    <w:p w14:paraId="76BF2A66" w14:textId="77777777" w:rsidR="005858CD" w:rsidRPr="005858CD" w:rsidRDefault="005858CD" w:rsidP="008C041F">
      <w:pPr>
        <w:rPr>
          <w:rFonts w:ascii="Book Antiqua" w:hAnsi="Book Antiqua" w:cs="Arial"/>
          <w:b/>
          <w:bCs/>
          <w:sz w:val="20"/>
          <w:szCs w:val="20"/>
          <w:u w:val="single"/>
          <w:lang w:val="es-NI"/>
        </w:rPr>
      </w:pPr>
      <w:r w:rsidRPr="005858CD">
        <w:rPr>
          <w:rFonts w:ascii="Book Antiqua" w:hAnsi="Book Antiqua" w:cs="Arial"/>
          <w:b/>
          <w:bCs/>
          <w:sz w:val="20"/>
          <w:szCs w:val="20"/>
          <w:u w:val="single"/>
        </w:rPr>
        <w:t>7) Normas y Percepciones</w:t>
      </w:r>
      <w:bookmarkEnd w:id="190"/>
      <w:r w:rsidRPr="005858CD">
        <w:rPr>
          <w:rFonts w:ascii="Book Antiqua" w:hAnsi="Book Antiqua" w:cs="Arial"/>
          <w:b/>
          <w:bCs/>
          <w:sz w:val="20"/>
          <w:szCs w:val="20"/>
          <w:u w:val="single"/>
        </w:rPr>
        <w:t xml:space="preserve"> </w:t>
      </w:r>
    </w:p>
    <w:p w14:paraId="1ECA7E4C" w14:textId="77777777" w:rsidR="005858CD" w:rsidRPr="005858CD" w:rsidRDefault="005858CD" w:rsidP="008C041F">
      <w:pPr>
        <w:rPr>
          <w:rFonts w:ascii="Arial" w:hAnsi="Arial" w:cs="Arial"/>
          <w:b/>
          <w:color w:val="000000"/>
          <w:sz w:val="18"/>
          <w:szCs w:val="18"/>
        </w:rPr>
      </w:pPr>
    </w:p>
    <w:tbl>
      <w:tblPr>
        <w:tblpPr w:leftFromText="180" w:rightFromText="180" w:vertAnchor="text" w:tblpX="1" w:tblpY="1"/>
        <w:tblOverlap w:val="never"/>
        <w:tblW w:w="9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3990"/>
        <w:gridCol w:w="35"/>
        <w:gridCol w:w="3385"/>
        <w:gridCol w:w="1170"/>
      </w:tblGrid>
      <w:tr w:rsidR="005858CD" w:rsidRPr="005858CD" w14:paraId="671A81CB" w14:textId="77777777" w:rsidTr="00873A6E">
        <w:trPr>
          <w:trHeight w:val="987"/>
        </w:trPr>
        <w:tc>
          <w:tcPr>
            <w:tcW w:w="567" w:type="dxa"/>
            <w:tcBorders>
              <w:top w:val="single" w:sz="8" w:space="0" w:color="auto"/>
              <w:left w:val="single" w:sz="12" w:space="0" w:color="auto"/>
              <w:bottom w:val="single" w:sz="8" w:space="0" w:color="auto"/>
              <w:right w:val="single" w:sz="4" w:space="0" w:color="000000"/>
            </w:tcBorders>
          </w:tcPr>
          <w:p w14:paraId="595BEB2C" w14:textId="77777777" w:rsidR="005858CD" w:rsidRPr="005858CD" w:rsidRDefault="005858CD" w:rsidP="008C041F">
            <w:pPr>
              <w:spacing w:before="80"/>
              <w:rPr>
                <w:rFonts w:ascii="Book Antiqua" w:hAnsi="Book Antiqua" w:cs="Arial"/>
                <w:sz w:val="16"/>
                <w:szCs w:val="16"/>
              </w:rPr>
            </w:pPr>
            <w:r w:rsidRPr="005858CD">
              <w:rPr>
                <w:rFonts w:ascii="Book Antiqua" w:hAnsi="Book Antiqua" w:cs="Arial"/>
                <w:sz w:val="16"/>
                <w:szCs w:val="16"/>
              </w:rPr>
              <w:t>7.1</w:t>
            </w:r>
          </w:p>
        </w:tc>
        <w:tc>
          <w:tcPr>
            <w:tcW w:w="4025" w:type="dxa"/>
            <w:gridSpan w:val="2"/>
            <w:tcBorders>
              <w:top w:val="single" w:sz="8" w:space="0" w:color="auto"/>
              <w:left w:val="single" w:sz="4" w:space="0" w:color="000000"/>
              <w:bottom w:val="single" w:sz="8" w:space="0" w:color="auto"/>
              <w:right w:val="single" w:sz="4" w:space="0" w:color="000000"/>
            </w:tcBorders>
            <w:vAlign w:val="center"/>
          </w:tcPr>
          <w:p w14:paraId="3659CE5A" w14:textId="77777777" w:rsidR="005858CD" w:rsidRPr="005858CD" w:rsidRDefault="005858CD" w:rsidP="008C041F">
            <w:pPr>
              <w:rPr>
                <w:rFonts w:ascii="Book Antiqua" w:hAnsi="Book Antiqua" w:cs="Arial"/>
                <w:b/>
                <w:bCs/>
                <w:sz w:val="16"/>
                <w:szCs w:val="16"/>
              </w:rPr>
            </w:pPr>
            <w:r w:rsidRPr="005858CD">
              <w:rPr>
                <w:rFonts w:ascii="Book Antiqua" w:hAnsi="Book Antiqua" w:cs="Arial"/>
                <w:b/>
                <w:color w:val="212121"/>
                <w:sz w:val="16"/>
                <w:szCs w:val="16"/>
              </w:rPr>
              <w:t xml:space="preserve">¿Quién en tu hogar contribuye más significativamente al bienestar de la familia? </w:t>
            </w:r>
          </w:p>
        </w:tc>
        <w:tc>
          <w:tcPr>
            <w:tcW w:w="3385" w:type="dxa"/>
            <w:tcBorders>
              <w:top w:val="single" w:sz="8" w:space="0" w:color="auto"/>
              <w:left w:val="single" w:sz="4" w:space="0" w:color="000000"/>
              <w:bottom w:val="single" w:sz="8" w:space="0" w:color="auto"/>
              <w:right w:val="single" w:sz="8" w:space="0" w:color="000000"/>
            </w:tcBorders>
            <w:vAlign w:val="center"/>
          </w:tcPr>
          <w:p w14:paraId="2E4E2498"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Yo</w:t>
            </w:r>
          </w:p>
          <w:p w14:paraId="06DEA327"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Mi pareja</w:t>
            </w:r>
          </w:p>
          <w:p w14:paraId="2625D108" w14:textId="77777777" w:rsidR="005858CD" w:rsidRPr="005858CD" w:rsidRDefault="005858CD" w:rsidP="00293176">
            <w:pPr>
              <w:rPr>
                <w:rFonts w:ascii="Book Antiqua" w:hAnsi="Book Antiqua" w:cs="Arial"/>
                <w:sz w:val="14"/>
                <w:szCs w:val="14"/>
              </w:rPr>
            </w:pPr>
            <w:r w:rsidRPr="005858CD">
              <w:rPr>
                <w:rFonts w:ascii="Book Antiqua" w:hAnsi="Book Antiqua" w:cs="Arial"/>
                <w:sz w:val="14"/>
                <w:szCs w:val="14"/>
              </w:rPr>
              <w:t>3 = Otra mujer en el hogar</w:t>
            </w:r>
          </w:p>
          <w:p w14:paraId="13D0ECC9"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4 = Otro hombre en el hogar</w:t>
            </w:r>
          </w:p>
          <w:p w14:paraId="51189C6E"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5 = No sé</w:t>
            </w:r>
          </w:p>
          <w:p w14:paraId="383617C1" w14:textId="77777777" w:rsidR="005858CD" w:rsidRPr="005858CD" w:rsidRDefault="005858CD" w:rsidP="00293176">
            <w:pPr>
              <w:rPr>
                <w:rFonts w:ascii="Arial" w:hAnsi="Arial" w:cs="Arial"/>
                <w:sz w:val="14"/>
                <w:szCs w:val="14"/>
              </w:rPr>
            </w:pPr>
            <w:r w:rsidRPr="005858CD">
              <w:rPr>
                <w:rFonts w:ascii="Book Antiqua" w:hAnsi="Book Antiqua" w:cs="Arial"/>
                <w:sz w:val="14"/>
                <w:szCs w:val="14"/>
              </w:rPr>
              <w:t>6 = Otro/a:________________________________</w:t>
            </w:r>
          </w:p>
        </w:tc>
        <w:tc>
          <w:tcPr>
            <w:tcW w:w="1170" w:type="dxa"/>
            <w:tcBorders>
              <w:top w:val="single" w:sz="8" w:space="0" w:color="auto"/>
              <w:left w:val="single" w:sz="8" w:space="0" w:color="000000"/>
              <w:bottom w:val="single" w:sz="8" w:space="0" w:color="auto"/>
              <w:right w:val="single" w:sz="8" w:space="0" w:color="auto"/>
            </w:tcBorders>
            <w:vAlign w:val="center"/>
          </w:tcPr>
          <w:p w14:paraId="0E3A2141" w14:textId="77777777" w:rsidR="005858CD" w:rsidRPr="005858CD" w:rsidRDefault="005858CD" w:rsidP="00293176">
            <w:pPr>
              <w:jc w:val="center"/>
              <w:rPr>
                <w:b/>
                <w:bCs/>
                <w:color w:val="000000"/>
                <w:sz w:val="28"/>
                <w:szCs w:val="28"/>
              </w:rPr>
            </w:pPr>
            <w:r w:rsidRPr="005858CD">
              <w:rPr>
                <w:b/>
                <w:bCs/>
                <w:color w:val="000000"/>
                <w:sz w:val="28"/>
                <w:szCs w:val="28"/>
              </w:rPr>
              <w:t>|__|</w:t>
            </w:r>
          </w:p>
        </w:tc>
      </w:tr>
      <w:tr w:rsidR="005858CD" w:rsidRPr="005858CD" w14:paraId="2F1EE11D" w14:textId="77777777" w:rsidTr="00873A6E">
        <w:trPr>
          <w:trHeight w:val="495"/>
        </w:trPr>
        <w:tc>
          <w:tcPr>
            <w:tcW w:w="567" w:type="dxa"/>
            <w:tcBorders>
              <w:top w:val="single" w:sz="8" w:space="0" w:color="auto"/>
              <w:left w:val="single" w:sz="12" w:space="0" w:color="auto"/>
              <w:bottom w:val="single" w:sz="8" w:space="0" w:color="auto"/>
              <w:right w:val="single" w:sz="4" w:space="0" w:color="000000"/>
            </w:tcBorders>
          </w:tcPr>
          <w:p w14:paraId="7EF23803" w14:textId="77777777" w:rsidR="005858CD" w:rsidRPr="005858CD" w:rsidRDefault="005858CD" w:rsidP="008C041F">
            <w:pPr>
              <w:spacing w:before="80"/>
              <w:rPr>
                <w:rFonts w:ascii="Book Antiqua" w:hAnsi="Book Antiqua" w:cs="Arial"/>
                <w:sz w:val="16"/>
                <w:szCs w:val="16"/>
                <w:highlight w:val="yellow"/>
              </w:rPr>
            </w:pPr>
            <w:r w:rsidRPr="005858CD">
              <w:rPr>
                <w:rFonts w:ascii="Book Antiqua" w:hAnsi="Book Antiqua" w:cs="Arial"/>
                <w:sz w:val="16"/>
                <w:szCs w:val="16"/>
              </w:rPr>
              <w:t>7.2</w:t>
            </w:r>
          </w:p>
        </w:tc>
        <w:tc>
          <w:tcPr>
            <w:tcW w:w="4025" w:type="dxa"/>
            <w:gridSpan w:val="2"/>
            <w:tcBorders>
              <w:top w:val="single" w:sz="8" w:space="0" w:color="auto"/>
              <w:left w:val="single" w:sz="4" w:space="0" w:color="000000"/>
              <w:bottom w:val="single" w:sz="8" w:space="0" w:color="auto"/>
              <w:right w:val="single" w:sz="4" w:space="0" w:color="000000"/>
            </w:tcBorders>
            <w:vAlign w:val="center"/>
          </w:tcPr>
          <w:p w14:paraId="2D5BC12E" w14:textId="77777777" w:rsidR="005858CD" w:rsidRPr="005858CD" w:rsidRDefault="005858CD" w:rsidP="008C041F">
            <w:pPr>
              <w:rPr>
                <w:rFonts w:ascii="Book Antiqua" w:hAnsi="Book Antiqua" w:cs="Arial"/>
                <w:b/>
                <w:bCs/>
                <w:sz w:val="16"/>
                <w:szCs w:val="16"/>
                <w:lang w:val="es-NI"/>
              </w:rPr>
            </w:pPr>
            <w:r w:rsidRPr="005858CD">
              <w:rPr>
                <w:rFonts w:ascii="Book Antiqua" w:hAnsi="Book Antiqua" w:cs="Arial"/>
                <w:b/>
                <w:color w:val="212121"/>
                <w:sz w:val="16"/>
                <w:szCs w:val="16"/>
                <w:lang w:val="es-NI"/>
              </w:rPr>
              <w:t>¿Hay tareas que las mujeres desempeñan mejor que los hombres de forma natural?</w:t>
            </w:r>
          </w:p>
        </w:tc>
        <w:tc>
          <w:tcPr>
            <w:tcW w:w="3385" w:type="dxa"/>
            <w:tcBorders>
              <w:top w:val="single" w:sz="8" w:space="0" w:color="auto"/>
              <w:left w:val="single" w:sz="4" w:space="0" w:color="000000"/>
              <w:bottom w:val="single" w:sz="8" w:space="0" w:color="auto"/>
              <w:right w:val="single" w:sz="8" w:space="0" w:color="000000"/>
            </w:tcBorders>
            <w:vAlign w:val="center"/>
          </w:tcPr>
          <w:p w14:paraId="340EBF61" w14:textId="77777777" w:rsidR="005858CD" w:rsidRPr="005858CD" w:rsidRDefault="005858CD" w:rsidP="008C041F">
            <w:pPr>
              <w:rPr>
                <w:rFonts w:ascii="Book Antiqua" w:hAnsi="Book Antiqua" w:cs="Arial"/>
                <w:b/>
                <w:bCs/>
                <w:iCs/>
                <w:color w:val="000000"/>
                <w:sz w:val="14"/>
                <w:szCs w:val="14"/>
              </w:rPr>
            </w:pPr>
            <w:r w:rsidRPr="005858CD">
              <w:rPr>
                <w:rFonts w:ascii="Book Antiqua" w:hAnsi="Book Antiqua" w:cs="Arial"/>
                <w:bCs/>
                <w:iCs/>
                <w:color w:val="000000"/>
                <w:sz w:val="14"/>
                <w:szCs w:val="14"/>
              </w:rPr>
              <w:t xml:space="preserve">0 = No </w:t>
            </w:r>
          </w:p>
          <w:p w14:paraId="34D0B286"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 xml:space="preserve">1 = Yes </w:t>
            </w:r>
          </w:p>
        </w:tc>
        <w:tc>
          <w:tcPr>
            <w:tcW w:w="1170" w:type="dxa"/>
            <w:tcBorders>
              <w:top w:val="single" w:sz="8" w:space="0" w:color="auto"/>
              <w:left w:val="single" w:sz="8" w:space="0" w:color="000000"/>
              <w:bottom w:val="single" w:sz="8" w:space="0" w:color="auto"/>
              <w:right w:val="single" w:sz="8" w:space="0" w:color="auto"/>
            </w:tcBorders>
            <w:vAlign w:val="center"/>
          </w:tcPr>
          <w:p w14:paraId="455D80B1"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17FC8870" w14:textId="77777777" w:rsidTr="00873A6E">
        <w:trPr>
          <w:trHeight w:val="603"/>
        </w:trPr>
        <w:tc>
          <w:tcPr>
            <w:tcW w:w="567" w:type="dxa"/>
            <w:vMerge w:val="restart"/>
            <w:tcBorders>
              <w:top w:val="single" w:sz="8" w:space="0" w:color="auto"/>
              <w:left w:val="single" w:sz="12" w:space="0" w:color="auto"/>
              <w:right w:val="single" w:sz="4" w:space="0" w:color="000000"/>
            </w:tcBorders>
          </w:tcPr>
          <w:p w14:paraId="4EAEF511" w14:textId="77777777" w:rsidR="005858CD" w:rsidRPr="005858CD" w:rsidRDefault="005858CD" w:rsidP="008C041F">
            <w:pPr>
              <w:spacing w:before="80"/>
              <w:rPr>
                <w:rFonts w:ascii="Book Antiqua" w:hAnsi="Book Antiqua" w:cs="Arial"/>
                <w:sz w:val="16"/>
                <w:szCs w:val="16"/>
                <w:highlight w:val="yellow"/>
              </w:rPr>
            </w:pPr>
            <w:r w:rsidRPr="005858CD">
              <w:rPr>
                <w:rFonts w:ascii="Book Antiqua" w:hAnsi="Book Antiqua" w:cs="Arial"/>
                <w:sz w:val="16"/>
                <w:szCs w:val="16"/>
              </w:rPr>
              <w:t>7.3</w:t>
            </w:r>
          </w:p>
        </w:tc>
        <w:tc>
          <w:tcPr>
            <w:tcW w:w="7410" w:type="dxa"/>
            <w:gridSpan w:val="3"/>
            <w:tcBorders>
              <w:top w:val="single" w:sz="8" w:space="0" w:color="auto"/>
              <w:left w:val="single" w:sz="4" w:space="0" w:color="000000"/>
              <w:bottom w:val="single" w:sz="8" w:space="0" w:color="auto"/>
              <w:right w:val="single" w:sz="8" w:space="0" w:color="000000"/>
            </w:tcBorders>
            <w:vAlign w:val="center"/>
          </w:tcPr>
          <w:p w14:paraId="28FC7DB8" w14:textId="77777777" w:rsidR="005858CD" w:rsidRPr="005858CD" w:rsidRDefault="005858CD" w:rsidP="008C041F">
            <w:pPr>
              <w:rPr>
                <w:rFonts w:ascii="Arial" w:hAnsi="Arial" w:cs="Arial"/>
                <w:b/>
                <w:color w:val="000000"/>
                <w:sz w:val="18"/>
                <w:szCs w:val="18"/>
                <w:lang w:val="es-NI"/>
              </w:rPr>
            </w:pPr>
            <w:r w:rsidRPr="005858CD">
              <w:rPr>
                <w:rFonts w:ascii="Book Antiqua" w:hAnsi="Book Antiqua" w:cs="Arial"/>
                <w:b/>
                <w:color w:val="212121"/>
                <w:sz w:val="16"/>
                <w:szCs w:val="16"/>
                <w:lang w:val="es-NI"/>
              </w:rPr>
              <w:t>¿Qué tareas desempeñan las mujeres mejor que los hombres de manera natural</w:t>
            </w:r>
            <w:r w:rsidRPr="005858CD">
              <w:rPr>
                <w:rFonts w:ascii="Book Antiqua" w:hAnsi="Book Antiqua" w:cs="Arial"/>
                <w:b/>
                <w:color w:val="000000"/>
                <w:sz w:val="16"/>
                <w:szCs w:val="16"/>
                <w:lang w:val="es-NI"/>
              </w:rPr>
              <w:t>?</w:t>
            </w:r>
          </w:p>
          <w:p w14:paraId="796FCEF0" w14:textId="77777777" w:rsidR="005858CD" w:rsidRPr="005858CD" w:rsidRDefault="005858CD" w:rsidP="008C041F">
            <w:pPr>
              <w:rPr>
                <w:rFonts w:ascii="Arial" w:hAnsi="Arial" w:cs="Arial"/>
                <w:i/>
                <w:color w:val="000000"/>
                <w:sz w:val="14"/>
                <w:szCs w:val="14"/>
              </w:rPr>
            </w:pPr>
            <w:r w:rsidRPr="005858CD">
              <w:rPr>
                <w:rFonts w:ascii="Arial" w:hAnsi="Arial" w:cs="Arial"/>
                <w:i/>
                <w:color w:val="000000"/>
                <w:sz w:val="14"/>
                <w:szCs w:val="14"/>
              </w:rPr>
              <w:t>_____________________________________________________________________________________________</w:t>
            </w:r>
          </w:p>
        </w:tc>
        <w:tc>
          <w:tcPr>
            <w:tcW w:w="1170" w:type="dxa"/>
            <w:vMerge w:val="restart"/>
            <w:tcBorders>
              <w:top w:val="single" w:sz="8" w:space="0" w:color="auto"/>
              <w:left w:val="single" w:sz="8" w:space="0" w:color="000000"/>
              <w:right w:val="single" w:sz="8" w:space="0" w:color="auto"/>
            </w:tcBorders>
            <w:vAlign w:val="center"/>
          </w:tcPr>
          <w:p w14:paraId="5162B7E2"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53354C1E"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3EB5EDC5"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646F745B" w14:textId="77777777" w:rsidR="005858CD" w:rsidRPr="005858CD" w:rsidRDefault="005858CD" w:rsidP="00293176">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22CFC670" w14:textId="77777777" w:rsidR="005858CD" w:rsidRPr="005858CD" w:rsidRDefault="005858CD" w:rsidP="00293176">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672F1E88" w14:textId="77777777" w:rsidTr="00873A6E">
        <w:trPr>
          <w:trHeight w:val="1665"/>
        </w:trPr>
        <w:tc>
          <w:tcPr>
            <w:tcW w:w="567" w:type="dxa"/>
            <w:vMerge/>
            <w:tcBorders>
              <w:left w:val="single" w:sz="12" w:space="0" w:color="auto"/>
              <w:bottom w:val="single" w:sz="8" w:space="0" w:color="auto"/>
              <w:right w:val="single" w:sz="4" w:space="0" w:color="000000"/>
            </w:tcBorders>
          </w:tcPr>
          <w:p w14:paraId="4E0AEAAE" w14:textId="77777777" w:rsidR="005858CD" w:rsidRPr="005858CD" w:rsidRDefault="005858CD" w:rsidP="00293176">
            <w:pPr>
              <w:spacing w:before="80"/>
              <w:rPr>
                <w:rFonts w:ascii="Arial" w:hAnsi="Arial" w:cs="Arial"/>
                <w:sz w:val="18"/>
                <w:szCs w:val="18"/>
              </w:rPr>
            </w:pPr>
          </w:p>
        </w:tc>
        <w:tc>
          <w:tcPr>
            <w:tcW w:w="3990" w:type="dxa"/>
            <w:tcBorders>
              <w:top w:val="single" w:sz="8" w:space="0" w:color="auto"/>
              <w:left w:val="single" w:sz="4" w:space="0" w:color="000000"/>
              <w:bottom w:val="single" w:sz="8" w:space="0" w:color="auto"/>
              <w:right w:val="nil"/>
            </w:tcBorders>
            <w:vAlign w:val="center"/>
          </w:tcPr>
          <w:p w14:paraId="13DA05AE"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bCs/>
                <w:color w:val="000000"/>
                <w:sz w:val="14"/>
                <w:szCs w:val="14"/>
                <w:lang w:val="es-NI"/>
              </w:rPr>
              <w:t>1 = Buscar agua</w:t>
            </w:r>
            <w:r w:rsidRPr="005858CD">
              <w:rPr>
                <w:rFonts w:ascii="Book Antiqua" w:hAnsi="Book Antiqua" w:cs="Arial"/>
                <w:sz w:val="14"/>
                <w:szCs w:val="14"/>
                <w:lang w:val="es-NI" w:eastAsia="en-GB"/>
              </w:rPr>
              <w:t xml:space="preserve"> </w:t>
            </w:r>
          </w:p>
          <w:p w14:paraId="2E18B057"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 xml:space="preserve">2 = Recolectar o comprar leña </w:t>
            </w:r>
          </w:p>
          <w:p w14:paraId="0431C211"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sz w:val="14"/>
                <w:szCs w:val="14"/>
                <w:lang w:val="es-NI" w:eastAsia="en-GB"/>
              </w:rPr>
              <w:t xml:space="preserve">3 = </w:t>
            </w:r>
            <w:r w:rsidRPr="005858CD">
              <w:rPr>
                <w:rFonts w:ascii="Book Antiqua" w:hAnsi="Book Antiqua" w:cs="Arial"/>
                <w:bCs/>
                <w:color w:val="000000"/>
                <w:sz w:val="14"/>
                <w:szCs w:val="14"/>
                <w:lang w:val="es-NI"/>
              </w:rPr>
              <w:t>Preparar alimentos</w:t>
            </w:r>
          </w:p>
          <w:p w14:paraId="03EEAC18"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4 = Limpiar y arreglar la casa</w:t>
            </w:r>
          </w:p>
          <w:p w14:paraId="764CC4BF"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5 = Lavar, planchar y reparar ropa</w:t>
            </w:r>
          </w:p>
          <w:p w14:paraId="7A24BDC8"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6 = Cuido de niño/as</w:t>
            </w:r>
          </w:p>
          <w:p w14:paraId="6E919F29"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bCs/>
                <w:color w:val="000000"/>
                <w:sz w:val="14"/>
                <w:szCs w:val="14"/>
                <w:lang w:val="es-NI"/>
              </w:rPr>
              <w:t xml:space="preserve">7 = Cuido de personas mayores/ enfermas/ personas con discapacidad </w:t>
            </w:r>
            <w:r w:rsidRPr="005858CD">
              <w:rPr>
                <w:rFonts w:ascii="Book Antiqua" w:hAnsi="Book Antiqua" w:cs="Arial"/>
                <w:sz w:val="14"/>
                <w:szCs w:val="14"/>
                <w:lang w:val="es-NI"/>
              </w:rPr>
              <w:t xml:space="preserve"> </w:t>
            </w:r>
          </w:p>
          <w:p w14:paraId="6393CB53"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 xml:space="preserve">8 = Cuido de miembro/as de la comunidad </w:t>
            </w:r>
          </w:p>
          <w:p w14:paraId="37EC0A7E"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9 = Hacer y vender artesanía</w:t>
            </w:r>
          </w:p>
          <w:p w14:paraId="755B475B"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10 = Proteger la casa</w:t>
            </w:r>
          </w:p>
        </w:tc>
        <w:tc>
          <w:tcPr>
            <w:tcW w:w="3420" w:type="dxa"/>
            <w:gridSpan w:val="2"/>
            <w:tcBorders>
              <w:top w:val="single" w:sz="8" w:space="0" w:color="auto"/>
              <w:left w:val="nil"/>
              <w:bottom w:val="single" w:sz="8" w:space="0" w:color="auto"/>
              <w:right w:val="single" w:sz="8" w:space="0" w:color="000000"/>
            </w:tcBorders>
            <w:vAlign w:val="center"/>
          </w:tcPr>
          <w:p w14:paraId="49CD681E"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11 = Construcción, reparación, carpintería</w:t>
            </w:r>
          </w:p>
          <w:p w14:paraId="68201CB0"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 xml:space="preserve">12 = Manejar un negocio </w:t>
            </w:r>
          </w:p>
          <w:p w14:paraId="32F98B51"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13 = Trabajo asalariado</w:t>
            </w:r>
          </w:p>
          <w:p w14:paraId="2A62742D"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 xml:space="preserve">14 =  Preparar la tierra para sembrar </w:t>
            </w:r>
          </w:p>
          <w:p w14:paraId="1E0F9C58"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15 = Chapodar</w:t>
            </w:r>
          </w:p>
          <w:p w14:paraId="57EDA612"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16 = Cosechar</w:t>
            </w:r>
          </w:p>
          <w:p w14:paraId="5308F307"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sz w:val="14"/>
                <w:szCs w:val="14"/>
                <w:lang w:val="es-NI" w:eastAsia="en-GB"/>
              </w:rPr>
              <w:t>17 = Pescar, cazar</w:t>
            </w:r>
          </w:p>
          <w:p w14:paraId="1960425D"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18 = Cuido de animales </w:t>
            </w:r>
          </w:p>
          <w:p w14:paraId="1CDEB611"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19 = Lidiar con dinero </w:t>
            </w:r>
          </w:p>
          <w:p w14:paraId="26FB5A35"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20 = Liderar/tomar decisiones para la familia</w:t>
            </w:r>
          </w:p>
          <w:p w14:paraId="13C0674B" w14:textId="77777777" w:rsidR="005858CD" w:rsidRPr="005858CD" w:rsidRDefault="005858CD" w:rsidP="00293176">
            <w:pPr>
              <w:rPr>
                <w:rFonts w:ascii="Book Antiqua" w:hAnsi="Book Antiqua" w:cs="Arial"/>
                <w:i/>
                <w:color w:val="000000"/>
                <w:sz w:val="18"/>
                <w:szCs w:val="18"/>
              </w:rPr>
            </w:pPr>
            <w:r w:rsidRPr="005858CD">
              <w:rPr>
                <w:rFonts w:ascii="Book Antiqua" w:hAnsi="Book Antiqua" w:cs="Arial"/>
                <w:bCs/>
                <w:color w:val="000000"/>
                <w:sz w:val="14"/>
                <w:szCs w:val="14"/>
              </w:rPr>
              <w:t xml:space="preserve">21 = Otras: </w:t>
            </w:r>
            <w:r w:rsidRPr="005858CD">
              <w:rPr>
                <w:rFonts w:ascii="Book Antiqua" w:hAnsi="Book Antiqua" w:cs="Arial"/>
                <w:bCs/>
                <w:sz w:val="14"/>
                <w:szCs w:val="14"/>
              </w:rPr>
              <w:t>______________________________</w:t>
            </w:r>
          </w:p>
        </w:tc>
        <w:tc>
          <w:tcPr>
            <w:tcW w:w="1170" w:type="dxa"/>
            <w:vMerge/>
            <w:tcBorders>
              <w:left w:val="single" w:sz="8" w:space="0" w:color="000000"/>
              <w:bottom w:val="single" w:sz="8" w:space="0" w:color="auto"/>
              <w:right w:val="single" w:sz="8" w:space="0" w:color="auto"/>
            </w:tcBorders>
            <w:vAlign w:val="center"/>
          </w:tcPr>
          <w:p w14:paraId="57475906" w14:textId="77777777" w:rsidR="005858CD" w:rsidRPr="005858CD" w:rsidRDefault="005858CD" w:rsidP="00293176">
            <w:pPr>
              <w:jc w:val="center"/>
              <w:rPr>
                <w:b/>
                <w:bCs/>
                <w:color w:val="000000"/>
                <w:sz w:val="28"/>
                <w:szCs w:val="28"/>
              </w:rPr>
            </w:pPr>
          </w:p>
        </w:tc>
      </w:tr>
      <w:tr w:rsidR="005858CD" w:rsidRPr="005858CD" w14:paraId="64903B0C" w14:textId="77777777" w:rsidTr="00873A6E">
        <w:trPr>
          <w:trHeight w:val="507"/>
        </w:trPr>
        <w:tc>
          <w:tcPr>
            <w:tcW w:w="567" w:type="dxa"/>
            <w:tcBorders>
              <w:top w:val="single" w:sz="8" w:space="0" w:color="auto"/>
              <w:left w:val="single" w:sz="12" w:space="0" w:color="auto"/>
              <w:bottom w:val="single" w:sz="8" w:space="0" w:color="auto"/>
              <w:right w:val="single" w:sz="4" w:space="0" w:color="000000"/>
            </w:tcBorders>
          </w:tcPr>
          <w:p w14:paraId="15B34211" w14:textId="77777777" w:rsidR="005858CD" w:rsidRPr="005858CD" w:rsidRDefault="005858CD" w:rsidP="008C041F">
            <w:pPr>
              <w:spacing w:before="80"/>
              <w:rPr>
                <w:rFonts w:ascii="Book Antiqua" w:hAnsi="Book Antiqua" w:cs="Arial"/>
                <w:sz w:val="16"/>
                <w:szCs w:val="16"/>
              </w:rPr>
            </w:pPr>
            <w:r w:rsidRPr="005858CD">
              <w:rPr>
                <w:rFonts w:ascii="Book Antiqua" w:hAnsi="Book Antiqua" w:cs="Arial"/>
                <w:sz w:val="16"/>
                <w:szCs w:val="16"/>
              </w:rPr>
              <w:t>7.4</w:t>
            </w:r>
          </w:p>
        </w:tc>
        <w:tc>
          <w:tcPr>
            <w:tcW w:w="4025" w:type="dxa"/>
            <w:gridSpan w:val="2"/>
            <w:tcBorders>
              <w:top w:val="single" w:sz="8" w:space="0" w:color="auto"/>
              <w:left w:val="single" w:sz="4" w:space="0" w:color="000000"/>
              <w:bottom w:val="single" w:sz="8" w:space="0" w:color="auto"/>
              <w:right w:val="single" w:sz="4" w:space="0" w:color="000000"/>
            </w:tcBorders>
            <w:vAlign w:val="center"/>
          </w:tcPr>
          <w:p w14:paraId="18FA46EB" w14:textId="77777777" w:rsidR="005858CD" w:rsidRPr="005858CD" w:rsidRDefault="005858CD" w:rsidP="008C041F">
            <w:pPr>
              <w:rPr>
                <w:rFonts w:ascii="Book Antiqua" w:hAnsi="Book Antiqua" w:cs="Arial"/>
                <w:b/>
                <w:bCs/>
                <w:sz w:val="16"/>
                <w:szCs w:val="16"/>
                <w:lang w:val="es-NI"/>
              </w:rPr>
            </w:pPr>
            <w:r w:rsidRPr="005858CD">
              <w:rPr>
                <w:rFonts w:ascii="Book Antiqua" w:hAnsi="Book Antiqua" w:cs="Arial"/>
                <w:b/>
                <w:color w:val="212121"/>
                <w:sz w:val="16"/>
                <w:szCs w:val="16"/>
                <w:lang w:val="es-NI"/>
              </w:rPr>
              <w:t>¿Hay tareas que los hombres desempeñan mejor que las mujeres de forma natural?</w:t>
            </w:r>
          </w:p>
          <w:p w14:paraId="547F5673" w14:textId="77777777" w:rsidR="005858CD" w:rsidRPr="005858CD" w:rsidRDefault="005858CD" w:rsidP="008C041F">
            <w:pPr>
              <w:rPr>
                <w:rFonts w:ascii="Book Antiqua" w:hAnsi="Book Antiqua" w:cs="Arial"/>
                <w:b/>
                <w:bCs/>
                <w:sz w:val="16"/>
                <w:szCs w:val="16"/>
              </w:rPr>
            </w:pPr>
          </w:p>
        </w:tc>
        <w:tc>
          <w:tcPr>
            <w:tcW w:w="3385" w:type="dxa"/>
            <w:tcBorders>
              <w:top w:val="single" w:sz="8" w:space="0" w:color="auto"/>
              <w:left w:val="single" w:sz="4" w:space="0" w:color="000000"/>
              <w:bottom w:val="single" w:sz="8" w:space="0" w:color="auto"/>
              <w:right w:val="single" w:sz="8" w:space="0" w:color="000000"/>
            </w:tcBorders>
            <w:vAlign w:val="center"/>
          </w:tcPr>
          <w:p w14:paraId="342452A5"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lastRenderedPageBreak/>
              <w:t xml:space="preserve">0 = No </w:t>
            </w:r>
          </w:p>
          <w:p w14:paraId="708347C0" w14:textId="77777777" w:rsidR="005858CD" w:rsidRPr="005858CD" w:rsidRDefault="005858CD" w:rsidP="008C041F">
            <w:pPr>
              <w:rPr>
                <w:rFonts w:ascii="Arial" w:hAnsi="Arial" w:cs="Arial"/>
                <w:bCs/>
                <w:iCs/>
                <w:color w:val="000000"/>
                <w:sz w:val="14"/>
                <w:szCs w:val="14"/>
              </w:rPr>
            </w:pPr>
            <w:r w:rsidRPr="005858CD">
              <w:rPr>
                <w:rFonts w:ascii="Book Antiqua" w:hAnsi="Book Antiqua" w:cs="Arial"/>
                <w:bCs/>
                <w:iCs/>
                <w:color w:val="000000"/>
                <w:sz w:val="14"/>
                <w:szCs w:val="14"/>
              </w:rPr>
              <w:t>1 = Si</w:t>
            </w:r>
          </w:p>
        </w:tc>
        <w:tc>
          <w:tcPr>
            <w:tcW w:w="1170" w:type="dxa"/>
            <w:tcBorders>
              <w:top w:val="single" w:sz="8" w:space="0" w:color="auto"/>
              <w:left w:val="single" w:sz="8" w:space="0" w:color="000000"/>
              <w:bottom w:val="single" w:sz="8" w:space="0" w:color="auto"/>
              <w:right w:val="single" w:sz="8" w:space="0" w:color="auto"/>
            </w:tcBorders>
            <w:vAlign w:val="center"/>
          </w:tcPr>
          <w:p w14:paraId="77647959" w14:textId="77777777" w:rsidR="005858CD" w:rsidRPr="005858CD" w:rsidRDefault="005858CD" w:rsidP="008C041F">
            <w:pPr>
              <w:jc w:val="center"/>
              <w:rPr>
                <w:b/>
                <w:bCs/>
                <w:color w:val="000000"/>
                <w:sz w:val="28"/>
                <w:szCs w:val="28"/>
              </w:rPr>
            </w:pPr>
            <w:r w:rsidRPr="005858CD">
              <w:rPr>
                <w:b/>
                <w:bCs/>
                <w:color w:val="000000"/>
                <w:sz w:val="28"/>
                <w:szCs w:val="28"/>
              </w:rPr>
              <w:t>|__|</w:t>
            </w:r>
          </w:p>
        </w:tc>
      </w:tr>
      <w:tr w:rsidR="005858CD" w:rsidRPr="005858CD" w14:paraId="2388BBC8" w14:textId="77777777" w:rsidTr="00873A6E">
        <w:trPr>
          <w:trHeight w:val="540"/>
        </w:trPr>
        <w:tc>
          <w:tcPr>
            <w:tcW w:w="567" w:type="dxa"/>
            <w:vMerge w:val="restart"/>
            <w:tcBorders>
              <w:top w:val="single" w:sz="8" w:space="0" w:color="auto"/>
              <w:left w:val="single" w:sz="12" w:space="0" w:color="auto"/>
              <w:right w:val="single" w:sz="4" w:space="0" w:color="000000"/>
            </w:tcBorders>
          </w:tcPr>
          <w:p w14:paraId="0C3634F9" w14:textId="77777777" w:rsidR="005858CD" w:rsidRPr="005858CD" w:rsidRDefault="005858CD" w:rsidP="008C041F">
            <w:pPr>
              <w:spacing w:before="80"/>
              <w:rPr>
                <w:rFonts w:ascii="Book Antiqua" w:hAnsi="Book Antiqua" w:cs="Arial"/>
                <w:sz w:val="16"/>
                <w:szCs w:val="16"/>
              </w:rPr>
            </w:pPr>
            <w:r w:rsidRPr="005858CD">
              <w:rPr>
                <w:rFonts w:ascii="Book Antiqua" w:hAnsi="Book Antiqua" w:cs="Arial"/>
                <w:sz w:val="16"/>
                <w:szCs w:val="16"/>
              </w:rPr>
              <w:t>7.5</w:t>
            </w:r>
          </w:p>
        </w:tc>
        <w:tc>
          <w:tcPr>
            <w:tcW w:w="7410" w:type="dxa"/>
            <w:gridSpan w:val="3"/>
            <w:tcBorders>
              <w:top w:val="single" w:sz="8" w:space="0" w:color="auto"/>
              <w:left w:val="single" w:sz="4" w:space="0" w:color="000000"/>
              <w:bottom w:val="single" w:sz="2" w:space="0" w:color="auto"/>
              <w:right w:val="single" w:sz="8" w:space="0" w:color="000000"/>
            </w:tcBorders>
            <w:vAlign w:val="center"/>
          </w:tcPr>
          <w:p w14:paraId="169AE05E" w14:textId="77777777" w:rsidR="005858CD" w:rsidRPr="005858CD" w:rsidRDefault="005858CD" w:rsidP="008C041F">
            <w:pPr>
              <w:rPr>
                <w:rFonts w:ascii="Arial" w:hAnsi="Arial" w:cs="Arial"/>
                <w:b/>
                <w:color w:val="000000"/>
                <w:sz w:val="18"/>
                <w:szCs w:val="18"/>
                <w:lang w:val="es-NI"/>
              </w:rPr>
            </w:pPr>
            <w:r w:rsidRPr="005858CD">
              <w:rPr>
                <w:rFonts w:ascii="Book Antiqua" w:hAnsi="Book Antiqua" w:cs="Arial"/>
                <w:b/>
                <w:color w:val="212121"/>
                <w:sz w:val="16"/>
                <w:szCs w:val="16"/>
                <w:lang w:val="es-NI"/>
              </w:rPr>
              <w:t>¿Qué tareas desempeñan los hombres mejor que las mujeres de manera natural</w:t>
            </w:r>
            <w:r w:rsidRPr="005858CD">
              <w:rPr>
                <w:rFonts w:ascii="Book Antiqua" w:hAnsi="Book Antiqua" w:cs="Arial"/>
                <w:b/>
                <w:color w:val="000000"/>
                <w:sz w:val="16"/>
                <w:szCs w:val="16"/>
                <w:lang w:val="es-NI"/>
              </w:rPr>
              <w:t>?</w:t>
            </w:r>
          </w:p>
          <w:p w14:paraId="4E9E3A8F" w14:textId="77777777" w:rsidR="005858CD" w:rsidRPr="005858CD" w:rsidRDefault="005858CD" w:rsidP="008C041F">
            <w:pPr>
              <w:rPr>
                <w:rFonts w:ascii="Arial" w:hAnsi="Arial" w:cs="Arial"/>
                <w:b/>
                <w:color w:val="000000"/>
                <w:sz w:val="18"/>
                <w:szCs w:val="18"/>
              </w:rPr>
            </w:pPr>
            <w:r w:rsidRPr="005858CD">
              <w:rPr>
                <w:rFonts w:ascii="Arial" w:hAnsi="Arial" w:cs="Arial"/>
                <w:i/>
                <w:color w:val="000000"/>
                <w:sz w:val="14"/>
                <w:szCs w:val="14"/>
              </w:rPr>
              <w:t>_____________________________________________________________________________________________</w:t>
            </w:r>
          </w:p>
        </w:tc>
        <w:tc>
          <w:tcPr>
            <w:tcW w:w="1170" w:type="dxa"/>
            <w:vMerge w:val="restart"/>
            <w:tcBorders>
              <w:top w:val="single" w:sz="8" w:space="0" w:color="auto"/>
              <w:left w:val="single" w:sz="8" w:space="0" w:color="000000"/>
              <w:right w:val="single" w:sz="8" w:space="0" w:color="auto"/>
            </w:tcBorders>
            <w:vAlign w:val="center"/>
          </w:tcPr>
          <w:p w14:paraId="27395392"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5D47D6CA"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2807D98D" w14:textId="77777777" w:rsidR="005858CD" w:rsidRPr="005858CD" w:rsidRDefault="005858CD" w:rsidP="008C041F">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5031CBB7" w14:textId="77777777" w:rsidR="005858CD" w:rsidRPr="005858CD" w:rsidRDefault="005858CD" w:rsidP="00293176">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p w14:paraId="21610EFD" w14:textId="77777777" w:rsidR="005858CD" w:rsidRPr="005858CD" w:rsidRDefault="005858CD" w:rsidP="00293176">
            <w:pPr>
              <w:jc w:val="center"/>
              <w:rPr>
                <w:b/>
                <w:bCs/>
                <w:color w:val="000000"/>
                <w:sz w:val="28"/>
                <w:szCs w:val="28"/>
              </w:rP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17F997C4" w14:textId="77777777" w:rsidTr="00873A6E">
        <w:trPr>
          <w:trHeight w:val="1773"/>
        </w:trPr>
        <w:tc>
          <w:tcPr>
            <w:tcW w:w="567" w:type="dxa"/>
            <w:vMerge/>
            <w:tcBorders>
              <w:left w:val="single" w:sz="12" w:space="0" w:color="auto"/>
              <w:bottom w:val="single" w:sz="2" w:space="0" w:color="auto"/>
              <w:right w:val="single" w:sz="4" w:space="0" w:color="000000"/>
            </w:tcBorders>
          </w:tcPr>
          <w:p w14:paraId="4F98A027" w14:textId="77777777" w:rsidR="005858CD" w:rsidRPr="005858CD" w:rsidRDefault="005858CD" w:rsidP="00293176">
            <w:pPr>
              <w:spacing w:before="80"/>
              <w:rPr>
                <w:rFonts w:ascii="Arial" w:hAnsi="Arial" w:cs="Arial"/>
                <w:sz w:val="18"/>
                <w:szCs w:val="18"/>
              </w:rPr>
            </w:pPr>
          </w:p>
        </w:tc>
        <w:tc>
          <w:tcPr>
            <w:tcW w:w="3990" w:type="dxa"/>
            <w:tcBorders>
              <w:top w:val="single" w:sz="8" w:space="0" w:color="auto"/>
              <w:left w:val="single" w:sz="4" w:space="0" w:color="000000"/>
              <w:bottom w:val="single" w:sz="2" w:space="0" w:color="auto"/>
              <w:right w:val="nil"/>
            </w:tcBorders>
            <w:vAlign w:val="center"/>
          </w:tcPr>
          <w:p w14:paraId="2D44D05C"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bCs/>
                <w:color w:val="000000"/>
                <w:sz w:val="14"/>
                <w:szCs w:val="14"/>
                <w:lang w:val="es-NI"/>
              </w:rPr>
              <w:t>1 = Buscar agua</w:t>
            </w:r>
            <w:r w:rsidRPr="005858CD">
              <w:rPr>
                <w:rFonts w:ascii="Book Antiqua" w:hAnsi="Book Antiqua" w:cs="Arial"/>
                <w:sz w:val="14"/>
                <w:szCs w:val="14"/>
                <w:lang w:val="es-NI" w:eastAsia="en-GB"/>
              </w:rPr>
              <w:t xml:space="preserve"> </w:t>
            </w:r>
          </w:p>
          <w:p w14:paraId="43FA2B3E"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 xml:space="preserve">2 = Recolectar o comprar leña </w:t>
            </w:r>
          </w:p>
          <w:p w14:paraId="6F59D0D9"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sz w:val="14"/>
                <w:szCs w:val="14"/>
                <w:lang w:val="es-NI" w:eastAsia="en-GB"/>
              </w:rPr>
              <w:t xml:space="preserve">3 = </w:t>
            </w:r>
            <w:r w:rsidRPr="005858CD">
              <w:rPr>
                <w:rFonts w:ascii="Book Antiqua" w:hAnsi="Book Antiqua" w:cs="Arial"/>
                <w:bCs/>
                <w:color w:val="000000"/>
                <w:sz w:val="14"/>
                <w:szCs w:val="14"/>
                <w:lang w:val="es-NI"/>
              </w:rPr>
              <w:t>Preparar alimentos</w:t>
            </w:r>
          </w:p>
          <w:p w14:paraId="63AE012D"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4 = Limpiar y arreglar la casa</w:t>
            </w:r>
          </w:p>
          <w:p w14:paraId="25700E5D"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5 = Lavar, planchar y reparar ropa</w:t>
            </w:r>
          </w:p>
          <w:p w14:paraId="56E3D8A8"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6 = Cuido de niño/as</w:t>
            </w:r>
          </w:p>
          <w:p w14:paraId="7DFB7AD2"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bCs/>
                <w:color w:val="000000"/>
                <w:sz w:val="14"/>
                <w:szCs w:val="14"/>
                <w:lang w:val="es-NI"/>
              </w:rPr>
              <w:t xml:space="preserve">7 = Cuido de personas mayores/ enfermas/ personas con discapacidad </w:t>
            </w:r>
            <w:r w:rsidRPr="005858CD">
              <w:rPr>
                <w:rFonts w:ascii="Book Antiqua" w:hAnsi="Book Antiqua" w:cs="Arial"/>
                <w:sz w:val="14"/>
                <w:szCs w:val="14"/>
                <w:lang w:val="es-NI"/>
              </w:rPr>
              <w:t xml:space="preserve"> </w:t>
            </w:r>
          </w:p>
          <w:p w14:paraId="33A3C9AB"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 xml:space="preserve">8 = Cuido de miembro/as de la comunidad </w:t>
            </w:r>
          </w:p>
          <w:p w14:paraId="2D7C76DF"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9 = Hacer y vender artesanía</w:t>
            </w:r>
          </w:p>
          <w:p w14:paraId="1AE90302" w14:textId="77777777" w:rsidR="005858CD" w:rsidRPr="005858CD" w:rsidRDefault="005858CD" w:rsidP="00293176">
            <w:pPr>
              <w:rPr>
                <w:rFonts w:ascii="Book Antiqua" w:hAnsi="Book Antiqua" w:cs="Arial"/>
                <w:sz w:val="14"/>
                <w:szCs w:val="14"/>
              </w:rPr>
            </w:pPr>
            <w:r w:rsidRPr="005858CD">
              <w:rPr>
                <w:rFonts w:ascii="Book Antiqua" w:hAnsi="Book Antiqua" w:cs="Arial"/>
                <w:sz w:val="14"/>
                <w:szCs w:val="14"/>
                <w:lang w:val="es-NI"/>
              </w:rPr>
              <w:t>10 = Proteger la casa</w:t>
            </w:r>
          </w:p>
        </w:tc>
        <w:tc>
          <w:tcPr>
            <w:tcW w:w="3420" w:type="dxa"/>
            <w:gridSpan w:val="2"/>
            <w:tcBorders>
              <w:top w:val="single" w:sz="8" w:space="0" w:color="auto"/>
              <w:left w:val="nil"/>
              <w:bottom w:val="single" w:sz="2" w:space="0" w:color="auto"/>
              <w:right w:val="single" w:sz="8" w:space="0" w:color="000000"/>
            </w:tcBorders>
            <w:vAlign w:val="center"/>
          </w:tcPr>
          <w:p w14:paraId="78252DD4"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11 = Construcción, reparación, carpintería</w:t>
            </w:r>
          </w:p>
          <w:p w14:paraId="455C1082"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 xml:space="preserve">12 = Manejar un negocio </w:t>
            </w:r>
          </w:p>
          <w:p w14:paraId="77F213AE"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13 = Trabajo asalariado</w:t>
            </w:r>
          </w:p>
          <w:p w14:paraId="1CE9ECDB"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 xml:space="preserve">14 =  Preparar la tierra para sembrar </w:t>
            </w:r>
          </w:p>
          <w:p w14:paraId="55303DBD"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15 = Chapodar</w:t>
            </w:r>
          </w:p>
          <w:p w14:paraId="36BD4DA2" w14:textId="77777777" w:rsidR="005858CD" w:rsidRPr="005858CD" w:rsidRDefault="005858CD" w:rsidP="00293176">
            <w:pPr>
              <w:rPr>
                <w:rFonts w:ascii="Book Antiqua" w:hAnsi="Book Antiqua" w:cs="Arial"/>
                <w:sz w:val="14"/>
                <w:szCs w:val="14"/>
                <w:lang w:val="es-NI" w:eastAsia="en-GB"/>
              </w:rPr>
            </w:pPr>
            <w:r w:rsidRPr="005858CD">
              <w:rPr>
                <w:rFonts w:ascii="Book Antiqua" w:hAnsi="Book Antiqua" w:cs="Arial"/>
                <w:sz w:val="14"/>
                <w:szCs w:val="14"/>
                <w:lang w:val="es-NI" w:eastAsia="en-GB"/>
              </w:rPr>
              <w:t>16 = Cosechar</w:t>
            </w:r>
          </w:p>
          <w:p w14:paraId="17580EC1"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sz w:val="14"/>
                <w:szCs w:val="14"/>
                <w:lang w:val="es-NI" w:eastAsia="en-GB"/>
              </w:rPr>
              <w:t>17 = Pescar, cazar</w:t>
            </w:r>
          </w:p>
          <w:p w14:paraId="283ABFDB"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18 = Cuido de animales </w:t>
            </w:r>
          </w:p>
          <w:p w14:paraId="70DF01CF" w14:textId="77777777" w:rsidR="005858CD" w:rsidRPr="005858CD" w:rsidRDefault="005858CD" w:rsidP="00293176">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19 = Lidiar con dinero </w:t>
            </w:r>
          </w:p>
          <w:p w14:paraId="36554674" w14:textId="77777777" w:rsidR="005858CD" w:rsidRPr="005858CD" w:rsidRDefault="005858CD" w:rsidP="00293176">
            <w:pPr>
              <w:rPr>
                <w:rFonts w:ascii="Book Antiqua" w:hAnsi="Book Antiqua" w:cs="Arial"/>
                <w:sz w:val="14"/>
                <w:szCs w:val="14"/>
                <w:lang w:val="es-NI"/>
              </w:rPr>
            </w:pPr>
            <w:r w:rsidRPr="005858CD">
              <w:rPr>
                <w:rFonts w:ascii="Book Antiqua" w:hAnsi="Book Antiqua" w:cs="Arial"/>
                <w:sz w:val="14"/>
                <w:szCs w:val="14"/>
                <w:lang w:val="es-NI"/>
              </w:rPr>
              <w:t>20 = Liderar/tomar decisiones para la familia</w:t>
            </w:r>
          </w:p>
          <w:p w14:paraId="007CAB7B" w14:textId="77777777" w:rsidR="005858CD" w:rsidRPr="005858CD" w:rsidRDefault="005858CD" w:rsidP="00293176">
            <w:pPr>
              <w:rPr>
                <w:rFonts w:ascii="Book Antiqua" w:hAnsi="Book Antiqua" w:cs="Arial"/>
                <w:i/>
                <w:color w:val="000000"/>
                <w:sz w:val="18"/>
                <w:szCs w:val="18"/>
              </w:rPr>
            </w:pPr>
            <w:r w:rsidRPr="005858CD">
              <w:rPr>
                <w:rFonts w:ascii="Book Antiqua" w:hAnsi="Book Antiqua" w:cs="Arial"/>
                <w:bCs/>
                <w:color w:val="000000"/>
                <w:sz w:val="14"/>
                <w:szCs w:val="14"/>
              </w:rPr>
              <w:t xml:space="preserve">21 = Otras: </w:t>
            </w:r>
            <w:r w:rsidRPr="005858CD">
              <w:rPr>
                <w:rFonts w:ascii="Book Antiqua" w:hAnsi="Book Antiqua" w:cs="Arial"/>
                <w:bCs/>
                <w:sz w:val="14"/>
                <w:szCs w:val="14"/>
              </w:rPr>
              <w:t>______________________________</w:t>
            </w:r>
          </w:p>
        </w:tc>
        <w:tc>
          <w:tcPr>
            <w:tcW w:w="1170" w:type="dxa"/>
            <w:vMerge/>
            <w:tcBorders>
              <w:left w:val="single" w:sz="8" w:space="0" w:color="000000"/>
              <w:bottom w:val="single" w:sz="2" w:space="0" w:color="auto"/>
              <w:right w:val="single" w:sz="8" w:space="0" w:color="auto"/>
            </w:tcBorders>
            <w:vAlign w:val="center"/>
          </w:tcPr>
          <w:p w14:paraId="49CB5145" w14:textId="77777777" w:rsidR="005858CD" w:rsidRPr="005858CD" w:rsidRDefault="005858CD" w:rsidP="00293176">
            <w:pPr>
              <w:jc w:val="center"/>
              <w:rPr>
                <w:b/>
                <w:bCs/>
                <w:color w:val="000000"/>
                <w:sz w:val="28"/>
                <w:szCs w:val="28"/>
              </w:rPr>
            </w:pPr>
          </w:p>
        </w:tc>
      </w:tr>
      <w:tr w:rsidR="005858CD" w:rsidRPr="005858CD" w14:paraId="1F95B76A" w14:textId="77777777" w:rsidTr="00873A6E">
        <w:trPr>
          <w:trHeight w:val="1062"/>
        </w:trPr>
        <w:tc>
          <w:tcPr>
            <w:tcW w:w="567" w:type="dxa"/>
            <w:tcBorders>
              <w:top w:val="single" w:sz="4" w:space="0" w:color="000000"/>
              <w:left w:val="single" w:sz="12" w:space="0" w:color="auto"/>
              <w:bottom w:val="single" w:sz="12" w:space="0" w:color="auto"/>
            </w:tcBorders>
          </w:tcPr>
          <w:p w14:paraId="5D3FF505" w14:textId="77777777" w:rsidR="005858CD" w:rsidRPr="005858CD" w:rsidRDefault="005858CD" w:rsidP="008C041F">
            <w:pPr>
              <w:rPr>
                <w:rFonts w:ascii="Book Antiqua" w:hAnsi="Book Antiqua" w:cs="Arial"/>
                <w:bCs/>
                <w:sz w:val="16"/>
                <w:szCs w:val="16"/>
              </w:rPr>
            </w:pPr>
          </w:p>
          <w:p w14:paraId="79A7B135" w14:textId="77777777" w:rsidR="005858CD" w:rsidRPr="005858CD" w:rsidRDefault="005858CD" w:rsidP="008C041F">
            <w:pPr>
              <w:rPr>
                <w:rFonts w:ascii="Book Antiqua" w:hAnsi="Book Antiqua" w:cs="Arial"/>
                <w:bCs/>
                <w:sz w:val="16"/>
                <w:szCs w:val="16"/>
              </w:rPr>
            </w:pPr>
          </w:p>
          <w:p w14:paraId="314629C7" w14:textId="77777777" w:rsidR="005858CD" w:rsidRPr="005858CD" w:rsidRDefault="005858CD" w:rsidP="008C041F">
            <w:pPr>
              <w:rPr>
                <w:rFonts w:ascii="Book Antiqua" w:hAnsi="Book Antiqua" w:cs="Arial"/>
                <w:bCs/>
                <w:sz w:val="16"/>
                <w:szCs w:val="16"/>
              </w:rPr>
            </w:pPr>
          </w:p>
          <w:p w14:paraId="6BBD83F1" w14:textId="77777777" w:rsidR="005858CD" w:rsidRPr="005858CD" w:rsidRDefault="005858CD" w:rsidP="008C041F">
            <w:pPr>
              <w:rPr>
                <w:rFonts w:ascii="Book Antiqua" w:hAnsi="Book Antiqua" w:cs="Arial"/>
                <w:bCs/>
                <w:sz w:val="16"/>
                <w:szCs w:val="16"/>
              </w:rPr>
            </w:pPr>
          </w:p>
          <w:p w14:paraId="607BADC8"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7.6</w:t>
            </w:r>
          </w:p>
        </w:tc>
        <w:tc>
          <w:tcPr>
            <w:tcW w:w="4025" w:type="dxa"/>
            <w:gridSpan w:val="2"/>
            <w:tcBorders>
              <w:top w:val="single" w:sz="4" w:space="0" w:color="000000"/>
              <w:bottom w:val="single" w:sz="12" w:space="0" w:color="auto"/>
            </w:tcBorders>
            <w:vAlign w:val="center"/>
          </w:tcPr>
          <w:p w14:paraId="03C6CDF7" w14:textId="77777777" w:rsidR="005858CD" w:rsidRPr="005858CD" w:rsidRDefault="005858CD" w:rsidP="008C041F">
            <w:pPr>
              <w:rPr>
                <w:rFonts w:ascii="Book Antiqua" w:hAnsi="Book Antiqua" w:cs="Arial"/>
                <w:b/>
                <w:bCs/>
                <w:sz w:val="18"/>
                <w:lang w:val="es-NI"/>
              </w:rPr>
            </w:pPr>
            <w:r w:rsidRPr="005858CD">
              <w:rPr>
                <w:rFonts w:ascii="Book Antiqua" w:hAnsi="Book Antiqua" w:cs="Arial"/>
                <w:b/>
                <w:color w:val="212121"/>
                <w:sz w:val="16"/>
                <w:szCs w:val="16"/>
                <w:lang w:val="es-NI"/>
              </w:rPr>
              <w:t>¿</w:t>
            </w:r>
            <w:r w:rsidRPr="005858CD">
              <w:rPr>
                <w:rFonts w:ascii="Book Antiqua" w:hAnsi="Book Antiqua" w:cs="Arial"/>
                <w:b/>
                <w:bCs/>
                <w:sz w:val="16"/>
                <w:szCs w:val="16"/>
                <w:lang w:val="es-NI"/>
              </w:rPr>
              <w:t xml:space="preserve">Si tuviera que invertir menos tiempo en trabajo de cuidados qué haría con el tiempo extra? </w:t>
            </w:r>
          </w:p>
        </w:tc>
        <w:tc>
          <w:tcPr>
            <w:tcW w:w="3385" w:type="dxa"/>
            <w:tcBorders>
              <w:top w:val="single" w:sz="4" w:space="0" w:color="000000"/>
              <w:bottom w:val="single" w:sz="12" w:space="0" w:color="auto"/>
              <w:right w:val="single" w:sz="8" w:space="0" w:color="000000"/>
            </w:tcBorders>
            <w:vAlign w:val="center"/>
          </w:tcPr>
          <w:p w14:paraId="7CD83D51"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 xml:space="preserve">1 = Más tiempo de descanso/dormir/cuido personal </w:t>
            </w:r>
          </w:p>
          <w:p w14:paraId="0EB53C4C"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2 = Más trabajo para generar ingresos</w:t>
            </w:r>
          </w:p>
          <w:p w14:paraId="59D6EA6D" w14:textId="77777777" w:rsidR="005858CD" w:rsidRPr="005858CD" w:rsidRDefault="005858CD" w:rsidP="00293176">
            <w:pPr>
              <w:rPr>
                <w:rFonts w:ascii="Book Antiqua" w:hAnsi="Book Antiqua" w:cs="Arial"/>
                <w:bCs/>
                <w:sz w:val="14"/>
                <w:szCs w:val="14"/>
              </w:rPr>
            </w:pPr>
            <w:r w:rsidRPr="005858CD">
              <w:rPr>
                <w:rFonts w:ascii="Book Antiqua" w:hAnsi="Book Antiqua" w:cs="Arial"/>
                <w:bCs/>
                <w:sz w:val="14"/>
                <w:szCs w:val="14"/>
              </w:rPr>
              <w:t>3 = Más agricultura</w:t>
            </w:r>
          </w:p>
          <w:p w14:paraId="24EC47FE"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 xml:space="preserve">4 = Proveer mejor cuidado directo (e.g. niño/as) </w:t>
            </w:r>
          </w:p>
          <w:p w14:paraId="1792A06F" w14:textId="77777777" w:rsidR="005858CD" w:rsidRPr="005858CD" w:rsidRDefault="005858CD" w:rsidP="00293176">
            <w:pPr>
              <w:rPr>
                <w:rFonts w:ascii="Book Antiqua" w:hAnsi="Book Antiqua" w:cs="Arial"/>
                <w:bCs/>
                <w:sz w:val="14"/>
                <w:szCs w:val="14"/>
              </w:rPr>
            </w:pPr>
            <w:r w:rsidRPr="005858CD">
              <w:rPr>
                <w:rFonts w:ascii="Book Antiqua" w:hAnsi="Book Antiqua" w:cs="Arial"/>
                <w:bCs/>
                <w:sz w:val="14"/>
                <w:szCs w:val="14"/>
              </w:rPr>
              <w:t xml:space="preserve">5 = Involucrarse en actividades comunitarias o vida social </w:t>
            </w:r>
          </w:p>
          <w:p w14:paraId="6F218EE6"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 xml:space="preserve">6 = Ayudar vecino/as y amigo/as </w:t>
            </w:r>
          </w:p>
          <w:p w14:paraId="7573FFD1"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 xml:space="preserve">7 = Más educación/ capacitación </w:t>
            </w:r>
          </w:p>
          <w:p w14:paraId="7E29F546" w14:textId="77777777" w:rsidR="005858CD" w:rsidRPr="005858CD" w:rsidRDefault="005858CD" w:rsidP="00293176">
            <w:pPr>
              <w:rPr>
                <w:rFonts w:ascii="Book Antiqua" w:hAnsi="Book Antiqua" w:cs="Arial"/>
                <w:bCs/>
                <w:sz w:val="14"/>
                <w:szCs w:val="14"/>
                <w:lang w:val="es-NI"/>
              </w:rPr>
            </w:pPr>
            <w:r w:rsidRPr="005858CD">
              <w:rPr>
                <w:rFonts w:ascii="Book Antiqua" w:hAnsi="Book Antiqua" w:cs="Arial"/>
                <w:bCs/>
                <w:sz w:val="14"/>
                <w:szCs w:val="14"/>
                <w:lang w:val="es-NI"/>
              </w:rPr>
              <w:t>8 = Más actividades religiosas</w:t>
            </w:r>
          </w:p>
          <w:p w14:paraId="2AB3847A" w14:textId="77777777" w:rsidR="005858CD" w:rsidRPr="005858CD" w:rsidRDefault="005858CD" w:rsidP="00293176">
            <w:pPr>
              <w:rPr>
                <w:rFonts w:ascii="Arial" w:hAnsi="Arial" w:cs="Arial"/>
                <w:bCs/>
                <w:sz w:val="14"/>
                <w:szCs w:val="14"/>
              </w:rPr>
            </w:pPr>
            <w:r w:rsidRPr="005858CD">
              <w:rPr>
                <w:rFonts w:ascii="Book Antiqua" w:hAnsi="Book Antiqua" w:cs="Arial"/>
                <w:bCs/>
                <w:sz w:val="14"/>
                <w:szCs w:val="14"/>
              </w:rPr>
              <w:t>9 = Otras: ______________________________</w:t>
            </w:r>
          </w:p>
        </w:tc>
        <w:tc>
          <w:tcPr>
            <w:tcW w:w="1170" w:type="dxa"/>
            <w:tcBorders>
              <w:top w:val="single" w:sz="4" w:space="0" w:color="000000"/>
              <w:left w:val="single" w:sz="8" w:space="0" w:color="000000"/>
              <w:bottom w:val="single" w:sz="12" w:space="0" w:color="auto"/>
              <w:right w:val="single" w:sz="8" w:space="0" w:color="auto"/>
            </w:tcBorders>
            <w:vAlign w:val="center"/>
          </w:tcPr>
          <w:p w14:paraId="43EE1483" w14:textId="77777777" w:rsidR="005858CD" w:rsidRPr="005858CD" w:rsidRDefault="005858CD" w:rsidP="00293176">
            <w:pPr>
              <w:jc w:val="center"/>
              <w:rPr>
                <w:b/>
                <w:bCs/>
                <w:color w:val="000000"/>
                <w:sz w:val="28"/>
                <w:szCs w:val="28"/>
              </w:rPr>
            </w:pPr>
            <w:r w:rsidRPr="005858CD">
              <w:rPr>
                <w:b/>
                <w:bCs/>
                <w:color w:val="000000"/>
                <w:sz w:val="28"/>
                <w:szCs w:val="28"/>
              </w:rPr>
              <w:t>|__|</w:t>
            </w:r>
          </w:p>
        </w:tc>
      </w:tr>
    </w:tbl>
    <w:p w14:paraId="4DAA1E78" w14:textId="77777777" w:rsidR="005858CD" w:rsidRPr="005858CD" w:rsidRDefault="005858CD" w:rsidP="008C041F">
      <w:pPr>
        <w:rPr>
          <w:rFonts w:ascii="Arial" w:hAnsi="Arial" w:cs="Arial"/>
          <w:bCs/>
          <w:color w:val="000000"/>
          <w:sz w:val="22"/>
          <w:szCs w:val="22"/>
        </w:rPr>
      </w:pPr>
    </w:p>
    <w:p w14:paraId="125FCDF1" w14:textId="77777777" w:rsidR="005858CD" w:rsidRPr="005858CD" w:rsidRDefault="005858CD" w:rsidP="008C041F">
      <w:pPr>
        <w:rPr>
          <w:rFonts w:ascii="Arial" w:hAnsi="Arial" w:cs="Arial"/>
          <w:bCs/>
          <w:color w:val="000000"/>
          <w:sz w:val="22"/>
          <w:szCs w:val="22"/>
        </w:rPr>
      </w:pPr>
    </w:p>
    <w:p w14:paraId="006C630F" w14:textId="77777777" w:rsidR="005858CD" w:rsidRPr="005858CD" w:rsidRDefault="005858CD" w:rsidP="008C041F">
      <w:pPr>
        <w:rPr>
          <w:rFonts w:ascii="Arial" w:hAnsi="Arial" w:cs="Arial"/>
          <w:bCs/>
          <w:color w:val="000000"/>
          <w:sz w:val="22"/>
          <w:szCs w:val="22"/>
        </w:rPr>
      </w:pPr>
    </w:p>
    <w:p w14:paraId="5920D505" w14:textId="77777777" w:rsidR="005858CD" w:rsidRPr="005858CD" w:rsidRDefault="005858CD" w:rsidP="008C041F">
      <w:pPr>
        <w:rPr>
          <w:rFonts w:ascii="Arial" w:hAnsi="Arial" w:cs="Arial"/>
          <w:bCs/>
          <w:color w:val="000000"/>
          <w:sz w:val="22"/>
          <w:szCs w:val="22"/>
        </w:rPr>
      </w:pPr>
    </w:p>
    <w:p w14:paraId="5B98FEDA" w14:textId="77777777" w:rsidR="005858CD" w:rsidRPr="005858CD" w:rsidRDefault="005858CD" w:rsidP="008C041F">
      <w:pPr>
        <w:rPr>
          <w:rFonts w:ascii="Arial" w:hAnsi="Arial" w:cs="Arial"/>
          <w:bCs/>
          <w:color w:val="000000"/>
          <w:sz w:val="22"/>
          <w:szCs w:val="22"/>
        </w:rPr>
      </w:pPr>
    </w:p>
    <w:p w14:paraId="1775D4ED" w14:textId="77777777" w:rsidR="005858CD" w:rsidRPr="005858CD" w:rsidRDefault="005858CD" w:rsidP="008C041F">
      <w:pPr>
        <w:rPr>
          <w:rFonts w:ascii="Arial" w:hAnsi="Arial" w:cs="Arial"/>
          <w:bCs/>
          <w:color w:val="000000"/>
          <w:sz w:val="22"/>
          <w:szCs w:val="22"/>
        </w:rPr>
      </w:pPr>
    </w:p>
    <w:p w14:paraId="1E7658DF" w14:textId="77777777" w:rsidR="005858CD" w:rsidRPr="005858CD" w:rsidRDefault="005858CD">
      <w:pPr>
        <w:rPr>
          <w:rFonts w:ascii="Arial" w:hAnsi="Arial" w:cs="Arial"/>
          <w:bCs/>
          <w:color w:val="000000"/>
          <w:sz w:val="22"/>
          <w:szCs w:val="22"/>
        </w:rPr>
      </w:pPr>
    </w:p>
    <w:p w14:paraId="3D3C3582" w14:textId="77777777" w:rsidR="005858CD" w:rsidRPr="005858CD" w:rsidRDefault="005858CD">
      <w:pPr>
        <w:rPr>
          <w:rFonts w:ascii="Arial" w:hAnsi="Arial" w:cs="Arial"/>
          <w:bCs/>
          <w:color w:val="000000"/>
          <w:sz w:val="22"/>
          <w:szCs w:val="22"/>
        </w:rPr>
      </w:pPr>
    </w:p>
    <w:tbl>
      <w:tblPr>
        <w:tblW w:w="1121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17"/>
        <w:gridCol w:w="1260"/>
        <w:gridCol w:w="990"/>
        <w:gridCol w:w="1080"/>
        <w:gridCol w:w="1170"/>
        <w:gridCol w:w="1890"/>
        <w:gridCol w:w="1890"/>
        <w:gridCol w:w="1170"/>
        <w:gridCol w:w="1350"/>
      </w:tblGrid>
      <w:tr w:rsidR="005858CD" w:rsidRPr="005858CD" w14:paraId="1DE31BA7" w14:textId="77777777" w:rsidTr="00873A6E">
        <w:trPr>
          <w:trHeight w:val="142"/>
        </w:trPr>
        <w:tc>
          <w:tcPr>
            <w:tcW w:w="417" w:type="dxa"/>
          </w:tcPr>
          <w:p w14:paraId="49DD958A"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No.</w:t>
            </w:r>
          </w:p>
        </w:tc>
        <w:tc>
          <w:tcPr>
            <w:tcW w:w="1260" w:type="dxa"/>
            <w:vAlign w:val="center"/>
          </w:tcPr>
          <w:p w14:paraId="54BEBCC1"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t>Actividad</w:t>
            </w:r>
          </w:p>
        </w:tc>
        <w:tc>
          <w:tcPr>
            <w:tcW w:w="990" w:type="dxa"/>
            <w:tcBorders>
              <w:top w:val="single" w:sz="12" w:space="0" w:color="auto"/>
            </w:tcBorders>
          </w:tcPr>
          <w:p w14:paraId="345C07FD"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t xml:space="preserve">7.7         </w:t>
            </w:r>
          </w:p>
        </w:tc>
        <w:tc>
          <w:tcPr>
            <w:tcW w:w="1080" w:type="dxa"/>
            <w:tcBorders>
              <w:top w:val="single" w:sz="12" w:space="0" w:color="auto"/>
            </w:tcBorders>
          </w:tcPr>
          <w:p w14:paraId="49AB4083" w14:textId="77777777" w:rsidR="005858CD" w:rsidRPr="005858CD" w:rsidRDefault="005858CD">
            <w:pPr>
              <w:rPr>
                <w:rFonts w:ascii="Book Antiqua" w:hAnsi="Book Antiqua" w:cs="Arial"/>
                <w:bCs/>
                <w:color w:val="000000"/>
                <w:sz w:val="16"/>
                <w:szCs w:val="16"/>
              </w:rPr>
            </w:pPr>
            <w:r w:rsidRPr="005858CD">
              <w:rPr>
                <w:rFonts w:ascii="Book Antiqua" w:hAnsi="Book Antiqua" w:cs="Arial"/>
                <w:bCs/>
                <w:color w:val="000000"/>
                <w:sz w:val="16"/>
                <w:szCs w:val="16"/>
              </w:rPr>
              <w:t xml:space="preserve">7.8          </w:t>
            </w:r>
          </w:p>
        </w:tc>
        <w:tc>
          <w:tcPr>
            <w:tcW w:w="1170" w:type="dxa"/>
            <w:tcBorders>
              <w:top w:val="single" w:sz="12" w:space="0" w:color="auto"/>
            </w:tcBorders>
          </w:tcPr>
          <w:p w14:paraId="49D6C5FE"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7.9</w:t>
            </w:r>
          </w:p>
        </w:tc>
        <w:tc>
          <w:tcPr>
            <w:tcW w:w="1890" w:type="dxa"/>
            <w:tcBorders>
              <w:top w:val="single" w:sz="12" w:space="0" w:color="auto"/>
            </w:tcBorders>
          </w:tcPr>
          <w:p w14:paraId="4F768A66"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7.10</w:t>
            </w:r>
          </w:p>
        </w:tc>
        <w:tc>
          <w:tcPr>
            <w:tcW w:w="1890" w:type="dxa"/>
            <w:tcBorders>
              <w:top w:val="single" w:sz="12" w:space="0" w:color="auto"/>
            </w:tcBorders>
          </w:tcPr>
          <w:p w14:paraId="11A83ED4"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7.11</w:t>
            </w:r>
          </w:p>
        </w:tc>
        <w:tc>
          <w:tcPr>
            <w:tcW w:w="1170" w:type="dxa"/>
            <w:tcBorders>
              <w:top w:val="single" w:sz="12" w:space="0" w:color="auto"/>
            </w:tcBorders>
          </w:tcPr>
          <w:p w14:paraId="7E7F0156"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7.12</w:t>
            </w:r>
          </w:p>
        </w:tc>
        <w:tc>
          <w:tcPr>
            <w:tcW w:w="1350" w:type="dxa"/>
            <w:tcBorders>
              <w:top w:val="single" w:sz="12" w:space="0" w:color="auto"/>
            </w:tcBorders>
          </w:tcPr>
          <w:p w14:paraId="69633487" w14:textId="77777777" w:rsidR="005858CD" w:rsidRPr="005858CD" w:rsidRDefault="005858CD">
            <w:pPr>
              <w:rPr>
                <w:rFonts w:ascii="Book Antiqua" w:hAnsi="Book Antiqua" w:cs="Arial"/>
                <w:sz w:val="16"/>
                <w:szCs w:val="16"/>
              </w:rPr>
            </w:pPr>
            <w:r w:rsidRPr="005858CD">
              <w:rPr>
                <w:rFonts w:ascii="Book Antiqua" w:hAnsi="Book Antiqua" w:cs="Arial"/>
                <w:sz w:val="16"/>
                <w:szCs w:val="16"/>
              </w:rPr>
              <w:t>7.13</w:t>
            </w:r>
          </w:p>
        </w:tc>
      </w:tr>
      <w:tr w:rsidR="005858CD" w:rsidRPr="005858CD" w14:paraId="06C4E721" w14:textId="77777777" w:rsidTr="00873A6E">
        <w:trPr>
          <w:trHeight w:val="2885"/>
        </w:trPr>
        <w:tc>
          <w:tcPr>
            <w:tcW w:w="417" w:type="dxa"/>
          </w:tcPr>
          <w:p w14:paraId="2CA88BC5" w14:textId="77777777" w:rsidR="005858CD" w:rsidRPr="005858CD" w:rsidRDefault="005858CD" w:rsidP="008C041F">
            <w:pPr>
              <w:spacing w:before="80"/>
              <w:rPr>
                <w:rFonts w:ascii="Arial" w:hAnsi="Arial" w:cs="Arial"/>
                <w:sz w:val="18"/>
              </w:rPr>
            </w:pPr>
          </w:p>
        </w:tc>
        <w:tc>
          <w:tcPr>
            <w:tcW w:w="1260" w:type="dxa"/>
            <w:vAlign w:val="center"/>
          </w:tcPr>
          <w:p w14:paraId="5906BD96" w14:textId="77777777" w:rsidR="005858CD" w:rsidRPr="005858CD" w:rsidRDefault="005858CD" w:rsidP="008C041F">
            <w:pPr>
              <w:rPr>
                <w:rFonts w:ascii="Arial" w:hAnsi="Arial" w:cs="Arial"/>
                <w:bCs/>
                <w:color w:val="000000"/>
                <w:sz w:val="18"/>
              </w:rPr>
            </w:pPr>
          </w:p>
        </w:tc>
        <w:tc>
          <w:tcPr>
            <w:tcW w:w="990" w:type="dxa"/>
          </w:tcPr>
          <w:p w14:paraId="72A40618" w14:textId="77777777" w:rsidR="005858CD" w:rsidRPr="005858CD" w:rsidRDefault="005858CD" w:rsidP="008C041F">
            <w:pPr>
              <w:spacing w:before="80"/>
              <w:rPr>
                <w:rFonts w:ascii="Book Antiqua" w:hAnsi="Book Antiqua" w:cs="Arial"/>
                <w:b/>
                <w:bCs/>
                <w:color w:val="000000"/>
                <w:sz w:val="16"/>
                <w:szCs w:val="16"/>
                <w:lang w:val="es-NI"/>
              </w:rPr>
            </w:pPr>
            <w:r w:rsidRPr="005858CD">
              <w:rPr>
                <w:rFonts w:ascii="Book Antiqua" w:hAnsi="Book Antiqua" w:cs="Arial"/>
                <w:b/>
                <w:color w:val="212121"/>
                <w:sz w:val="16"/>
                <w:szCs w:val="16"/>
                <w:lang w:val="es-NI"/>
              </w:rPr>
              <w:t>¿Considera que esta actividad es trabajo?</w:t>
            </w:r>
          </w:p>
          <w:p w14:paraId="198AC86C" w14:textId="77777777" w:rsidR="005858CD" w:rsidRPr="005858CD" w:rsidRDefault="005858CD" w:rsidP="008C041F">
            <w:pPr>
              <w:rPr>
                <w:rFonts w:ascii="Arial" w:hAnsi="Arial" w:cs="Arial"/>
                <w:b/>
                <w:sz w:val="14"/>
                <w:szCs w:val="14"/>
                <w:lang w:val="es-NI" w:eastAsia="en-GB"/>
              </w:rPr>
            </w:pPr>
          </w:p>
          <w:p w14:paraId="7C379AE4"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No</w:t>
            </w:r>
          </w:p>
          <w:p w14:paraId="7C3E1DDA" w14:textId="77777777" w:rsidR="005858CD" w:rsidRPr="005858CD" w:rsidRDefault="005858CD" w:rsidP="008C041F">
            <w:pPr>
              <w:rPr>
                <w:rFonts w:ascii="Arial" w:hAnsi="Arial" w:cs="Arial"/>
                <w:sz w:val="14"/>
                <w:szCs w:val="14"/>
                <w:lang w:val="es-NI"/>
              </w:rPr>
            </w:pPr>
            <w:r w:rsidRPr="005858CD">
              <w:rPr>
                <w:rFonts w:ascii="Book Antiqua" w:hAnsi="Book Antiqua" w:cs="Arial"/>
                <w:sz w:val="14"/>
                <w:szCs w:val="14"/>
                <w:lang w:val="es-NI"/>
              </w:rPr>
              <w:t>1 = Si</w:t>
            </w:r>
          </w:p>
          <w:p w14:paraId="760C2C4D" w14:textId="77777777" w:rsidR="005858CD" w:rsidRPr="005858CD" w:rsidRDefault="005858CD">
            <w:pPr>
              <w:rPr>
                <w:rFonts w:ascii="Arial" w:hAnsi="Arial" w:cs="Arial"/>
                <w:sz w:val="14"/>
                <w:szCs w:val="14"/>
                <w:lang w:val="es-NI"/>
              </w:rPr>
            </w:pPr>
          </w:p>
          <w:p w14:paraId="4C0C8CC5" w14:textId="77777777" w:rsidR="005858CD" w:rsidRPr="005858CD" w:rsidRDefault="005858CD">
            <w:pPr>
              <w:rPr>
                <w:rFonts w:ascii="Arial" w:hAnsi="Arial" w:cs="Arial"/>
                <w:sz w:val="14"/>
                <w:szCs w:val="14"/>
                <w:lang w:val="es-NI"/>
              </w:rPr>
            </w:pPr>
          </w:p>
        </w:tc>
        <w:tc>
          <w:tcPr>
            <w:tcW w:w="1080" w:type="dxa"/>
          </w:tcPr>
          <w:p w14:paraId="188132B7" w14:textId="77777777" w:rsidR="005858CD" w:rsidRPr="005858CD" w:rsidRDefault="005858CD">
            <w:pPr>
              <w:rPr>
                <w:rFonts w:ascii="Book Antiqua" w:hAnsi="Book Antiqua" w:cs="Arial"/>
                <w:b/>
                <w:bCs/>
                <w:color w:val="000000"/>
                <w:sz w:val="16"/>
                <w:szCs w:val="16"/>
                <w:lang w:val="es-NI"/>
              </w:rPr>
            </w:pPr>
            <w:r w:rsidRPr="005858CD">
              <w:rPr>
                <w:rFonts w:ascii="Book Antiqua" w:hAnsi="Book Antiqua" w:cs="Arial"/>
                <w:b/>
                <w:color w:val="212121"/>
                <w:sz w:val="16"/>
                <w:szCs w:val="16"/>
                <w:lang w:val="es-NI"/>
              </w:rPr>
              <w:t>¿Considera que esta actividad requiere habilidades especiales?</w:t>
            </w:r>
          </w:p>
          <w:p w14:paraId="2F836575" w14:textId="77777777" w:rsidR="005858CD" w:rsidRPr="005858CD" w:rsidRDefault="005858CD">
            <w:pPr>
              <w:rPr>
                <w:rFonts w:ascii="Arial" w:hAnsi="Arial" w:cs="Arial"/>
                <w:b/>
                <w:sz w:val="14"/>
                <w:szCs w:val="14"/>
                <w:lang w:val="es-NI"/>
              </w:rPr>
            </w:pPr>
            <w:r w:rsidRPr="005858CD">
              <w:rPr>
                <w:rFonts w:ascii="Arial" w:hAnsi="Arial" w:cs="Arial"/>
                <w:b/>
                <w:sz w:val="14"/>
                <w:szCs w:val="14"/>
                <w:lang w:val="es-NI"/>
              </w:rPr>
              <w:t xml:space="preserve"> </w:t>
            </w:r>
          </w:p>
          <w:p w14:paraId="5ED7FE36"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0 = No</w:t>
            </w:r>
          </w:p>
          <w:p w14:paraId="1F404D1D" w14:textId="77777777" w:rsidR="005858CD" w:rsidRPr="005858CD" w:rsidRDefault="005858CD">
            <w:pPr>
              <w:rPr>
                <w:rFonts w:ascii="Arial" w:hAnsi="Arial" w:cs="Arial"/>
                <w:sz w:val="14"/>
                <w:szCs w:val="14"/>
                <w:lang w:val="es-NI"/>
              </w:rPr>
            </w:pPr>
            <w:r w:rsidRPr="005858CD">
              <w:rPr>
                <w:rFonts w:ascii="Book Antiqua" w:hAnsi="Book Antiqua" w:cs="Arial"/>
                <w:sz w:val="14"/>
                <w:szCs w:val="14"/>
                <w:lang w:val="es-NI"/>
              </w:rPr>
              <w:t>1 = Si</w:t>
            </w:r>
          </w:p>
          <w:p w14:paraId="00DB0FCE" w14:textId="77777777" w:rsidR="005858CD" w:rsidRPr="005858CD" w:rsidRDefault="005858CD">
            <w:pPr>
              <w:rPr>
                <w:rFonts w:ascii="Arial" w:hAnsi="Arial" w:cs="Arial"/>
                <w:b/>
                <w:sz w:val="14"/>
                <w:szCs w:val="14"/>
                <w:lang w:val="es-NI"/>
              </w:rPr>
            </w:pPr>
          </w:p>
        </w:tc>
        <w:tc>
          <w:tcPr>
            <w:tcW w:w="1170" w:type="dxa"/>
          </w:tcPr>
          <w:p w14:paraId="6EFA0323" w14:textId="77777777" w:rsidR="005858CD" w:rsidRPr="005858CD" w:rsidRDefault="005858CD">
            <w:pPr>
              <w:rPr>
                <w:rFonts w:ascii="Book Antiqua" w:hAnsi="Book Antiqua" w:cs="Arial"/>
                <w:b/>
                <w:color w:val="212121"/>
                <w:sz w:val="16"/>
                <w:szCs w:val="16"/>
                <w:lang w:val="es-NI"/>
              </w:rPr>
            </w:pPr>
            <w:r w:rsidRPr="005858CD">
              <w:rPr>
                <w:rFonts w:ascii="Book Antiqua" w:hAnsi="Book Antiqua" w:cs="Arial"/>
                <w:b/>
                <w:color w:val="212121"/>
                <w:sz w:val="16"/>
                <w:szCs w:val="16"/>
                <w:lang w:val="es-NI"/>
              </w:rPr>
              <w:t>¿Qué tan valiosa es esta actividad?</w:t>
            </w:r>
          </w:p>
          <w:p w14:paraId="0857437D" w14:textId="77777777" w:rsidR="005858CD" w:rsidRPr="005858CD" w:rsidRDefault="005858CD">
            <w:pPr>
              <w:rPr>
                <w:rFonts w:ascii="Book Antiqua" w:hAnsi="Book Antiqua" w:cs="Arial"/>
                <w:b/>
                <w:color w:val="212121"/>
                <w:sz w:val="16"/>
                <w:szCs w:val="16"/>
                <w:lang w:val="es-NI"/>
              </w:rPr>
            </w:pPr>
          </w:p>
          <w:p w14:paraId="16C4D579"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1 = No muy valiosa </w:t>
            </w:r>
          </w:p>
          <w:p w14:paraId="183E4C3D"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2 = Un poco valiosa </w:t>
            </w:r>
          </w:p>
          <w:p w14:paraId="28FF8C5D"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3 = Algo valiosa </w:t>
            </w:r>
          </w:p>
          <w:p w14:paraId="6EB89B35" w14:textId="77777777" w:rsidR="005858CD" w:rsidRPr="005858CD" w:rsidRDefault="005858CD">
            <w:pPr>
              <w:rPr>
                <w:rFonts w:ascii="Arial" w:hAnsi="Arial" w:cs="Arial"/>
                <w:b/>
                <w:sz w:val="18"/>
                <w:szCs w:val="18"/>
              </w:rPr>
            </w:pPr>
            <w:r w:rsidRPr="005858CD">
              <w:rPr>
                <w:rFonts w:ascii="Book Antiqua" w:hAnsi="Book Antiqua" w:cs="Arial"/>
                <w:bCs/>
                <w:color w:val="000000"/>
                <w:sz w:val="14"/>
                <w:szCs w:val="14"/>
              </w:rPr>
              <w:t>4 = Muy valiosa</w:t>
            </w:r>
            <w:r w:rsidRPr="005858CD" w:rsidDel="00DB1496">
              <w:rPr>
                <w:rFonts w:ascii="Arial" w:hAnsi="Arial" w:cs="Arial"/>
                <w:sz w:val="18"/>
                <w:szCs w:val="18"/>
              </w:rPr>
              <w:t xml:space="preserve"> </w:t>
            </w:r>
          </w:p>
        </w:tc>
        <w:tc>
          <w:tcPr>
            <w:tcW w:w="1890" w:type="dxa"/>
          </w:tcPr>
          <w:p w14:paraId="3B272EC6" w14:textId="77777777" w:rsidR="005858CD" w:rsidRPr="005858CD" w:rsidRDefault="005858CD">
            <w:pPr>
              <w:rPr>
                <w:rFonts w:ascii="Book Antiqua" w:hAnsi="Book Antiqua" w:cs="Arial"/>
                <w:b/>
                <w:bCs/>
                <w:color w:val="000000"/>
                <w:sz w:val="16"/>
                <w:szCs w:val="16"/>
                <w:lang w:val="es-NI"/>
              </w:rPr>
            </w:pPr>
            <w:r w:rsidRPr="005858CD">
              <w:rPr>
                <w:rFonts w:ascii="Book Antiqua" w:hAnsi="Book Antiqua" w:cs="Arial"/>
                <w:b/>
                <w:color w:val="212121"/>
                <w:sz w:val="16"/>
                <w:szCs w:val="16"/>
                <w:lang w:val="es-NI"/>
              </w:rPr>
              <w:t xml:space="preserve">¿Quién cree usted que debería ser el/la principal responsable de realizar esta actividad? </w:t>
            </w:r>
          </w:p>
          <w:p w14:paraId="693A38C5"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 xml:space="preserve">1 = Hombres en el hogar </w:t>
            </w:r>
          </w:p>
          <w:p w14:paraId="79A0CB68"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2 = Mujeres en el hogar</w:t>
            </w:r>
          </w:p>
          <w:p w14:paraId="28A85FED"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3 = Niño/as en el hogar</w:t>
            </w:r>
          </w:p>
          <w:p w14:paraId="5E74C669"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 xml:space="preserve">4 = El Estado </w:t>
            </w:r>
          </w:p>
          <w:p w14:paraId="40EC96A4"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5 = Empleadores</w:t>
            </w:r>
          </w:p>
          <w:p w14:paraId="4F5BEC04"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6 = Sociedad civil/ONG/Cooperativa</w:t>
            </w:r>
          </w:p>
          <w:p w14:paraId="147A3883"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 xml:space="preserve">7 = Trabajador/a asalariado/a </w:t>
            </w:r>
          </w:p>
          <w:p w14:paraId="2FD6B203" w14:textId="77777777" w:rsidR="005858CD" w:rsidRPr="005858CD" w:rsidRDefault="005858CD">
            <w:pPr>
              <w:rPr>
                <w:rFonts w:ascii="Arial" w:hAnsi="Arial" w:cs="Arial"/>
                <w:sz w:val="14"/>
                <w:szCs w:val="14"/>
                <w:lang w:val="es-NI"/>
              </w:rPr>
            </w:pPr>
            <w:r w:rsidRPr="005858CD">
              <w:rPr>
                <w:rFonts w:ascii="Book Antiqua" w:hAnsi="Book Antiqua" w:cs="Arial"/>
                <w:sz w:val="14"/>
                <w:szCs w:val="14"/>
                <w:lang w:val="es-NI"/>
              </w:rPr>
              <w:t>8 = Otro</w:t>
            </w:r>
          </w:p>
        </w:tc>
        <w:tc>
          <w:tcPr>
            <w:tcW w:w="1890" w:type="dxa"/>
          </w:tcPr>
          <w:p w14:paraId="5A77EE50" w14:textId="77777777" w:rsidR="005858CD" w:rsidRPr="005858CD" w:rsidRDefault="005858CD">
            <w:pPr>
              <w:rPr>
                <w:rFonts w:ascii="Book Antiqua" w:hAnsi="Book Antiqua" w:cs="Arial"/>
                <w:b/>
                <w:color w:val="000000"/>
                <w:sz w:val="16"/>
                <w:szCs w:val="16"/>
                <w:lang w:val="es-NI"/>
              </w:rPr>
            </w:pPr>
            <w:r w:rsidRPr="005858CD">
              <w:rPr>
                <w:rFonts w:ascii="Book Antiqua" w:hAnsi="Book Antiqua" w:cs="Arial"/>
                <w:b/>
                <w:color w:val="212121"/>
                <w:sz w:val="16"/>
                <w:szCs w:val="16"/>
                <w:lang w:val="es-NI"/>
              </w:rPr>
              <w:t>¿En su casa, quién generalmente decide quién realiza esta actividad?</w:t>
            </w:r>
          </w:p>
          <w:p w14:paraId="45FE4901" w14:textId="77777777" w:rsidR="005858CD" w:rsidRPr="005858CD" w:rsidRDefault="005858CD">
            <w:pPr>
              <w:rPr>
                <w:rFonts w:ascii="Arial" w:hAnsi="Arial" w:cs="Arial"/>
                <w:i/>
                <w:color w:val="000000"/>
                <w:sz w:val="14"/>
                <w:szCs w:val="14"/>
                <w:lang w:val="es-NI"/>
              </w:rPr>
            </w:pPr>
            <w:r w:rsidRPr="005858CD">
              <w:rPr>
                <w:rFonts w:ascii="Arial" w:hAnsi="Arial" w:cs="Arial"/>
                <w:i/>
                <w:color w:val="000000"/>
                <w:sz w:val="14"/>
                <w:szCs w:val="14"/>
                <w:lang w:val="es-NI"/>
              </w:rPr>
              <w:t>(hasta dos opciones)</w:t>
            </w:r>
          </w:p>
          <w:p w14:paraId="47439251"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1 = Yo</w:t>
            </w:r>
          </w:p>
          <w:p w14:paraId="0650F6EF"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2 = Mi esposo/pareja</w:t>
            </w:r>
          </w:p>
          <w:p w14:paraId="6B1DE991"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3 = Otro hombre en el hogar</w:t>
            </w:r>
          </w:p>
          <w:p w14:paraId="75964919"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4 = Otra mujer en el hogar</w:t>
            </w:r>
          </w:p>
          <w:p w14:paraId="217F33CD"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5 = Un niño/a en el hogar</w:t>
            </w:r>
          </w:p>
          <w:p w14:paraId="27F312B8"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 xml:space="preserve">6 = Nadie, así es </w:t>
            </w:r>
          </w:p>
          <w:p w14:paraId="3321EF1E"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7 = Otro</w:t>
            </w:r>
          </w:p>
          <w:p w14:paraId="37DF164F" w14:textId="77777777" w:rsidR="005858CD" w:rsidRPr="005858CD" w:rsidRDefault="005858CD">
            <w:pPr>
              <w:rPr>
                <w:rFonts w:ascii="Arial" w:hAnsi="Arial" w:cs="Arial"/>
                <w:b/>
                <w:bCs/>
                <w:color w:val="000000"/>
                <w:sz w:val="18"/>
              </w:rPr>
            </w:pPr>
          </w:p>
        </w:tc>
        <w:tc>
          <w:tcPr>
            <w:tcW w:w="1170" w:type="dxa"/>
          </w:tcPr>
          <w:p w14:paraId="0467A853" w14:textId="77777777" w:rsidR="005858CD" w:rsidRPr="005858CD" w:rsidRDefault="005858CD">
            <w:pPr>
              <w:spacing w:before="80"/>
              <w:rPr>
                <w:rFonts w:ascii="Book Antiqua" w:hAnsi="Book Antiqua" w:cs="Arial"/>
                <w:b/>
                <w:color w:val="000000"/>
                <w:sz w:val="16"/>
                <w:szCs w:val="16"/>
                <w:shd w:val="clear" w:color="auto" w:fill="FFFFFF"/>
                <w:lang w:val="es-NI"/>
              </w:rPr>
            </w:pPr>
            <w:r w:rsidRPr="005858CD">
              <w:rPr>
                <w:rFonts w:ascii="Book Antiqua" w:hAnsi="Book Antiqua" w:cs="Arial"/>
                <w:b/>
                <w:color w:val="212121"/>
                <w:sz w:val="16"/>
                <w:szCs w:val="16"/>
                <w:lang w:val="es-NI"/>
              </w:rPr>
              <w:t>¿Está de acuerdo con esta decisión?</w:t>
            </w:r>
          </w:p>
          <w:p w14:paraId="17B1208B" w14:textId="77777777" w:rsidR="005858CD" w:rsidRPr="005858CD" w:rsidRDefault="005858CD">
            <w:pPr>
              <w:spacing w:before="80"/>
              <w:rPr>
                <w:rFonts w:ascii="Arial" w:hAnsi="Arial" w:cs="Arial"/>
                <w:color w:val="000000"/>
                <w:sz w:val="14"/>
                <w:szCs w:val="14"/>
                <w:shd w:val="clear" w:color="auto" w:fill="FFFFFF"/>
                <w:lang w:val="es-NI"/>
              </w:rPr>
            </w:pPr>
            <w:r w:rsidRPr="005858CD">
              <w:rPr>
                <w:rFonts w:ascii="Arial" w:hAnsi="Arial" w:cs="Arial"/>
                <w:color w:val="000000"/>
                <w:sz w:val="14"/>
                <w:szCs w:val="14"/>
                <w:shd w:val="clear" w:color="auto" w:fill="FFFFFF"/>
                <w:lang w:val="es-NI"/>
              </w:rPr>
              <w:t xml:space="preserve"> </w:t>
            </w:r>
          </w:p>
          <w:p w14:paraId="013A244E"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0 = No</w:t>
            </w:r>
          </w:p>
          <w:p w14:paraId="2E8F7378" w14:textId="77777777" w:rsidR="005858CD" w:rsidRPr="005858CD" w:rsidRDefault="005858CD">
            <w:pPr>
              <w:rPr>
                <w:rFonts w:ascii="Arial" w:hAnsi="Arial" w:cs="Arial"/>
                <w:sz w:val="14"/>
                <w:szCs w:val="14"/>
              </w:rPr>
            </w:pPr>
            <w:r w:rsidRPr="005858CD">
              <w:rPr>
                <w:rFonts w:ascii="Book Antiqua" w:hAnsi="Book Antiqua" w:cs="Arial"/>
                <w:sz w:val="14"/>
                <w:szCs w:val="14"/>
              </w:rPr>
              <w:t>1 = Si</w:t>
            </w:r>
          </w:p>
          <w:p w14:paraId="504D7FBC" w14:textId="77777777" w:rsidR="005858CD" w:rsidRPr="005858CD" w:rsidRDefault="005858CD">
            <w:pPr>
              <w:rPr>
                <w:rFonts w:ascii="Arial" w:hAnsi="Arial" w:cs="Arial"/>
                <w:color w:val="000000"/>
                <w:sz w:val="14"/>
                <w:szCs w:val="14"/>
                <w:shd w:val="clear" w:color="auto" w:fill="FFFFFF"/>
              </w:rPr>
            </w:pPr>
          </w:p>
        </w:tc>
        <w:tc>
          <w:tcPr>
            <w:tcW w:w="1350" w:type="dxa"/>
          </w:tcPr>
          <w:p w14:paraId="482A3D07" w14:textId="77777777" w:rsidR="005858CD" w:rsidRPr="005858CD" w:rsidRDefault="005858CD">
            <w:pPr>
              <w:rPr>
                <w:rFonts w:ascii="Book Antiqua" w:hAnsi="Book Antiqua" w:cs="Arial"/>
                <w:i/>
                <w:color w:val="000000"/>
                <w:sz w:val="16"/>
                <w:szCs w:val="16"/>
                <w:lang w:val="es-NI"/>
              </w:rPr>
            </w:pPr>
            <w:r w:rsidRPr="005858CD">
              <w:rPr>
                <w:rFonts w:ascii="Book Antiqua" w:hAnsi="Book Antiqua" w:cs="Arial"/>
                <w:b/>
                <w:color w:val="212121"/>
                <w:sz w:val="16"/>
                <w:szCs w:val="16"/>
                <w:lang w:val="es-NI"/>
              </w:rPr>
              <w:t xml:space="preserve">¿Hasta qué punto cree que usted podría cambiar esta decisión? </w:t>
            </w:r>
          </w:p>
          <w:p w14:paraId="17742317" w14:textId="77777777" w:rsidR="005858CD" w:rsidRPr="005858CD" w:rsidRDefault="005858CD">
            <w:pPr>
              <w:rPr>
                <w:rFonts w:ascii="Arial" w:hAnsi="Arial" w:cs="Arial"/>
                <w:b/>
                <w:color w:val="000000"/>
                <w:sz w:val="14"/>
                <w:szCs w:val="14"/>
                <w:lang w:val="es-NI"/>
              </w:rPr>
            </w:pPr>
          </w:p>
          <w:p w14:paraId="5D72F242" w14:textId="77777777" w:rsidR="005858CD" w:rsidRPr="005858CD" w:rsidRDefault="005858CD">
            <w:pPr>
              <w:rPr>
                <w:rFonts w:ascii="Book Antiqua" w:hAnsi="Book Antiqua" w:cs="Arial"/>
                <w:color w:val="000000"/>
                <w:sz w:val="14"/>
                <w:szCs w:val="14"/>
                <w:shd w:val="clear" w:color="auto" w:fill="FFFFFF"/>
                <w:lang w:val="es-NI"/>
              </w:rPr>
            </w:pPr>
            <w:r w:rsidRPr="005858CD">
              <w:rPr>
                <w:rFonts w:ascii="Book Antiqua" w:hAnsi="Book Antiqua" w:cs="Arial"/>
                <w:color w:val="000000"/>
                <w:sz w:val="14"/>
                <w:szCs w:val="14"/>
                <w:shd w:val="clear" w:color="auto" w:fill="FFFFFF"/>
                <w:lang w:val="es-NI"/>
              </w:rPr>
              <w:t>0 = Para nada</w:t>
            </w:r>
          </w:p>
          <w:p w14:paraId="1DC4C411" w14:textId="77777777" w:rsidR="005858CD" w:rsidRPr="005858CD" w:rsidRDefault="005858CD">
            <w:pPr>
              <w:rPr>
                <w:rFonts w:ascii="Book Antiqua" w:hAnsi="Book Antiqua" w:cs="Arial"/>
                <w:color w:val="000000"/>
                <w:sz w:val="14"/>
                <w:szCs w:val="14"/>
                <w:shd w:val="clear" w:color="auto" w:fill="FFFFFF"/>
                <w:lang w:val="es-NI"/>
              </w:rPr>
            </w:pPr>
            <w:r w:rsidRPr="005858CD">
              <w:rPr>
                <w:rFonts w:ascii="Book Antiqua" w:hAnsi="Book Antiqua" w:cs="Arial"/>
                <w:color w:val="000000"/>
                <w:sz w:val="14"/>
                <w:szCs w:val="14"/>
                <w:shd w:val="clear" w:color="auto" w:fill="FFFFFF"/>
                <w:lang w:val="es-NI"/>
              </w:rPr>
              <w:t>1 = Hasta algún punto</w:t>
            </w:r>
          </w:p>
          <w:p w14:paraId="20A27DD8" w14:textId="77777777" w:rsidR="005858CD" w:rsidRPr="005858CD" w:rsidRDefault="005858CD">
            <w:pPr>
              <w:rPr>
                <w:rFonts w:ascii="Arial" w:hAnsi="Arial" w:cs="Arial"/>
                <w:color w:val="000000"/>
                <w:sz w:val="14"/>
                <w:szCs w:val="14"/>
                <w:shd w:val="clear" w:color="auto" w:fill="FFFFFF"/>
                <w:lang w:val="es-NI"/>
              </w:rPr>
            </w:pPr>
            <w:r w:rsidRPr="005858CD">
              <w:rPr>
                <w:rFonts w:ascii="Book Antiqua" w:hAnsi="Book Antiqua" w:cs="Arial"/>
                <w:color w:val="000000"/>
                <w:sz w:val="14"/>
                <w:szCs w:val="14"/>
                <w:shd w:val="clear" w:color="auto" w:fill="FFFFFF"/>
                <w:lang w:val="es-NI"/>
              </w:rPr>
              <w:t>2 = Mucho</w:t>
            </w:r>
          </w:p>
          <w:p w14:paraId="14C28DC1" w14:textId="77777777" w:rsidR="005858CD" w:rsidRPr="005858CD" w:rsidRDefault="005858CD">
            <w:pPr>
              <w:rPr>
                <w:rFonts w:ascii="Arial" w:hAnsi="Arial" w:cs="Arial"/>
                <w:sz w:val="14"/>
                <w:szCs w:val="14"/>
                <w:lang w:val="es-NI"/>
              </w:rPr>
            </w:pPr>
          </w:p>
        </w:tc>
      </w:tr>
      <w:tr w:rsidR="005858CD" w:rsidRPr="005858CD" w14:paraId="3C88FFF7" w14:textId="77777777" w:rsidTr="00873A6E">
        <w:trPr>
          <w:trHeight w:val="288"/>
        </w:trPr>
        <w:tc>
          <w:tcPr>
            <w:tcW w:w="417" w:type="dxa"/>
          </w:tcPr>
          <w:p w14:paraId="4AE3917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A</w:t>
            </w:r>
          </w:p>
        </w:tc>
        <w:tc>
          <w:tcPr>
            <w:tcW w:w="1260" w:type="dxa"/>
            <w:vAlign w:val="center"/>
          </w:tcPr>
          <w:p w14:paraId="174F553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 xml:space="preserve">Buscar agua </w:t>
            </w:r>
          </w:p>
        </w:tc>
        <w:tc>
          <w:tcPr>
            <w:tcW w:w="990" w:type="dxa"/>
            <w:vAlign w:val="center"/>
          </w:tcPr>
          <w:p w14:paraId="598535E3"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6671188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1BC810A6"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65337CF4"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034D95E1" w14:textId="77777777" w:rsidR="005858CD" w:rsidRPr="005858CD" w:rsidRDefault="005858CD">
            <w:r w:rsidRPr="005858CD">
              <w:rPr>
                <w:b/>
                <w:bCs/>
                <w:color w:val="000000"/>
                <w:sz w:val="28"/>
                <w:szCs w:val="28"/>
              </w:rPr>
              <w:t>|__| |__| _____</w:t>
            </w:r>
          </w:p>
        </w:tc>
        <w:tc>
          <w:tcPr>
            <w:tcW w:w="1170" w:type="dxa"/>
            <w:vAlign w:val="center"/>
          </w:tcPr>
          <w:p w14:paraId="527B882B"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6823B2A3"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48D8A3E0" w14:textId="77777777" w:rsidTr="00873A6E">
        <w:trPr>
          <w:trHeight w:val="288"/>
        </w:trPr>
        <w:tc>
          <w:tcPr>
            <w:tcW w:w="417" w:type="dxa"/>
          </w:tcPr>
          <w:p w14:paraId="6ED07E05"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lastRenderedPageBreak/>
              <w:t>B</w:t>
            </w:r>
          </w:p>
        </w:tc>
        <w:tc>
          <w:tcPr>
            <w:tcW w:w="1260" w:type="dxa"/>
            <w:vAlign w:val="center"/>
          </w:tcPr>
          <w:p w14:paraId="4F7F771B" w14:textId="77777777" w:rsidR="005858CD" w:rsidRPr="005858CD" w:rsidRDefault="005858CD" w:rsidP="008C041F">
            <w:pPr>
              <w:rPr>
                <w:rFonts w:ascii="Book Antiqua" w:hAnsi="Book Antiqua" w:cs="Arial"/>
                <w:sz w:val="16"/>
                <w:szCs w:val="16"/>
                <w:lang w:eastAsia="en-GB"/>
              </w:rPr>
            </w:pPr>
            <w:r w:rsidRPr="005858CD">
              <w:rPr>
                <w:rFonts w:ascii="Book Antiqua" w:hAnsi="Book Antiqua" w:cs="Arial"/>
                <w:sz w:val="16"/>
                <w:szCs w:val="16"/>
                <w:lang w:eastAsia="en-GB"/>
              </w:rPr>
              <w:t>Recolectar o comprar leña</w:t>
            </w:r>
          </w:p>
        </w:tc>
        <w:tc>
          <w:tcPr>
            <w:tcW w:w="990" w:type="dxa"/>
            <w:vAlign w:val="center"/>
          </w:tcPr>
          <w:p w14:paraId="6809393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44E5278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262B6959"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6A755159"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31BEB141" w14:textId="77777777" w:rsidR="005858CD" w:rsidRPr="005858CD" w:rsidRDefault="005858CD">
            <w:r w:rsidRPr="005858CD">
              <w:rPr>
                <w:b/>
                <w:bCs/>
                <w:color w:val="000000"/>
                <w:sz w:val="28"/>
                <w:szCs w:val="28"/>
              </w:rPr>
              <w:t>|__| |__| _____</w:t>
            </w:r>
          </w:p>
        </w:tc>
        <w:tc>
          <w:tcPr>
            <w:tcW w:w="1170" w:type="dxa"/>
            <w:vAlign w:val="center"/>
          </w:tcPr>
          <w:p w14:paraId="7BA2CFFE"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30124B1F"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263F5BC7" w14:textId="77777777" w:rsidTr="00873A6E">
        <w:trPr>
          <w:trHeight w:val="288"/>
        </w:trPr>
        <w:tc>
          <w:tcPr>
            <w:tcW w:w="417" w:type="dxa"/>
          </w:tcPr>
          <w:p w14:paraId="3A13AA62"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C</w:t>
            </w:r>
          </w:p>
        </w:tc>
        <w:tc>
          <w:tcPr>
            <w:tcW w:w="1260" w:type="dxa"/>
            <w:vAlign w:val="center"/>
          </w:tcPr>
          <w:p w14:paraId="1F7C3B8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Preparación de alimentos</w:t>
            </w:r>
          </w:p>
        </w:tc>
        <w:tc>
          <w:tcPr>
            <w:tcW w:w="990" w:type="dxa"/>
            <w:vAlign w:val="center"/>
          </w:tcPr>
          <w:p w14:paraId="7C059B23"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7E1D84C6"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4D7B91E5"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1898E2AC"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3C3CAA37" w14:textId="77777777" w:rsidR="005858CD" w:rsidRPr="005858CD" w:rsidRDefault="005858CD">
            <w:r w:rsidRPr="005858CD">
              <w:rPr>
                <w:b/>
                <w:bCs/>
                <w:color w:val="000000"/>
                <w:sz w:val="28"/>
                <w:szCs w:val="28"/>
              </w:rPr>
              <w:t>|__| |__| _____</w:t>
            </w:r>
          </w:p>
        </w:tc>
        <w:tc>
          <w:tcPr>
            <w:tcW w:w="1170" w:type="dxa"/>
            <w:vAlign w:val="center"/>
          </w:tcPr>
          <w:p w14:paraId="7E5ACFA0"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7CDC308C"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418B1A71" w14:textId="77777777" w:rsidTr="00873A6E">
        <w:trPr>
          <w:trHeight w:val="288"/>
        </w:trPr>
        <w:tc>
          <w:tcPr>
            <w:tcW w:w="417" w:type="dxa"/>
          </w:tcPr>
          <w:p w14:paraId="67B0B0F1"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D</w:t>
            </w:r>
          </w:p>
        </w:tc>
        <w:tc>
          <w:tcPr>
            <w:tcW w:w="1260" w:type="dxa"/>
            <w:vAlign w:val="center"/>
          </w:tcPr>
          <w:p w14:paraId="0080EA9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 xml:space="preserve">Limpiar  </w:t>
            </w:r>
          </w:p>
        </w:tc>
        <w:tc>
          <w:tcPr>
            <w:tcW w:w="990" w:type="dxa"/>
            <w:vAlign w:val="center"/>
          </w:tcPr>
          <w:p w14:paraId="6CB5537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034ED7B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02B564D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03E94C4C"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2820A3B9" w14:textId="77777777" w:rsidR="005858CD" w:rsidRPr="005858CD" w:rsidRDefault="005858CD">
            <w:r w:rsidRPr="005858CD">
              <w:rPr>
                <w:b/>
                <w:bCs/>
                <w:color w:val="000000"/>
                <w:sz w:val="28"/>
                <w:szCs w:val="28"/>
              </w:rPr>
              <w:t>|__| |__| _____</w:t>
            </w:r>
          </w:p>
        </w:tc>
        <w:tc>
          <w:tcPr>
            <w:tcW w:w="1170" w:type="dxa"/>
            <w:vAlign w:val="center"/>
          </w:tcPr>
          <w:p w14:paraId="0735B130"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31DB34F3"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166692C7" w14:textId="77777777" w:rsidTr="00873A6E">
        <w:trPr>
          <w:trHeight w:val="288"/>
        </w:trPr>
        <w:tc>
          <w:tcPr>
            <w:tcW w:w="417" w:type="dxa"/>
          </w:tcPr>
          <w:p w14:paraId="1082402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E</w:t>
            </w:r>
          </w:p>
        </w:tc>
        <w:tc>
          <w:tcPr>
            <w:tcW w:w="1260" w:type="dxa"/>
            <w:vAlign w:val="center"/>
          </w:tcPr>
          <w:p w14:paraId="6FE4B55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Preparar la ropa</w:t>
            </w:r>
          </w:p>
        </w:tc>
        <w:tc>
          <w:tcPr>
            <w:tcW w:w="990" w:type="dxa"/>
            <w:vAlign w:val="center"/>
          </w:tcPr>
          <w:p w14:paraId="340DD73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1207637B"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4080261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0F435532"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25282227" w14:textId="77777777" w:rsidR="005858CD" w:rsidRPr="005858CD" w:rsidRDefault="005858CD">
            <w:r w:rsidRPr="005858CD">
              <w:rPr>
                <w:b/>
                <w:bCs/>
                <w:color w:val="000000"/>
                <w:sz w:val="28"/>
                <w:szCs w:val="28"/>
              </w:rPr>
              <w:t>|__| |__| _____</w:t>
            </w:r>
          </w:p>
        </w:tc>
        <w:tc>
          <w:tcPr>
            <w:tcW w:w="1170" w:type="dxa"/>
            <w:vAlign w:val="center"/>
          </w:tcPr>
          <w:p w14:paraId="0FB2F47C"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5F59E301"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55D6943D" w14:textId="77777777" w:rsidTr="00873A6E">
        <w:trPr>
          <w:trHeight w:val="288"/>
        </w:trPr>
        <w:tc>
          <w:tcPr>
            <w:tcW w:w="417" w:type="dxa"/>
          </w:tcPr>
          <w:p w14:paraId="7819A7F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F</w:t>
            </w:r>
          </w:p>
        </w:tc>
        <w:tc>
          <w:tcPr>
            <w:tcW w:w="1260" w:type="dxa"/>
            <w:vAlign w:val="center"/>
          </w:tcPr>
          <w:p w14:paraId="0B4DC07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Cuido de niño/as</w:t>
            </w:r>
          </w:p>
        </w:tc>
        <w:tc>
          <w:tcPr>
            <w:tcW w:w="990" w:type="dxa"/>
            <w:vAlign w:val="center"/>
          </w:tcPr>
          <w:p w14:paraId="40DD7A4F"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0BAA03D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1461179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6BD3755D"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2A4A6BBE" w14:textId="77777777" w:rsidR="005858CD" w:rsidRPr="005858CD" w:rsidRDefault="005858CD">
            <w:r w:rsidRPr="005858CD">
              <w:rPr>
                <w:b/>
                <w:bCs/>
                <w:color w:val="000000"/>
                <w:sz w:val="28"/>
                <w:szCs w:val="28"/>
              </w:rPr>
              <w:t>|__| |__| _____</w:t>
            </w:r>
          </w:p>
        </w:tc>
        <w:tc>
          <w:tcPr>
            <w:tcW w:w="1170" w:type="dxa"/>
            <w:vAlign w:val="center"/>
          </w:tcPr>
          <w:p w14:paraId="041434B7"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1636F80C"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0B370352" w14:textId="77777777" w:rsidTr="00873A6E">
        <w:trPr>
          <w:trHeight w:val="288"/>
        </w:trPr>
        <w:tc>
          <w:tcPr>
            <w:tcW w:w="417" w:type="dxa"/>
          </w:tcPr>
          <w:p w14:paraId="2401C4A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G</w:t>
            </w:r>
          </w:p>
        </w:tc>
        <w:tc>
          <w:tcPr>
            <w:tcW w:w="1260" w:type="dxa"/>
            <w:vAlign w:val="center"/>
          </w:tcPr>
          <w:p w14:paraId="72E0E725" w14:textId="77777777" w:rsidR="005858CD" w:rsidRPr="005858CD" w:rsidRDefault="005858CD" w:rsidP="008C041F">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Cuido de personas de la tercera edad</w:t>
            </w:r>
          </w:p>
        </w:tc>
        <w:tc>
          <w:tcPr>
            <w:tcW w:w="990" w:type="dxa"/>
            <w:vAlign w:val="center"/>
          </w:tcPr>
          <w:p w14:paraId="3910590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4334FCB2"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62CF229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3F6FB4BB"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3B753FA7" w14:textId="77777777" w:rsidR="005858CD" w:rsidRPr="005858CD" w:rsidRDefault="005858CD">
            <w:r w:rsidRPr="005858CD">
              <w:rPr>
                <w:b/>
                <w:bCs/>
                <w:color w:val="000000"/>
                <w:sz w:val="28"/>
                <w:szCs w:val="28"/>
              </w:rPr>
              <w:t>|__| |__| _____</w:t>
            </w:r>
          </w:p>
        </w:tc>
        <w:tc>
          <w:tcPr>
            <w:tcW w:w="1170" w:type="dxa"/>
            <w:vAlign w:val="center"/>
          </w:tcPr>
          <w:p w14:paraId="1C17BBB8"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55893159"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198E1B22" w14:textId="77777777" w:rsidTr="00873A6E">
        <w:trPr>
          <w:trHeight w:val="288"/>
        </w:trPr>
        <w:tc>
          <w:tcPr>
            <w:tcW w:w="417" w:type="dxa"/>
          </w:tcPr>
          <w:p w14:paraId="5887080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H</w:t>
            </w:r>
          </w:p>
        </w:tc>
        <w:tc>
          <w:tcPr>
            <w:tcW w:w="1260" w:type="dxa"/>
            <w:vAlign w:val="center"/>
          </w:tcPr>
          <w:p w14:paraId="4F4CBB74" w14:textId="77777777" w:rsidR="005858CD" w:rsidRPr="005858CD" w:rsidRDefault="005858CD" w:rsidP="008C041F">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Cuido de personas enfermas/embarazadas/</w:t>
            </w:r>
          </w:p>
          <w:p w14:paraId="4DC03E16" w14:textId="77777777" w:rsidR="005858CD" w:rsidRPr="005858CD" w:rsidRDefault="005858CD" w:rsidP="008C041F">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personas con discapacidad </w:t>
            </w:r>
          </w:p>
        </w:tc>
        <w:tc>
          <w:tcPr>
            <w:tcW w:w="990" w:type="dxa"/>
            <w:vAlign w:val="center"/>
          </w:tcPr>
          <w:p w14:paraId="631AAFE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11DA1512"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76670E34"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6A98E9B5" w14:textId="77777777" w:rsidR="005858CD" w:rsidRPr="005858CD" w:rsidRDefault="005858CD">
            <w:pPr>
              <w:rPr>
                <w:b/>
                <w:bCs/>
                <w:color w:val="000000"/>
                <w:sz w:val="28"/>
                <w:szCs w:val="28"/>
              </w:rPr>
            </w:pPr>
            <w:r w:rsidRPr="005858CD">
              <w:rPr>
                <w:b/>
                <w:bCs/>
                <w:color w:val="000000"/>
                <w:sz w:val="28"/>
                <w:szCs w:val="28"/>
              </w:rPr>
              <w:t>|__| |__| _____</w:t>
            </w:r>
          </w:p>
        </w:tc>
        <w:tc>
          <w:tcPr>
            <w:tcW w:w="1890" w:type="dxa"/>
          </w:tcPr>
          <w:p w14:paraId="074AB8AC" w14:textId="77777777" w:rsidR="005858CD" w:rsidRPr="005858CD" w:rsidRDefault="005858CD">
            <w:r w:rsidRPr="005858CD">
              <w:rPr>
                <w:b/>
                <w:bCs/>
                <w:color w:val="000000"/>
                <w:sz w:val="28"/>
                <w:szCs w:val="28"/>
              </w:rPr>
              <w:t>|__| |__| _____</w:t>
            </w:r>
          </w:p>
        </w:tc>
        <w:tc>
          <w:tcPr>
            <w:tcW w:w="1170" w:type="dxa"/>
            <w:vAlign w:val="center"/>
          </w:tcPr>
          <w:p w14:paraId="589B51E2"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59A13C2B"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0579B947" w14:textId="77777777" w:rsidTr="00873A6E">
        <w:trPr>
          <w:trHeight w:val="288"/>
        </w:trPr>
        <w:tc>
          <w:tcPr>
            <w:tcW w:w="417" w:type="dxa"/>
          </w:tcPr>
          <w:p w14:paraId="7BB3B533"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I</w:t>
            </w:r>
          </w:p>
        </w:tc>
        <w:tc>
          <w:tcPr>
            <w:tcW w:w="1260" w:type="dxa"/>
            <w:vAlign w:val="center"/>
          </w:tcPr>
          <w:p w14:paraId="383B5B2A"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 xml:space="preserve">Cuido de la comunidad </w:t>
            </w:r>
          </w:p>
        </w:tc>
        <w:tc>
          <w:tcPr>
            <w:tcW w:w="990" w:type="dxa"/>
            <w:vAlign w:val="center"/>
          </w:tcPr>
          <w:p w14:paraId="58253AFD"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080" w:type="dxa"/>
            <w:vAlign w:val="center"/>
          </w:tcPr>
          <w:p w14:paraId="2754E8DC"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170" w:type="dxa"/>
            <w:vAlign w:val="center"/>
          </w:tcPr>
          <w:p w14:paraId="7F75F77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1890" w:type="dxa"/>
            <w:vAlign w:val="center"/>
          </w:tcPr>
          <w:p w14:paraId="6BA29ABE" w14:textId="77777777" w:rsidR="005858CD" w:rsidRPr="005858CD" w:rsidRDefault="005858CD" w:rsidP="008C041F">
            <w:pPr>
              <w:rPr>
                <w:b/>
                <w:bCs/>
                <w:color w:val="000000"/>
                <w:sz w:val="28"/>
                <w:szCs w:val="28"/>
              </w:rPr>
            </w:pPr>
            <w:r w:rsidRPr="005858CD">
              <w:rPr>
                <w:b/>
                <w:bCs/>
                <w:color w:val="000000"/>
                <w:sz w:val="28"/>
                <w:szCs w:val="28"/>
              </w:rPr>
              <w:t>|__| |__| _____</w:t>
            </w:r>
          </w:p>
        </w:tc>
        <w:tc>
          <w:tcPr>
            <w:tcW w:w="1890" w:type="dxa"/>
          </w:tcPr>
          <w:p w14:paraId="58174C0E" w14:textId="77777777" w:rsidR="005858CD" w:rsidRPr="005858CD" w:rsidRDefault="005858CD">
            <w:r w:rsidRPr="005858CD">
              <w:rPr>
                <w:b/>
                <w:bCs/>
                <w:color w:val="000000"/>
                <w:sz w:val="28"/>
                <w:szCs w:val="28"/>
              </w:rPr>
              <w:t>|__| |__| _____</w:t>
            </w:r>
          </w:p>
        </w:tc>
        <w:tc>
          <w:tcPr>
            <w:tcW w:w="1170" w:type="dxa"/>
            <w:vAlign w:val="center"/>
          </w:tcPr>
          <w:p w14:paraId="10CD979F" w14:textId="77777777" w:rsidR="005858CD" w:rsidRPr="005858CD" w:rsidRDefault="005858CD">
            <w:pPr>
              <w:jc w:val="center"/>
              <w:rPr>
                <w:b/>
                <w:bCs/>
                <w:color w:val="000000"/>
                <w:sz w:val="28"/>
                <w:szCs w:val="28"/>
              </w:rPr>
            </w:pPr>
            <w:r w:rsidRPr="005858CD">
              <w:rPr>
                <w:b/>
                <w:bCs/>
                <w:color w:val="000000"/>
                <w:sz w:val="28"/>
                <w:szCs w:val="28"/>
              </w:rPr>
              <w:t>|__|</w:t>
            </w:r>
          </w:p>
        </w:tc>
        <w:tc>
          <w:tcPr>
            <w:tcW w:w="1350" w:type="dxa"/>
            <w:vAlign w:val="center"/>
          </w:tcPr>
          <w:p w14:paraId="3A3E5CC5" w14:textId="77777777" w:rsidR="005858CD" w:rsidRPr="005858CD" w:rsidRDefault="005858CD">
            <w:pPr>
              <w:jc w:val="center"/>
              <w:rPr>
                <w:b/>
                <w:bCs/>
                <w:color w:val="000000"/>
                <w:sz w:val="28"/>
                <w:szCs w:val="28"/>
              </w:rPr>
            </w:pPr>
            <w:r w:rsidRPr="005858CD">
              <w:rPr>
                <w:b/>
                <w:bCs/>
                <w:color w:val="000000"/>
                <w:sz w:val="28"/>
                <w:szCs w:val="28"/>
              </w:rPr>
              <w:t>|__|</w:t>
            </w:r>
          </w:p>
        </w:tc>
      </w:tr>
    </w:tbl>
    <w:p w14:paraId="29C585C0" w14:textId="77777777" w:rsidR="005858CD" w:rsidRPr="005858CD" w:rsidRDefault="005858CD" w:rsidP="008C041F">
      <w:pPr>
        <w:rPr>
          <w:rFonts w:ascii="Arial" w:hAnsi="Arial" w:cs="Arial"/>
          <w:b/>
          <w:color w:val="000000"/>
          <w:sz w:val="22"/>
          <w:szCs w:val="22"/>
          <w:u w:val="single"/>
        </w:rPr>
      </w:pPr>
    </w:p>
    <w:tbl>
      <w:tblPr>
        <w:tblW w:w="914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4025"/>
        <w:gridCol w:w="3261"/>
        <w:gridCol w:w="1293"/>
      </w:tblGrid>
      <w:tr w:rsidR="005858CD" w:rsidRPr="005858CD" w14:paraId="100114FB" w14:textId="77777777" w:rsidTr="00873A6E">
        <w:trPr>
          <w:trHeight w:val="1062"/>
          <w:tblHeader/>
        </w:trPr>
        <w:tc>
          <w:tcPr>
            <w:tcW w:w="567" w:type="dxa"/>
            <w:tcBorders>
              <w:top w:val="single" w:sz="12" w:space="0" w:color="auto"/>
              <w:left w:val="single" w:sz="12" w:space="0" w:color="auto"/>
              <w:bottom w:val="single" w:sz="4" w:space="0" w:color="000000"/>
            </w:tcBorders>
          </w:tcPr>
          <w:p w14:paraId="19A8EFFE"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lastRenderedPageBreak/>
              <w:t>7.14</w:t>
            </w:r>
          </w:p>
        </w:tc>
        <w:tc>
          <w:tcPr>
            <w:tcW w:w="4025" w:type="dxa"/>
            <w:tcBorders>
              <w:top w:val="single" w:sz="12" w:space="0" w:color="auto"/>
              <w:bottom w:val="single" w:sz="4" w:space="0" w:color="000000"/>
            </w:tcBorders>
            <w:vAlign w:val="center"/>
          </w:tcPr>
          <w:p w14:paraId="010BA391" w14:textId="77777777" w:rsidR="005858CD" w:rsidRPr="005858CD" w:rsidRDefault="005858CD" w:rsidP="008C041F">
            <w:pPr>
              <w:rPr>
                <w:rFonts w:ascii="Book Antiqua" w:hAnsi="Book Antiqua" w:cs="Arial"/>
                <w:b/>
                <w:bCs/>
                <w:sz w:val="16"/>
                <w:szCs w:val="16"/>
                <w:lang w:val="es-NI"/>
              </w:rPr>
            </w:pPr>
            <w:r w:rsidRPr="005858CD">
              <w:rPr>
                <w:rFonts w:ascii="Book Antiqua" w:hAnsi="Book Antiqua" w:cs="Arial"/>
                <w:b/>
                <w:color w:val="212121"/>
                <w:sz w:val="16"/>
                <w:szCs w:val="16"/>
                <w:lang w:val="es-NI"/>
              </w:rPr>
              <w:t>¿</w:t>
            </w:r>
            <w:r w:rsidRPr="005858CD">
              <w:rPr>
                <w:rFonts w:ascii="Book Antiqua" w:hAnsi="Book Antiqua" w:cs="Arial"/>
                <w:b/>
                <w:bCs/>
                <w:sz w:val="16"/>
                <w:szCs w:val="16"/>
                <w:lang w:val="es-NI"/>
              </w:rPr>
              <w:t xml:space="preserve">Qué actividad de cuidados es la más problemática para su familia y su comunidad (en términos de desplazamiento, salud y carga de tiempo)? </w:t>
            </w:r>
          </w:p>
        </w:tc>
        <w:tc>
          <w:tcPr>
            <w:tcW w:w="3261" w:type="dxa"/>
            <w:tcBorders>
              <w:top w:val="single" w:sz="12" w:space="0" w:color="auto"/>
              <w:bottom w:val="single" w:sz="4" w:space="0" w:color="000000"/>
              <w:right w:val="single" w:sz="8" w:space="0" w:color="000000"/>
            </w:tcBorders>
            <w:vAlign w:val="center"/>
          </w:tcPr>
          <w:p w14:paraId="368E9F4F" w14:textId="77777777" w:rsidR="005858CD" w:rsidRPr="005858CD" w:rsidRDefault="005858CD" w:rsidP="008C041F">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0 = Ninguna</w:t>
            </w:r>
          </w:p>
          <w:p w14:paraId="188264EE" w14:textId="77777777" w:rsidR="005858CD" w:rsidRPr="005858CD" w:rsidRDefault="005858CD" w:rsidP="008C041F">
            <w:pPr>
              <w:rPr>
                <w:rFonts w:ascii="Book Antiqua" w:hAnsi="Book Antiqua" w:cs="Arial"/>
                <w:sz w:val="14"/>
                <w:szCs w:val="14"/>
                <w:lang w:val="es-NI" w:eastAsia="en-GB"/>
              </w:rPr>
            </w:pPr>
            <w:r w:rsidRPr="005858CD">
              <w:rPr>
                <w:rFonts w:ascii="Book Antiqua" w:hAnsi="Book Antiqua" w:cs="Arial"/>
                <w:bCs/>
                <w:color w:val="000000"/>
                <w:sz w:val="14"/>
                <w:szCs w:val="14"/>
                <w:lang w:val="es-NI"/>
              </w:rPr>
              <w:t xml:space="preserve">1 = Buscar agua </w:t>
            </w:r>
            <w:r w:rsidRPr="005858CD">
              <w:rPr>
                <w:rFonts w:ascii="Book Antiqua" w:hAnsi="Book Antiqua" w:cs="Arial"/>
                <w:sz w:val="14"/>
                <w:szCs w:val="14"/>
                <w:lang w:val="es-NI" w:eastAsia="en-GB"/>
              </w:rPr>
              <w:t xml:space="preserve"> </w:t>
            </w:r>
          </w:p>
          <w:p w14:paraId="5D66CB7C" w14:textId="77777777" w:rsidR="005858CD" w:rsidRPr="005858CD" w:rsidRDefault="005858CD" w:rsidP="008C041F">
            <w:pPr>
              <w:rPr>
                <w:rFonts w:ascii="Book Antiqua" w:hAnsi="Book Antiqua" w:cs="Arial"/>
                <w:sz w:val="14"/>
                <w:szCs w:val="14"/>
                <w:lang w:val="es-NI" w:eastAsia="en-GB"/>
              </w:rPr>
            </w:pPr>
            <w:r w:rsidRPr="005858CD">
              <w:rPr>
                <w:rFonts w:ascii="Book Antiqua" w:hAnsi="Book Antiqua" w:cs="Arial"/>
                <w:sz w:val="14"/>
                <w:szCs w:val="14"/>
                <w:lang w:val="es-NI" w:eastAsia="en-GB"/>
              </w:rPr>
              <w:t xml:space="preserve">2 = Recolectar leña/buscar </w:t>
            </w:r>
          </w:p>
          <w:p w14:paraId="4B9949C2"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sz w:val="14"/>
                <w:szCs w:val="14"/>
                <w:lang w:val="es-NI" w:eastAsia="en-GB"/>
              </w:rPr>
              <w:t xml:space="preserve">3 = </w:t>
            </w:r>
            <w:r w:rsidRPr="005858CD">
              <w:rPr>
                <w:rFonts w:ascii="Book Antiqua" w:hAnsi="Book Antiqua" w:cs="Arial"/>
                <w:bCs/>
                <w:color w:val="000000"/>
                <w:sz w:val="14"/>
                <w:szCs w:val="14"/>
                <w:lang w:val="es-NI"/>
              </w:rPr>
              <w:t>Preparación de alimentos</w:t>
            </w:r>
          </w:p>
          <w:p w14:paraId="52AF7F07"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4 = Limpiar</w:t>
            </w:r>
          </w:p>
          <w:p w14:paraId="31A90A6F"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 xml:space="preserve">5 = Lavar, planchar, reparar ropa </w:t>
            </w:r>
          </w:p>
          <w:p w14:paraId="3D020477"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6 = Cuido de niño/as</w:t>
            </w:r>
          </w:p>
          <w:p w14:paraId="11720F4B" w14:textId="77777777" w:rsidR="005858CD" w:rsidRPr="005858CD" w:rsidRDefault="005858CD">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7 = Cuido de personas mayores</w:t>
            </w:r>
          </w:p>
          <w:p w14:paraId="5FC15D5A" w14:textId="77777777" w:rsidR="005858CD" w:rsidRPr="005858CD" w:rsidRDefault="005858CD">
            <w:pPr>
              <w:rPr>
                <w:rFonts w:ascii="Book Antiqua" w:hAnsi="Book Antiqua" w:cs="Arial"/>
                <w:sz w:val="14"/>
                <w:szCs w:val="14"/>
                <w:lang w:val="es-NI"/>
              </w:rPr>
            </w:pPr>
            <w:r w:rsidRPr="005858CD">
              <w:rPr>
                <w:rFonts w:ascii="Book Antiqua" w:hAnsi="Book Antiqua" w:cs="Arial"/>
                <w:bCs/>
                <w:color w:val="000000"/>
                <w:sz w:val="14"/>
                <w:szCs w:val="14"/>
                <w:lang w:val="es-NI"/>
              </w:rPr>
              <w:t xml:space="preserve">8 = Cuido de personas enfermas/ personas con discapacidad </w:t>
            </w:r>
            <w:r w:rsidRPr="005858CD">
              <w:rPr>
                <w:rFonts w:ascii="Book Antiqua" w:hAnsi="Book Antiqua" w:cs="Arial"/>
                <w:sz w:val="14"/>
                <w:szCs w:val="14"/>
                <w:lang w:val="es-NI"/>
              </w:rPr>
              <w:t xml:space="preserve"> </w:t>
            </w:r>
          </w:p>
          <w:p w14:paraId="18272CE0" w14:textId="77777777" w:rsidR="005858CD" w:rsidRPr="005858CD" w:rsidRDefault="005858CD">
            <w:pPr>
              <w:rPr>
                <w:rFonts w:ascii="Arial" w:hAnsi="Arial" w:cs="Arial"/>
                <w:bCs/>
                <w:color w:val="000000"/>
                <w:sz w:val="14"/>
                <w:szCs w:val="14"/>
                <w:lang w:val="es-NI"/>
              </w:rPr>
            </w:pPr>
            <w:r w:rsidRPr="005858CD">
              <w:rPr>
                <w:rFonts w:ascii="Book Antiqua" w:hAnsi="Book Antiqua" w:cs="Arial"/>
                <w:sz w:val="14"/>
                <w:szCs w:val="14"/>
                <w:lang w:val="es-NI"/>
              </w:rPr>
              <w:t xml:space="preserve">9 = Cuido de miembro/as de la comunidad </w:t>
            </w:r>
          </w:p>
        </w:tc>
        <w:tc>
          <w:tcPr>
            <w:tcW w:w="1293" w:type="dxa"/>
            <w:tcBorders>
              <w:top w:val="single" w:sz="12" w:space="0" w:color="auto"/>
              <w:left w:val="single" w:sz="8" w:space="0" w:color="000000"/>
              <w:bottom w:val="single" w:sz="4" w:space="0" w:color="000000"/>
              <w:right w:val="single" w:sz="8" w:space="0" w:color="auto"/>
            </w:tcBorders>
            <w:vAlign w:val="center"/>
          </w:tcPr>
          <w:p w14:paraId="31F1456C"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2CBD0FF4" w14:textId="77777777" w:rsidTr="00873A6E">
        <w:trPr>
          <w:trHeight w:val="842"/>
          <w:tblHeader/>
        </w:trPr>
        <w:tc>
          <w:tcPr>
            <w:tcW w:w="567" w:type="dxa"/>
            <w:tcBorders>
              <w:top w:val="single" w:sz="4" w:space="0" w:color="000000"/>
              <w:left w:val="single" w:sz="12" w:space="0" w:color="auto"/>
              <w:bottom w:val="single" w:sz="4" w:space="0" w:color="000000"/>
            </w:tcBorders>
          </w:tcPr>
          <w:p w14:paraId="148EA55F" w14:textId="77777777" w:rsidR="005858CD" w:rsidRPr="005858CD" w:rsidRDefault="005858CD" w:rsidP="008C041F">
            <w:pPr>
              <w:rPr>
                <w:rFonts w:ascii="Book Antiqua" w:hAnsi="Book Antiqua" w:cs="Arial"/>
                <w:bCs/>
                <w:sz w:val="16"/>
                <w:szCs w:val="16"/>
              </w:rPr>
            </w:pPr>
          </w:p>
          <w:p w14:paraId="3F6AEC3A"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7.15</w:t>
            </w:r>
          </w:p>
        </w:tc>
        <w:tc>
          <w:tcPr>
            <w:tcW w:w="4025" w:type="dxa"/>
            <w:tcBorders>
              <w:top w:val="single" w:sz="4" w:space="0" w:color="000000"/>
              <w:bottom w:val="single" w:sz="4" w:space="0" w:color="000000"/>
            </w:tcBorders>
            <w:vAlign w:val="center"/>
          </w:tcPr>
          <w:p w14:paraId="03F54830" w14:textId="77777777" w:rsidR="005858CD" w:rsidRPr="005858CD" w:rsidRDefault="005858CD" w:rsidP="008C041F">
            <w:pPr>
              <w:rPr>
                <w:rFonts w:ascii="Book Antiqua" w:hAnsi="Book Antiqua" w:cs="Arial"/>
                <w:b/>
                <w:bCs/>
                <w:sz w:val="16"/>
                <w:szCs w:val="16"/>
                <w:lang w:val="es-NI"/>
              </w:rPr>
            </w:pPr>
            <w:r w:rsidRPr="005858CD">
              <w:rPr>
                <w:rFonts w:ascii="Book Antiqua" w:hAnsi="Book Antiqua" w:cs="Arial"/>
                <w:b/>
                <w:color w:val="212121"/>
                <w:sz w:val="16"/>
                <w:szCs w:val="16"/>
                <w:lang w:val="es-NI"/>
              </w:rPr>
              <w:t>¿</w:t>
            </w:r>
            <w:r w:rsidRPr="005858CD">
              <w:rPr>
                <w:rFonts w:ascii="Book Antiqua" w:hAnsi="Book Antiqua" w:cs="Arial"/>
                <w:b/>
                <w:bCs/>
                <w:sz w:val="16"/>
                <w:szCs w:val="16"/>
                <w:lang w:val="es-NI"/>
              </w:rPr>
              <w:t xml:space="preserve">Cree usted que el gobierno debería proporcionar servicios de salud gratuitos para ayudar a las familias con el trabajo de cuidados? </w:t>
            </w:r>
          </w:p>
        </w:tc>
        <w:tc>
          <w:tcPr>
            <w:tcW w:w="3261" w:type="dxa"/>
            <w:tcBorders>
              <w:top w:val="single" w:sz="4" w:space="0" w:color="000000"/>
              <w:bottom w:val="single" w:sz="4" w:space="0" w:color="000000"/>
              <w:right w:val="single" w:sz="8" w:space="0" w:color="000000"/>
            </w:tcBorders>
            <w:vAlign w:val="center"/>
          </w:tcPr>
          <w:p w14:paraId="73DF081D"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Muy en desacuerdo</w:t>
            </w:r>
          </w:p>
          <w:p w14:paraId="4E4746F5"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Desacuerdo</w:t>
            </w:r>
          </w:p>
          <w:p w14:paraId="1F79F9C0"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Indiferente</w:t>
            </w:r>
          </w:p>
          <w:p w14:paraId="256EFEF0"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 xml:space="preserve">3 = De acuerdo </w:t>
            </w:r>
          </w:p>
          <w:p w14:paraId="2E36FBE7" w14:textId="77777777" w:rsidR="005858CD" w:rsidRPr="005858CD" w:rsidRDefault="005858CD">
            <w:pPr>
              <w:rPr>
                <w:rFonts w:ascii="Arial" w:hAnsi="Arial" w:cs="Arial"/>
                <w:sz w:val="14"/>
                <w:szCs w:val="14"/>
              </w:rPr>
            </w:pPr>
            <w:r w:rsidRPr="005858CD">
              <w:rPr>
                <w:rFonts w:ascii="Book Antiqua" w:hAnsi="Book Antiqua" w:cs="Arial"/>
                <w:sz w:val="14"/>
                <w:szCs w:val="14"/>
              </w:rPr>
              <w:t>4 = Muy de acuerdo</w:t>
            </w:r>
          </w:p>
        </w:tc>
        <w:tc>
          <w:tcPr>
            <w:tcW w:w="1293" w:type="dxa"/>
            <w:tcBorders>
              <w:top w:val="single" w:sz="4" w:space="0" w:color="000000"/>
              <w:left w:val="single" w:sz="8" w:space="0" w:color="000000"/>
              <w:bottom w:val="single" w:sz="4" w:space="0" w:color="000000"/>
              <w:right w:val="single" w:sz="8" w:space="0" w:color="auto"/>
            </w:tcBorders>
            <w:vAlign w:val="center"/>
          </w:tcPr>
          <w:p w14:paraId="0E6AA809"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4CA5CFDE" w14:textId="77777777" w:rsidTr="00873A6E">
        <w:trPr>
          <w:trHeight w:val="905"/>
          <w:tblHeader/>
        </w:trPr>
        <w:tc>
          <w:tcPr>
            <w:tcW w:w="567" w:type="dxa"/>
            <w:tcBorders>
              <w:top w:val="single" w:sz="4" w:space="0" w:color="000000"/>
              <w:left w:val="single" w:sz="12" w:space="0" w:color="auto"/>
              <w:bottom w:val="single" w:sz="4" w:space="0" w:color="000000"/>
            </w:tcBorders>
          </w:tcPr>
          <w:p w14:paraId="6C19BD55" w14:textId="77777777" w:rsidR="005858CD" w:rsidRPr="005858CD" w:rsidRDefault="005858CD" w:rsidP="008C041F">
            <w:pPr>
              <w:spacing w:before="80"/>
              <w:rPr>
                <w:rFonts w:ascii="Book Antiqua" w:hAnsi="Book Antiqua" w:cs="Arial"/>
                <w:sz w:val="16"/>
                <w:szCs w:val="16"/>
                <w:highlight w:val="yellow"/>
              </w:rPr>
            </w:pPr>
            <w:r w:rsidRPr="005858CD">
              <w:rPr>
                <w:rFonts w:ascii="Book Antiqua" w:hAnsi="Book Antiqua" w:cs="Arial"/>
                <w:sz w:val="16"/>
                <w:szCs w:val="16"/>
              </w:rPr>
              <w:t>7.16</w:t>
            </w:r>
          </w:p>
        </w:tc>
        <w:tc>
          <w:tcPr>
            <w:tcW w:w="4025" w:type="dxa"/>
            <w:tcBorders>
              <w:top w:val="single" w:sz="4" w:space="0" w:color="000000"/>
              <w:bottom w:val="single" w:sz="4" w:space="0" w:color="000000"/>
            </w:tcBorders>
            <w:vAlign w:val="center"/>
          </w:tcPr>
          <w:p w14:paraId="328160D6" w14:textId="77777777" w:rsidR="005858CD" w:rsidRPr="005858CD" w:rsidRDefault="005858CD" w:rsidP="008C041F">
            <w:pPr>
              <w:rPr>
                <w:rFonts w:ascii="Book Antiqua" w:hAnsi="Book Antiqua" w:cs="Arial"/>
                <w:b/>
                <w:bCs/>
                <w:sz w:val="16"/>
                <w:szCs w:val="16"/>
                <w:lang w:val="es-NI"/>
              </w:rPr>
            </w:pPr>
            <w:r w:rsidRPr="005858CD">
              <w:rPr>
                <w:rFonts w:ascii="Book Antiqua" w:hAnsi="Book Antiqua" w:cs="Arial"/>
                <w:b/>
                <w:color w:val="212121"/>
                <w:sz w:val="16"/>
                <w:szCs w:val="16"/>
                <w:lang w:val="es-NI"/>
              </w:rPr>
              <w:t>¿Cree usted que el gobierno debería brindar servicios de cuido de niño/as para ayudar a la familia con el trabajo de cuidados</w:t>
            </w:r>
            <w:r w:rsidRPr="005858CD">
              <w:rPr>
                <w:rFonts w:ascii="Book Antiqua" w:hAnsi="Book Antiqua" w:cs="Arial"/>
                <w:b/>
                <w:bCs/>
                <w:sz w:val="16"/>
                <w:szCs w:val="16"/>
                <w:lang w:val="es-NI"/>
              </w:rPr>
              <w:t>?</w:t>
            </w:r>
          </w:p>
        </w:tc>
        <w:tc>
          <w:tcPr>
            <w:tcW w:w="3261" w:type="dxa"/>
            <w:tcBorders>
              <w:top w:val="single" w:sz="4" w:space="0" w:color="000000"/>
              <w:bottom w:val="single" w:sz="4" w:space="0" w:color="000000"/>
              <w:right w:val="single" w:sz="8" w:space="0" w:color="000000"/>
            </w:tcBorders>
            <w:vAlign w:val="center"/>
          </w:tcPr>
          <w:p w14:paraId="286CCE6E"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Muy en desacuerdo</w:t>
            </w:r>
          </w:p>
          <w:p w14:paraId="71381FE2"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Desacuerdo</w:t>
            </w:r>
          </w:p>
          <w:p w14:paraId="112C1DB6"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Indiferente</w:t>
            </w:r>
          </w:p>
          <w:p w14:paraId="647C854A"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 xml:space="preserve">3 = De acuerdo </w:t>
            </w:r>
          </w:p>
          <w:p w14:paraId="18124E3D" w14:textId="77777777" w:rsidR="005858CD" w:rsidRPr="005858CD" w:rsidRDefault="005858CD">
            <w:pPr>
              <w:rPr>
                <w:rFonts w:ascii="Arial" w:hAnsi="Arial" w:cs="Arial"/>
                <w:bCs/>
                <w:sz w:val="14"/>
                <w:szCs w:val="14"/>
              </w:rPr>
            </w:pPr>
            <w:r w:rsidRPr="005858CD">
              <w:rPr>
                <w:rFonts w:ascii="Book Antiqua" w:hAnsi="Book Antiqua" w:cs="Arial"/>
                <w:sz w:val="14"/>
                <w:szCs w:val="14"/>
              </w:rPr>
              <w:t>4 = Muy de acuerdo</w:t>
            </w:r>
          </w:p>
        </w:tc>
        <w:tc>
          <w:tcPr>
            <w:tcW w:w="1293" w:type="dxa"/>
            <w:tcBorders>
              <w:top w:val="single" w:sz="4" w:space="0" w:color="000000"/>
              <w:left w:val="single" w:sz="8" w:space="0" w:color="000000"/>
              <w:bottom w:val="single" w:sz="4" w:space="0" w:color="000000"/>
              <w:right w:val="single" w:sz="8" w:space="0" w:color="auto"/>
            </w:tcBorders>
            <w:vAlign w:val="center"/>
          </w:tcPr>
          <w:p w14:paraId="11503249"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2E0F4A13" w14:textId="77777777" w:rsidTr="00873A6E">
        <w:trPr>
          <w:trHeight w:val="788"/>
          <w:tblHeader/>
        </w:trPr>
        <w:tc>
          <w:tcPr>
            <w:tcW w:w="567" w:type="dxa"/>
            <w:tcBorders>
              <w:top w:val="single" w:sz="4" w:space="0" w:color="000000"/>
              <w:left w:val="single" w:sz="12" w:space="0" w:color="auto"/>
              <w:bottom w:val="single" w:sz="4" w:space="0" w:color="000000"/>
            </w:tcBorders>
          </w:tcPr>
          <w:p w14:paraId="10245E14" w14:textId="77777777" w:rsidR="005858CD" w:rsidRPr="005858CD" w:rsidRDefault="005858CD" w:rsidP="008C041F">
            <w:pPr>
              <w:spacing w:before="80"/>
              <w:rPr>
                <w:rFonts w:ascii="Book Antiqua" w:hAnsi="Book Antiqua" w:cs="Arial"/>
                <w:sz w:val="16"/>
                <w:szCs w:val="16"/>
              </w:rPr>
            </w:pPr>
            <w:r w:rsidRPr="005858CD">
              <w:rPr>
                <w:rFonts w:ascii="Book Antiqua" w:hAnsi="Book Antiqua" w:cs="Arial"/>
                <w:sz w:val="16"/>
                <w:szCs w:val="16"/>
              </w:rPr>
              <w:t>7.17</w:t>
            </w:r>
          </w:p>
        </w:tc>
        <w:tc>
          <w:tcPr>
            <w:tcW w:w="4025" w:type="dxa"/>
            <w:tcBorders>
              <w:top w:val="single" w:sz="4" w:space="0" w:color="000000"/>
              <w:bottom w:val="single" w:sz="4" w:space="0" w:color="000000"/>
            </w:tcBorders>
            <w:vAlign w:val="center"/>
          </w:tcPr>
          <w:p w14:paraId="5E39E45B" w14:textId="77777777" w:rsidR="005858CD" w:rsidRPr="005858CD" w:rsidRDefault="005858CD" w:rsidP="008C041F">
            <w:pPr>
              <w:rPr>
                <w:rFonts w:ascii="Book Antiqua" w:hAnsi="Book Antiqua" w:cs="Arial"/>
                <w:b/>
                <w:bCs/>
                <w:sz w:val="16"/>
                <w:szCs w:val="16"/>
              </w:rPr>
            </w:pPr>
            <w:r w:rsidRPr="005858CD">
              <w:rPr>
                <w:rFonts w:ascii="Book Antiqua" w:hAnsi="Book Antiqua" w:cs="Arial"/>
                <w:b/>
                <w:color w:val="212121"/>
                <w:sz w:val="16"/>
                <w:szCs w:val="16"/>
                <w:lang w:val="es-NI"/>
              </w:rPr>
              <w:t>¿Cree usted que el gobierno debería brindar servicios de cuido de personas enfermas o personas con discapacidad para ayudar a la familia con el trabajo de cuidados</w:t>
            </w:r>
            <w:r w:rsidRPr="005858CD">
              <w:rPr>
                <w:rFonts w:ascii="Book Antiqua" w:hAnsi="Book Antiqua" w:cs="Arial"/>
                <w:b/>
                <w:bCs/>
                <w:sz w:val="16"/>
                <w:szCs w:val="16"/>
                <w:lang w:val="es-NI"/>
              </w:rPr>
              <w:t>?</w:t>
            </w:r>
          </w:p>
        </w:tc>
        <w:tc>
          <w:tcPr>
            <w:tcW w:w="3261" w:type="dxa"/>
            <w:tcBorders>
              <w:top w:val="single" w:sz="4" w:space="0" w:color="000000"/>
              <w:bottom w:val="single" w:sz="4" w:space="0" w:color="000000"/>
              <w:right w:val="single" w:sz="8" w:space="0" w:color="000000"/>
            </w:tcBorders>
            <w:vAlign w:val="center"/>
          </w:tcPr>
          <w:p w14:paraId="6DFA4EA6"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Muy en desacuerdo</w:t>
            </w:r>
          </w:p>
          <w:p w14:paraId="36A81D1B"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Desacuerdo</w:t>
            </w:r>
          </w:p>
          <w:p w14:paraId="6A7176BD"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Indiferente</w:t>
            </w:r>
          </w:p>
          <w:p w14:paraId="1DE51A03"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 xml:space="preserve">3 = De acuerdo </w:t>
            </w:r>
          </w:p>
          <w:p w14:paraId="7923A766" w14:textId="77777777" w:rsidR="005858CD" w:rsidRPr="005858CD" w:rsidRDefault="005858CD">
            <w:pPr>
              <w:rPr>
                <w:rFonts w:ascii="Arial" w:hAnsi="Arial" w:cs="Arial"/>
                <w:sz w:val="14"/>
                <w:szCs w:val="14"/>
              </w:rPr>
            </w:pPr>
            <w:r w:rsidRPr="005858CD">
              <w:rPr>
                <w:rFonts w:ascii="Book Antiqua" w:hAnsi="Book Antiqua" w:cs="Arial"/>
                <w:sz w:val="14"/>
                <w:szCs w:val="14"/>
              </w:rPr>
              <w:t>4 = Muy de acuerdo</w:t>
            </w:r>
          </w:p>
        </w:tc>
        <w:tc>
          <w:tcPr>
            <w:tcW w:w="1293" w:type="dxa"/>
            <w:tcBorders>
              <w:top w:val="single" w:sz="4" w:space="0" w:color="000000"/>
              <w:left w:val="single" w:sz="8" w:space="0" w:color="000000"/>
              <w:bottom w:val="single" w:sz="4" w:space="0" w:color="000000"/>
              <w:right w:val="single" w:sz="8" w:space="0" w:color="auto"/>
            </w:tcBorders>
            <w:vAlign w:val="center"/>
          </w:tcPr>
          <w:p w14:paraId="67D9EABD"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2132989C" w14:textId="77777777" w:rsidTr="00873A6E">
        <w:trPr>
          <w:trHeight w:val="797"/>
          <w:tblHeader/>
        </w:trPr>
        <w:tc>
          <w:tcPr>
            <w:tcW w:w="567" w:type="dxa"/>
            <w:tcBorders>
              <w:top w:val="single" w:sz="4" w:space="0" w:color="000000"/>
              <w:left w:val="single" w:sz="12" w:space="0" w:color="auto"/>
              <w:bottom w:val="single" w:sz="4" w:space="0" w:color="000000"/>
            </w:tcBorders>
          </w:tcPr>
          <w:p w14:paraId="1B998695" w14:textId="77777777" w:rsidR="005858CD" w:rsidRPr="005858CD" w:rsidRDefault="005858CD" w:rsidP="008C041F">
            <w:pPr>
              <w:spacing w:before="80"/>
              <w:rPr>
                <w:rFonts w:ascii="Book Antiqua" w:hAnsi="Book Antiqua" w:cs="Arial"/>
                <w:sz w:val="16"/>
                <w:szCs w:val="16"/>
              </w:rPr>
            </w:pPr>
            <w:r w:rsidRPr="005858CD">
              <w:rPr>
                <w:rFonts w:ascii="Book Antiqua" w:hAnsi="Book Antiqua" w:cs="Arial"/>
                <w:sz w:val="16"/>
                <w:szCs w:val="16"/>
              </w:rPr>
              <w:t>7.18</w:t>
            </w:r>
          </w:p>
        </w:tc>
        <w:tc>
          <w:tcPr>
            <w:tcW w:w="4025" w:type="dxa"/>
            <w:tcBorders>
              <w:top w:val="single" w:sz="4" w:space="0" w:color="000000"/>
              <w:bottom w:val="single" w:sz="4" w:space="0" w:color="000000"/>
            </w:tcBorders>
            <w:vAlign w:val="center"/>
          </w:tcPr>
          <w:p w14:paraId="6BCCC723" w14:textId="77777777" w:rsidR="005858CD" w:rsidRPr="005858CD" w:rsidRDefault="005858CD" w:rsidP="008C041F">
            <w:pPr>
              <w:rPr>
                <w:rFonts w:ascii="Book Antiqua" w:hAnsi="Book Antiqua" w:cs="Arial"/>
                <w:b/>
                <w:bCs/>
                <w:sz w:val="16"/>
                <w:szCs w:val="16"/>
              </w:rPr>
            </w:pPr>
            <w:r w:rsidRPr="005858CD">
              <w:rPr>
                <w:rFonts w:ascii="Book Antiqua" w:hAnsi="Book Antiqua" w:cs="Arial"/>
                <w:b/>
                <w:color w:val="212121"/>
                <w:sz w:val="16"/>
                <w:szCs w:val="16"/>
              </w:rPr>
              <w:t xml:space="preserve">¿Cree que las mujeres deberían recibir apoyo de parte de otro/as miembro/as de la familiapara hacer el trabajo de cuidados? </w:t>
            </w:r>
          </w:p>
        </w:tc>
        <w:tc>
          <w:tcPr>
            <w:tcW w:w="3261" w:type="dxa"/>
            <w:tcBorders>
              <w:top w:val="single" w:sz="4" w:space="0" w:color="000000"/>
              <w:bottom w:val="single" w:sz="4" w:space="0" w:color="000000"/>
              <w:right w:val="single" w:sz="8" w:space="0" w:color="000000"/>
            </w:tcBorders>
            <w:vAlign w:val="center"/>
          </w:tcPr>
          <w:p w14:paraId="2A006EB8"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Muy en desacuerdo</w:t>
            </w:r>
          </w:p>
          <w:p w14:paraId="6DA45CFC"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Desacuerdo</w:t>
            </w:r>
          </w:p>
          <w:p w14:paraId="55902F13"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Indiferente</w:t>
            </w:r>
          </w:p>
          <w:p w14:paraId="176ACBBD"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 xml:space="preserve">3 = De acuerdo </w:t>
            </w:r>
          </w:p>
          <w:p w14:paraId="7716D159" w14:textId="77777777" w:rsidR="005858CD" w:rsidRPr="005858CD" w:rsidRDefault="005858CD">
            <w:pPr>
              <w:rPr>
                <w:rFonts w:ascii="Arial" w:hAnsi="Arial" w:cs="Arial"/>
                <w:bCs/>
                <w:sz w:val="14"/>
                <w:szCs w:val="14"/>
              </w:rPr>
            </w:pPr>
            <w:r w:rsidRPr="005858CD">
              <w:rPr>
                <w:rFonts w:ascii="Book Antiqua" w:hAnsi="Book Antiqua" w:cs="Arial"/>
                <w:sz w:val="14"/>
                <w:szCs w:val="14"/>
              </w:rPr>
              <w:t>4 = Muy de acuerdo</w:t>
            </w:r>
            <w:r w:rsidRPr="005858CD">
              <w:rPr>
                <w:rFonts w:ascii="Arial" w:hAnsi="Arial" w:cs="Arial"/>
                <w:bCs/>
                <w:sz w:val="14"/>
                <w:szCs w:val="14"/>
              </w:rPr>
              <w:t xml:space="preserve"> </w:t>
            </w:r>
          </w:p>
        </w:tc>
        <w:tc>
          <w:tcPr>
            <w:tcW w:w="1293" w:type="dxa"/>
            <w:tcBorders>
              <w:top w:val="single" w:sz="4" w:space="0" w:color="000000"/>
              <w:left w:val="single" w:sz="8" w:space="0" w:color="000000"/>
              <w:bottom w:val="single" w:sz="4" w:space="0" w:color="000000"/>
              <w:right w:val="single" w:sz="8" w:space="0" w:color="auto"/>
            </w:tcBorders>
            <w:vAlign w:val="center"/>
          </w:tcPr>
          <w:p w14:paraId="416A2C4F"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4FB1FA3B" w14:textId="77777777" w:rsidTr="00873A6E">
        <w:trPr>
          <w:trHeight w:val="1062"/>
          <w:tblHeader/>
        </w:trPr>
        <w:tc>
          <w:tcPr>
            <w:tcW w:w="567" w:type="dxa"/>
            <w:tcBorders>
              <w:top w:val="single" w:sz="4" w:space="0" w:color="000000"/>
              <w:left w:val="single" w:sz="12" w:space="0" w:color="auto"/>
              <w:bottom w:val="single" w:sz="12" w:space="0" w:color="auto"/>
            </w:tcBorders>
          </w:tcPr>
          <w:p w14:paraId="2D155E35"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7.19</w:t>
            </w:r>
          </w:p>
        </w:tc>
        <w:tc>
          <w:tcPr>
            <w:tcW w:w="4025" w:type="dxa"/>
            <w:tcBorders>
              <w:top w:val="single" w:sz="4" w:space="0" w:color="000000"/>
              <w:bottom w:val="single" w:sz="12" w:space="0" w:color="auto"/>
            </w:tcBorders>
            <w:vAlign w:val="center"/>
          </w:tcPr>
          <w:p w14:paraId="27CBE050" w14:textId="77777777" w:rsidR="005858CD" w:rsidRPr="005858CD" w:rsidRDefault="005858CD" w:rsidP="008C041F">
            <w:pPr>
              <w:rPr>
                <w:rFonts w:ascii="Arial" w:hAnsi="Arial" w:cs="Arial"/>
                <w:b/>
                <w:bCs/>
                <w:sz w:val="18"/>
                <w:lang w:val="es-NI"/>
              </w:rPr>
            </w:pPr>
            <w:r w:rsidRPr="005858CD">
              <w:rPr>
                <w:rFonts w:ascii="Book Antiqua" w:hAnsi="Book Antiqua" w:cs="Arial"/>
                <w:b/>
                <w:color w:val="212121"/>
                <w:sz w:val="16"/>
                <w:szCs w:val="16"/>
                <w:lang w:val="es-NI"/>
              </w:rPr>
              <w:t>¿De quién deberían recibir el apoyo las mujeres para realizar el trabajo de cuidados?</w:t>
            </w:r>
          </w:p>
          <w:p w14:paraId="5369145C" w14:textId="77777777" w:rsidR="005858CD" w:rsidRPr="005858CD" w:rsidRDefault="005858CD" w:rsidP="008C041F">
            <w:pPr>
              <w:rPr>
                <w:rFonts w:ascii="Book Antiqua" w:hAnsi="Book Antiqua" w:cs="Arial"/>
                <w:b/>
                <w:bCs/>
                <w:sz w:val="18"/>
              </w:rPr>
            </w:pPr>
            <w:r w:rsidRPr="005858CD">
              <w:rPr>
                <w:rFonts w:ascii="Book Antiqua" w:hAnsi="Book Antiqua" w:cs="Arial"/>
                <w:sz w:val="14"/>
                <w:szCs w:val="14"/>
              </w:rPr>
              <w:t>(Hasta dos opciones)</w:t>
            </w:r>
          </w:p>
        </w:tc>
        <w:tc>
          <w:tcPr>
            <w:tcW w:w="3261" w:type="dxa"/>
            <w:tcBorders>
              <w:top w:val="single" w:sz="4" w:space="0" w:color="000000"/>
              <w:bottom w:val="single" w:sz="12" w:space="0" w:color="auto"/>
              <w:right w:val="single" w:sz="8" w:space="0" w:color="000000"/>
            </w:tcBorders>
            <w:vAlign w:val="center"/>
          </w:tcPr>
          <w:p w14:paraId="013EE937"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Esposo/pareja</w:t>
            </w:r>
          </w:p>
          <w:p w14:paraId="658583A6"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Hija</w:t>
            </w:r>
          </w:p>
          <w:p w14:paraId="4E1858A3"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Hijo</w:t>
            </w:r>
          </w:p>
          <w:p w14:paraId="170D48A6"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 xml:space="preserve">3= Otra mujer </w:t>
            </w:r>
          </w:p>
          <w:p w14:paraId="73A8BD34"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4= Otro hombre</w:t>
            </w:r>
          </w:p>
          <w:p w14:paraId="2B6F56DF" w14:textId="77777777" w:rsidR="005858CD" w:rsidRPr="005858CD" w:rsidRDefault="005858CD">
            <w:pPr>
              <w:rPr>
                <w:rFonts w:ascii="Arial" w:hAnsi="Arial" w:cs="Arial"/>
                <w:sz w:val="14"/>
                <w:szCs w:val="14"/>
              </w:rPr>
            </w:pPr>
            <w:r w:rsidRPr="005858CD">
              <w:rPr>
                <w:rFonts w:ascii="Book Antiqua" w:hAnsi="Book Antiqua" w:cs="Arial"/>
                <w:sz w:val="14"/>
                <w:szCs w:val="14"/>
              </w:rPr>
              <w:t>5 = Otro: _______________________________</w:t>
            </w:r>
          </w:p>
        </w:tc>
        <w:tc>
          <w:tcPr>
            <w:tcW w:w="1293" w:type="dxa"/>
            <w:tcBorders>
              <w:top w:val="single" w:sz="4" w:space="0" w:color="000000"/>
              <w:left w:val="single" w:sz="8" w:space="0" w:color="000000"/>
              <w:bottom w:val="single" w:sz="12" w:space="0" w:color="auto"/>
              <w:right w:val="single" w:sz="8" w:space="0" w:color="auto"/>
            </w:tcBorders>
            <w:vAlign w:val="center"/>
          </w:tcPr>
          <w:p w14:paraId="696480E7" w14:textId="77777777" w:rsidR="005858CD" w:rsidRPr="005858CD" w:rsidRDefault="005858CD">
            <w:pPr>
              <w:jc w:val="center"/>
              <w:rPr>
                <w:b/>
                <w:bCs/>
                <w:color w:val="000000"/>
                <w:sz w:val="28"/>
                <w:szCs w:val="28"/>
              </w:rPr>
            </w:pPr>
            <w:r w:rsidRPr="005858CD">
              <w:rPr>
                <w:b/>
                <w:bCs/>
                <w:color w:val="000000"/>
                <w:sz w:val="28"/>
                <w:szCs w:val="28"/>
              </w:rPr>
              <w:t xml:space="preserve">|__|  |__|  </w:t>
            </w:r>
          </w:p>
        </w:tc>
      </w:tr>
    </w:tbl>
    <w:p w14:paraId="79D97AE1" w14:textId="77777777" w:rsidR="005858CD" w:rsidRPr="005858CD" w:rsidRDefault="005858CD" w:rsidP="008C041F">
      <w:pPr>
        <w:rPr>
          <w:rFonts w:ascii="Book Antiqua" w:hAnsi="Book Antiqua" w:cs="Arial"/>
          <w:color w:val="000000"/>
          <w:sz w:val="16"/>
          <w:szCs w:val="16"/>
        </w:rPr>
      </w:pPr>
    </w:p>
    <w:p w14:paraId="274BF496" w14:textId="77777777" w:rsidR="005858CD" w:rsidRPr="005858CD" w:rsidRDefault="005858CD" w:rsidP="008C041F">
      <w:pPr>
        <w:rPr>
          <w:rFonts w:ascii="Book Antiqua" w:hAnsi="Book Antiqua" w:cs="Arial"/>
          <w:color w:val="000000"/>
          <w:sz w:val="16"/>
          <w:szCs w:val="16"/>
        </w:rPr>
      </w:pPr>
    </w:p>
    <w:p w14:paraId="27F2F93B" w14:textId="77777777" w:rsidR="005858CD" w:rsidRPr="005858CD" w:rsidRDefault="005858CD" w:rsidP="008C041F">
      <w:pPr>
        <w:rPr>
          <w:rFonts w:ascii="Book Antiqua" w:hAnsi="Book Antiqua" w:cs="Arial"/>
          <w:b/>
          <w:color w:val="000000"/>
          <w:sz w:val="20"/>
          <w:szCs w:val="20"/>
          <w:u w:val="single"/>
        </w:rPr>
      </w:pPr>
    </w:p>
    <w:p w14:paraId="2F502500" w14:textId="77777777" w:rsidR="005858CD" w:rsidRPr="005858CD" w:rsidRDefault="005858CD" w:rsidP="008C041F">
      <w:pPr>
        <w:rPr>
          <w:rFonts w:ascii="Book Antiqua" w:hAnsi="Book Antiqua" w:cs="Arial"/>
          <w:b/>
          <w:color w:val="000000"/>
          <w:sz w:val="22"/>
          <w:szCs w:val="22"/>
          <w:u w:val="single"/>
        </w:rPr>
      </w:pPr>
    </w:p>
    <w:tbl>
      <w:tblPr>
        <w:tblW w:w="983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5302"/>
        <w:gridCol w:w="2558"/>
        <w:gridCol w:w="1411"/>
      </w:tblGrid>
      <w:tr w:rsidR="005858CD" w:rsidRPr="005858CD" w14:paraId="00814FC2" w14:textId="77777777" w:rsidTr="00873A6E">
        <w:trPr>
          <w:trHeight w:val="57"/>
        </w:trPr>
        <w:tc>
          <w:tcPr>
            <w:tcW w:w="567" w:type="dxa"/>
            <w:noWrap/>
            <w:vAlign w:val="center"/>
          </w:tcPr>
          <w:p w14:paraId="30A83F4D"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7.20</w:t>
            </w:r>
          </w:p>
        </w:tc>
        <w:tc>
          <w:tcPr>
            <w:tcW w:w="5302" w:type="dxa"/>
            <w:noWrap/>
            <w:vAlign w:val="center"/>
          </w:tcPr>
          <w:p w14:paraId="41913FB2" w14:textId="77777777" w:rsidR="005858CD" w:rsidRPr="005858CD" w:rsidRDefault="005858CD" w:rsidP="008C041F">
            <w:pPr>
              <w:autoSpaceDE w:val="0"/>
              <w:autoSpaceDN w:val="0"/>
              <w:adjustRightInd w:val="0"/>
              <w:rPr>
                <w:rFonts w:ascii="Book Antiqua" w:hAnsi="Book Antiqua" w:cs="Arial"/>
                <w:b/>
                <w:color w:val="000000"/>
                <w:sz w:val="16"/>
                <w:szCs w:val="16"/>
                <w:lang w:val="es-NI"/>
              </w:rPr>
            </w:pPr>
            <w:r w:rsidRPr="005858CD">
              <w:rPr>
                <w:rFonts w:ascii="Book Antiqua" w:hAnsi="Book Antiqua" w:cs="Arial"/>
                <w:b/>
                <w:color w:val="212121"/>
                <w:sz w:val="16"/>
                <w:szCs w:val="16"/>
                <w:lang w:val="es-NI"/>
              </w:rPr>
              <w:t>¿</w:t>
            </w:r>
            <w:r w:rsidRPr="005858CD">
              <w:rPr>
                <w:rFonts w:ascii="Book Antiqua" w:hAnsi="Book Antiqua" w:cs="Arial"/>
                <w:b/>
                <w:color w:val="000000"/>
                <w:sz w:val="16"/>
                <w:szCs w:val="16"/>
                <w:lang w:val="es-NI"/>
              </w:rPr>
              <w:t xml:space="preserve">En la última semana qué tarea se le ha hecho difícil cumplir? </w:t>
            </w:r>
          </w:p>
          <w:p w14:paraId="7C455784" w14:textId="77777777" w:rsidR="005858CD" w:rsidRPr="005858CD" w:rsidRDefault="005858CD">
            <w:pPr>
              <w:autoSpaceDE w:val="0"/>
              <w:autoSpaceDN w:val="0"/>
              <w:adjustRightInd w:val="0"/>
              <w:rPr>
                <w:rFonts w:ascii="Book Antiqua" w:hAnsi="Book Antiqua" w:cs="Arial"/>
                <w:b/>
                <w:bCs/>
                <w:sz w:val="16"/>
                <w:szCs w:val="16"/>
              </w:rPr>
            </w:pPr>
            <w:r w:rsidRPr="005858CD">
              <w:rPr>
                <w:rFonts w:ascii="Book Antiqua" w:hAnsi="Book Antiqua" w:cs="Arial"/>
                <w:b/>
                <w:color w:val="212121"/>
                <w:sz w:val="16"/>
                <w:szCs w:val="16"/>
              </w:rPr>
              <w:t>¿</w:t>
            </w:r>
            <w:r w:rsidRPr="005858CD">
              <w:rPr>
                <w:rFonts w:ascii="Book Antiqua" w:hAnsi="Book Antiqua" w:cs="Arial"/>
                <w:b/>
                <w:color w:val="000000"/>
                <w:sz w:val="16"/>
                <w:szCs w:val="16"/>
              </w:rPr>
              <w:t xml:space="preserve">Por qué?  </w:t>
            </w:r>
          </w:p>
        </w:tc>
        <w:tc>
          <w:tcPr>
            <w:tcW w:w="2558" w:type="dxa"/>
            <w:noWrap/>
            <w:vAlign w:val="bottom"/>
          </w:tcPr>
          <w:p w14:paraId="0B3B6A94" w14:textId="77777777" w:rsidR="005858CD" w:rsidRPr="005858CD" w:rsidRDefault="005858CD">
            <w:pPr>
              <w:rPr>
                <w:rFonts w:ascii="Monotype Sorts" w:hAnsi="Monotype Sorts"/>
                <w:b/>
                <w:color w:val="000000"/>
                <w:sz w:val="18"/>
                <w:szCs w:val="18"/>
              </w:rPr>
            </w:pPr>
          </w:p>
          <w:p w14:paraId="01745A8E" w14:textId="77777777" w:rsidR="005858CD" w:rsidRPr="005858CD" w:rsidRDefault="005858CD">
            <w:pPr>
              <w:autoSpaceDE w:val="0"/>
              <w:autoSpaceDN w:val="0"/>
              <w:adjustRightInd w:val="0"/>
              <w:jc w:val="center"/>
              <w:rPr>
                <w:b/>
                <w:bCs/>
                <w:sz w:val="28"/>
                <w:szCs w:val="28"/>
                <w:lang w:val="es-HN"/>
              </w:rPr>
            </w:pPr>
            <w:r w:rsidRPr="005858CD">
              <w:rPr>
                <w:b/>
                <w:bCs/>
                <w:sz w:val="28"/>
                <w:szCs w:val="28"/>
              </w:rPr>
              <w:t>|</w:t>
            </w:r>
            <w:r w:rsidRPr="005858CD">
              <w:rPr>
                <w:b/>
                <w:bCs/>
                <w:sz w:val="28"/>
                <w:szCs w:val="28"/>
                <w:lang w:val="es-HN"/>
              </w:rPr>
              <w:t>__|</w:t>
            </w:r>
          </w:p>
          <w:p w14:paraId="67C2A232" w14:textId="77777777" w:rsidR="005858CD" w:rsidRPr="005858CD" w:rsidRDefault="005858CD">
            <w:pPr>
              <w:autoSpaceDE w:val="0"/>
              <w:autoSpaceDN w:val="0"/>
              <w:adjustRightInd w:val="0"/>
              <w:jc w:val="center"/>
              <w:rPr>
                <w:rFonts w:ascii="Monotype Sorts" w:hAnsi="Monotype Sorts"/>
                <w:b/>
                <w:color w:val="000000"/>
                <w:sz w:val="18"/>
                <w:szCs w:val="18"/>
              </w:rPr>
            </w:pPr>
          </w:p>
        </w:tc>
        <w:tc>
          <w:tcPr>
            <w:tcW w:w="1411" w:type="dxa"/>
            <w:noWrap/>
            <w:vAlign w:val="center"/>
          </w:tcPr>
          <w:p w14:paraId="30D5433D" w14:textId="77777777" w:rsidR="005858CD" w:rsidRPr="005858CD" w:rsidRDefault="005858CD">
            <w:pPr>
              <w:autoSpaceDE w:val="0"/>
              <w:autoSpaceDN w:val="0"/>
              <w:adjustRightInd w:val="0"/>
              <w:jc w:val="center"/>
              <w:rPr>
                <w:b/>
                <w:bCs/>
                <w:sz w:val="28"/>
                <w:szCs w:val="28"/>
                <w:lang w:val="es-HN"/>
              </w:rPr>
            </w:pPr>
          </w:p>
        </w:tc>
      </w:tr>
      <w:tr w:rsidR="005858CD" w:rsidRPr="005858CD" w14:paraId="56E42FBA" w14:textId="77777777" w:rsidTr="00873A6E">
        <w:trPr>
          <w:trHeight w:val="57"/>
        </w:trPr>
        <w:tc>
          <w:tcPr>
            <w:tcW w:w="567" w:type="dxa"/>
            <w:noWrap/>
            <w:vAlign w:val="center"/>
          </w:tcPr>
          <w:p w14:paraId="7BDD7BB9"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7.21</w:t>
            </w:r>
          </w:p>
        </w:tc>
        <w:tc>
          <w:tcPr>
            <w:tcW w:w="5302" w:type="dxa"/>
            <w:noWrap/>
            <w:vAlign w:val="center"/>
          </w:tcPr>
          <w:p w14:paraId="7AE05586" w14:textId="77777777" w:rsidR="005858CD" w:rsidRPr="005858CD" w:rsidRDefault="005858CD" w:rsidP="008C041F">
            <w:pPr>
              <w:rPr>
                <w:rFonts w:ascii="Book Antiqua" w:hAnsi="Book Antiqua" w:cs="Arial"/>
                <w:b/>
                <w:color w:val="212121"/>
                <w:sz w:val="16"/>
                <w:szCs w:val="16"/>
                <w:lang w:val="es-NI"/>
              </w:rPr>
            </w:pPr>
            <w:r w:rsidRPr="005858CD">
              <w:rPr>
                <w:rFonts w:ascii="Book Antiqua" w:hAnsi="Book Antiqua" w:cs="Arial"/>
                <w:b/>
                <w:color w:val="212121"/>
                <w:sz w:val="16"/>
                <w:szCs w:val="16"/>
                <w:lang w:val="es-NI"/>
              </w:rPr>
              <w:t>¿Ha pedido apoyo a alguien para desempeñarlas? ¿A quién?</w:t>
            </w:r>
          </w:p>
          <w:p w14:paraId="0B3E0206"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 xml:space="preserve"> (Hasta dos opciones)</w:t>
            </w:r>
          </w:p>
          <w:p w14:paraId="64E05BE5"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0 = Esposo/pareja</w:t>
            </w:r>
          </w:p>
          <w:p w14:paraId="0E32577B"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1 = Hija</w:t>
            </w:r>
          </w:p>
          <w:p w14:paraId="3C52C3C1" w14:textId="77777777" w:rsidR="005858CD" w:rsidRPr="005858CD" w:rsidRDefault="005858CD" w:rsidP="008C041F">
            <w:pPr>
              <w:rPr>
                <w:rFonts w:ascii="Book Antiqua" w:hAnsi="Book Antiqua" w:cs="Arial"/>
                <w:sz w:val="14"/>
                <w:szCs w:val="14"/>
                <w:lang w:val="es-NI"/>
              </w:rPr>
            </w:pPr>
            <w:r w:rsidRPr="005858CD">
              <w:rPr>
                <w:rFonts w:ascii="Book Antiqua" w:hAnsi="Book Antiqua" w:cs="Arial"/>
                <w:sz w:val="14"/>
                <w:szCs w:val="14"/>
                <w:lang w:val="es-NI"/>
              </w:rPr>
              <w:t>2 = Hijo</w:t>
            </w:r>
          </w:p>
          <w:p w14:paraId="4E2C942F"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 xml:space="preserve">3= Otra mujer </w:t>
            </w:r>
          </w:p>
          <w:p w14:paraId="1F3DBD72" w14:textId="77777777" w:rsidR="005858CD" w:rsidRPr="005858CD" w:rsidRDefault="005858CD">
            <w:pPr>
              <w:rPr>
                <w:rFonts w:ascii="Book Antiqua" w:hAnsi="Book Antiqua" w:cs="Arial"/>
                <w:sz w:val="14"/>
                <w:szCs w:val="14"/>
              </w:rPr>
            </w:pPr>
            <w:r w:rsidRPr="005858CD">
              <w:rPr>
                <w:rFonts w:ascii="Book Antiqua" w:hAnsi="Book Antiqua" w:cs="Arial"/>
                <w:sz w:val="14"/>
                <w:szCs w:val="14"/>
                <w:lang w:val="es-NI"/>
              </w:rPr>
              <w:t xml:space="preserve">4= Otro </w:t>
            </w:r>
            <w:r w:rsidRPr="005858CD">
              <w:rPr>
                <w:rFonts w:ascii="Book Antiqua" w:hAnsi="Book Antiqua" w:cs="Arial"/>
                <w:sz w:val="14"/>
                <w:szCs w:val="14"/>
              </w:rPr>
              <w:t>hombre</w:t>
            </w:r>
          </w:p>
          <w:p w14:paraId="1E99873F" w14:textId="77777777" w:rsidR="005858CD" w:rsidRPr="005858CD" w:rsidRDefault="005858CD">
            <w:pPr>
              <w:rPr>
                <w:rFonts w:ascii="Book Antiqua" w:hAnsi="Book Antiqua" w:cs="Arial"/>
                <w:b/>
                <w:bCs/>
                <w:sz w:val="18"/>
                <w:lang w:val="es-NI"/>
              </w:rPr>
            </w:pPr>
            <w:r w:rsidRPr="005858CD">
              <w:rPr>
                <w:rFonts w:ascii="Book Antiqua" w:hAnsi="Book Antiqua" w:cs="Arial"/>
                <w:sz w:val="14"/>
                <w:szCs w:val="14"/>
              </w:rPr>
              <w:t>5 = Otro: _______________________________</w:t>
            </w:r>
          </w:p>
        </w:tc>
        <w:tc>
          <w:tcPr>
            <w:tcW w:w="3969" w:type="dxa"/>
            <w:gridSpan w:val="2"/>
            <w:noWrap/>
            <w:vAlign w:val="center"/>
          </w:tcPr>
          <w:p w14:paraId="02E644A5" w14:textId="77777777" w:rsidR="005858CD" w:rsidRPr="005858CD" w:rsidRDefault="005858CD">
            <w:pPr>
              <w:autoSpaceDE w:val="0"/>
              <w:autoSpaceDN w:val="0"/>
              <w:adjustRightInd w:val="0"/>
              <w:jc w:val="center"/>
              <w:rPr>
                <w:b/>
                <w:bCs/>
                <w:sz w:val="28"/>
                <w:szCs w:val="28"/>
              </w:rPr>
            </w:pPr>
            <w:r w:rsidRPr="005858CD">
              <w:rPr>
                <w:b/>
                <w:bCs/>
                <w:sz w:val="28"/>
                <w:szCs w:val="28"/>
              </w:rPr>
              <w:t>|</w:t>
            </w:r>
            <w:r w:rsidRPr="005858CD">
              <w:rPr>
                <w:b/>
                <w:bCs/>
                <w:sz w:val="28"/>
                <w:szCs w:val="28"/>
                <w:lang w:val="es-HN"/>
              </w:rPr>
              <w:t>__|</w:t>
            </w:r>
          </w:p>
        </w:tc>
      </w:tr>
    </w:tbl>
    <w:p w14:paraId="0B07DED9" w14:textId="77777777" w:rsidR="005858CD" w:rsidRPr="005858CD" w:rsidRDefault="005858CD" w:rsidP="008C041F">
      <w:pPr>
        <w:keepNext/>
        <w:autoSpaceDE w:val="0"/>
        <w:autoSpaceDN w:val="0"/>
        <w:adjustRightInd w:val="0"/>
        <w:outlineLvl w:val="1"/>
        <w:rPr>
          <w:rFonts w:ascii="Arial" w:hAnsi="Arial"/>
          <w:b/>
          <w:bCs/>
          <w:color w:val="000000"/>
          <w:sz w:val="22"/>
          <w:szCs w:val="22"/>
          <w:u w:val="single"/>
        </w:rPr>
      </w:pPr>
    </w:p>
    <w:p w14:paraId="47FCE101" w14:textId="77777777" w:rsidR="005858CD" w:rsidRPr="005858CD" w:rsidRDefault="005858CD" w:rsidP="008C041F">
      <w:pPr>
        <w:keepNext/>
        <w:autoSpaceDE w:val="0"/>
        <w:autoSpaceDN w:val="0"/>
        <w:adjustRightInd w:val="0"/>
        <w:outlineLvl w:val="1"/>
        <w:rPr>
          <w:rFonts w:ascii="Book Antiqua" w:hAnsi="Book Antiqua"/>
          <w:b/>
          <w:bCs/>
          <w:color w:val="000000"/>
          <w:sz w:val="20"/>
          <w:szCs w:val="20"/>
          <w:u w:val="single"/>
        </w:rPr>
      </w:pPr>
      <w:r w:rsidRPr="005858CD">
        <w:rPr>
          <w:rFonts w:ascii="Book Antiqua" w:hAnsi="Book Antiqua"/>
          <w:b/>
          <w:bCs/>
          <w:color w:val="000000"/>
          <w:sz w:val="20"/>
          <w:szCs w:val="20"/>
          <w:u w:val="single"/>
        </w:rPr>
        <w:t xml:space="preserve">8) Apoyo externo para proveer cuidados </w:t>
      </w:r>
    </w:p>
    <w:p w14:paraId="4B50C9B7" w14:textId="77777777" w:rsidR="005858CD" w:rsidRPr="005858CD" w:rsidRDefault="005858CD" w:rsidP="008C041F">
      <w:pPr>
        <w:rPr>
          <w:rFonts w:ascii="Arial" w:hAnsi="Arial" w:cs="Arial"/>
          <w:b/>
          <w:color w:val="000000"/>
          <w:sz w:val="18"/>
          <w:szCs w:val="18"/>
        </w:rPr>
      </w:pPr>
    </w:p>
    <w:tbl>
      <w:tblPr>
        <w:tblW w:w="983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7"/>
        <w:gridCol w:w="5302"/>
        <w:gridCol w:w="2558"/>
        <w:gridCol w:w="1411"/>
      </w:tblGrid>
      <w:tr w:rsidR="005858CD" w:rsidRPr="005858CD" w14:paraId="2702DBDC" w14:textId="77777777" w:rsidTr="00873A6E">
        <w:trPr>
          <w:trHeight w:val="291"/>
        </w:trPr>
        <w:tc>
          <w:tcPr>
            <w:tcW w:w="567" w:type="dxa"/>
            <w:noWrap/>
            <w:vAlign w:val="center"/>
          </w:tcPr>
          <w:p w14:paraId="75574FF6"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8.1</w:t>
            </w:r>
          </w:p>
        </w:tc>
        <w:tc>
          <w:tcPr>
            <w:tcW w:w="5302" w:type="dxa"/>
            <w:noWrap/>
            <w:vAlign w:val="center"/>
          </w:tcPr>
          <w:p w14:paraId="31A39272" w14:textId="77777777" w:rsidR="005858CD" w:rsidRPr="005858CD" w:rsidRDefault="005858CD" w:rsidP="008C041F">
            <w:pPr>
              <w:autoSpaceDE w:val="0"/>
              <w:autoSpaceDN w:val="0"/>
              <w:adjustRightInd w:val="0"/>
              <w:rPr>
                <w:rFonts w:ascii="Book Antiqua" w:hAnsi="Book Antiqua" w:cs="Arial"/>
                <w:b/>
                <w:color w:val="000000"/>
                <w:sz w:val="16"/>
                <w:szCs w:val="16"/>
                <w:lang w:val="es-NI"/>
              </w:rPr>
            </w:pPr>
            <w:r w:rsidRPr="005858CD">
              <w:rPr>
                <w:rFonts w:ascii="Book Antiqua" w:hAnsi="Book Antiqua" w:cs="Arial"/>
                <w:b/>
                <w:color w:val="212121"/>
                <w:sz w:val="16"/>
                <w:szCs w:val="16"/>
                <w:lang w:val="es-NI"/>
              </w:rPr>
              <w:t>¿En su hogar tiene acceso a servicios públicos de agua?</w:t>
            </w:r>
          </w:p>
        </w:tc>
        <w:tc>
          <w:tcPr>
            <w:tcW w:w="2558" w:type="dxa"/>
            <w:noWrap/>
            <w:vAlign w:val="bottom"/>
          </w:tcPr>
          <w:p w14:paraId="6B35DF7A" w14:textId="77777777" w:rsidR="005858CD" w:rsidRPr="005858CD" w:rsidRDefault="005858CD" w:rsidP="008C041F">
            <w:pPr>
              <w:rPr>
                <w:rFonts w:ascii="Book Antiqua" w:hAnsi="Book Antiqua" w:cs="Arial"/>
                <w:sz w:val="14"/>
                <w:szCs w:val="14"/>
              </w:rPr>
            </w:pPr>
            <w:r w:rsidRPr="005858CD">
              <w:rPr>
                <w:rFonts w:ascii="Book Antiqua" w:hAnsi="Book Antiqua" w:cs="Arial"/>
                <w:sz w:val="14"/>
                <w:szCs w:val="14"/>
              </w:rPr>
              <w:t xml:space="preserve">0 = No </w:t>
            </w:r>
          </w:p>
          <w:p w14:paraId="0CCB30C7"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1 = Yes</w:t>
            </w:r>
          </w:p>
        </w:tc>
        <w:tc>
          <w:tcPr>
            <w:tcW w:w="1411" w:type="dxa"/>
            <w:noWrap/>
            <w:vAlign w:val="center"/>
          </w:tcPr>
          <w:p w14:paraId="6A1AF3AB" w14:textId="77777777" w:rsidR="005858CD" w:rsidRPr="005858CD" w:rsidRDefault="005858CD">
            <w:pPr>
              <w:autoSpaceDE w:val="0"/>
              <w:autoSpaceDN w:val="0"/>
              <w:adjustRightInd w:val="0"/>
              <w:jc w:val="center"/>
              <w:rPr>
                <w:b/>
                <w:bCs/>
                <w:sz w:val="28"/>
                <w:szCs w:val="28"/>
                <w:lang w:val="es-HN"/>
              </w:rPr>
            </w:pPr>
            <w:r w:rsidRPr="005858CD">
              <w:rPr>
                <w:b/>
                <w:bCs/>
                <w:color w:val="000000"/>
                <w:sz w:val="28"/>
                <w:szCs w:val="28"/>
              </w:rPr>
              <w:t>|__|</w:t>
            </w:r>
          </w:p>
        </w:tc>
      </w:tr>
      <w:tr w:rsidR="005858CD" w:rsidRPr="005858CD" w14:paraId="25391450" w14:textId="77777777" w:rsidTr="00873A6E">
        <w:trPr>
          <w:trHeight w:val="509"/>
        </w:trPr>
        <w:tc>
          <w:tcPr>
            <w:tcW w:w="567" w:type="dxa"/>
            <w:noWrap/>
            <w:vAlign w:val="center"/>
          </w:tcPr>
          <w:p w14:paraId="33B9609D"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8.2</w:t>
            </w:r>
          </w:p>
        </w:tc>
        <w:tc>
          <w:tcPr>
            <w:tcW w:w="5302" w:type="dxa"/>
            <w:noWrap/>
            <w:vAlign w:val="center"/>
          </w:tcPr>
          <w:p w14:paraId="69BC2AC5" w14:textId="77777777" w:rsidR="005858CD" w:rsidRPr="005858CD" w:rsidRDefault="005858CD" w:rsidP="008C041F">
            <w:pPr>
              <w:autoSpaceDE w:val="0"/>
              <w:autoSpaceDN w:val="0"/>
              <w:adjustRightInd w:val="0"/>
              <w:rPr>
                <w:rFonts w:ascii="Book Antiqua" w:eastAsia="Calibri" w:hAnsi="Book Antiqua" w:cs="Arial"/>
                <w:b/>
                <w:bCs/>
                <w:sz w:val="16"/>
                <w:szCs w:val="16"/>
                <w:lang w:val="es-HN" w:eastAsia="en-GB"/>
              </w:rPr>
            </w:pPr>
            <w:r w:rsidRPr="005858CD">
              <w:rPr>
                <w:rFonts w:ascii="Book Antiqua" w:hAnsi="Book Antiqua" w:cs="Arial"/>
                <w:b/>
                <w:color w:val="212121"/>
                <w:sz w:val="16"/>
                <w:szCs w:val="16"/>
                <w:lang w:val="es-NI"/>
              </w:rPr>
              <w:t>¿</w:t>
            </w:r>
            <w:r w:rsidRPr="005858CD">
              <w:rPr>
                <w:rFonts w:ascii="Book Antiqua" w:hAnsi="Book Antiqua" w:cs="Arial"/>
                <w:b/>
                <w:color w:val="000000"/>
                <w:sz w:val="16"/>
                <w:szCs w:val="16"/>
                <w:lang w:val="es-HN"/>
              </w:rPr>
              <w:t xml:space="preserve">Qué tan lejos de su hogar está la fuente (pública) de agua que usa?ow far away from your house is the public water source that you use? </w:t>
            </w:r>
          </w:p>
        </w:tc>
        <w:tc>
          <w:tcPr>
            <w:tcW w:w="2558" w:type="dxa"/>
            <w:noWrap/>
            <w:vAlign w:val="bottom"/>
          </w:tcPr>
          <w:p w14:paraId="72C1A932"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En kilómetros</w:t>
            </w:r>
          </w:p>
        </w:tc>
        <w:tc>
          <w:tcPr>
            <w:tcW w:w="1411" w:type="dxa"/>
            <w:noWrap/>
            <w:vAlign w:val="center"/>
          </w:tcPr>
          <w:p w14:paraId="0A84D702"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7B450BC5" w14:textId="77777777" w:rsidTr="00873A6E">
        <w:trPr>
          <w:trHeight w:val="738"/>
        </w:trPr>
        <w:tc>
          <w:tcPr>
            <w:tcW w:w="567" w:type="dxa"/>
            <w:noWrap/>
            <w:vAlign w:val="center"/>
          </w:tcPr>
          <w:p w14:paraId="19CCF777"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8.3</w:t>
            </w:r>
          </w:p>
        </w:tc>
        <w:tc>
          <w:tcPr>
            <w:tcW w:w="5302" w:type="dxa"/>
            <w:noWrap/>
            <w:vAlign w:val="center"/>
          </w:tcPr>
          <w:p w14:paraId="673E3EC2" w14:textId="77777777" w:rsidR="005858CD" w:rsidRPr="005858CD" w:rsidRDefault="005858CD" w:rsidP="008C041F">
            <w:pPr>
              <w:autoSpaceDE w:val="0"/>
              <w:autoSpaceDN w:val="0"/>
              <w:adjustRightInd w:val="0"/>
              <w:rPr>
                <w:rFonts w:ascii="Book Antiqua" w:eastAsia="Calibri" w:hAnsi="Book Antiqua" w:cs="Arial"/>
                <w:b/>
                <w:bCs/>
                <w:sz w:val="16"/>
                <w:szCs w:val="16"/>
                <w:lang w:eastAsia="en-GB"/>
              </w:rPr>
            </w:pPr>
            <w:r w:rsidRPr="005858CD">
              <w:rPr>
                <w:rFonts w:ascii="Book Antiqua" w:hAnsi="Book Antiqua" w:cs="Arial"/>
                <w:b/>
                <w:color w:val="212121"/>
                <w:sz w:val="16"/>
                <w:szCs w:val="16"/>
              </w:rPr>
              <w:t>¿</w:t>
            </w:r>
            <w:r w:rsidRPr="005858CD">
              <w:rPr>
                <w:rFonts w:ascii="Book Antiqua" w:eastAsia="Calibri" w:hAnsi="Book Antiqua" w:cs="Arial"/>
                <w:b/>
                <w:bCs/>
                <w:sz w:val="16"/>
                <w:szCs w:val="16"/>
                <w:lang w:eastAsia="en-GB"/>
              </w:rPr>
              <w:t xml:space="preserve">En el ultimo mes cuántas veces han cortado el agua? </w:t>
            </w:r>
          </w:p>
        </w:tc>
        <w:tc>
          <w:tcPr>
            <w:tcW w:w="2558" w:type="dxa"/>
            <w:noWrap/>
            <w:vAlign w:val="bottom"/>
          </w:tcPr>
          <w:p w14:paraId="59FA90F6"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7C980A33"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6FCC48C0"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0B0FE244"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 xml:space="preserve">3 = Una vez al día </w:t>
            </w:r>
          </w:p>
          <w:p w14:paraId="7B680F8F" w14:textId="77777777" w:rsidR="005858CD" w:rsidRPr="005858CD" w:rsidRDefault="005858CD">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4=  Varias veces al día</w:t>
            </w:r>
          </w:p>
        </w:tc>
        <w:tc>
          <w:tcPr>
            <w:tcW w:w="1411" w:type="dxa"/>
            <w:noWrap/>
            <w:vAlign w:val="center"/>
          </w:tcPr>
          <w:p w14:paraId="6229DE61" w14:textId="77777777" w:rsidR="005858CD" w:rsidRPr="005858CD" w:rsidRDefault="005858CD">
            <w:pPr>
              <w:autoSpaceDE w:val="0"/>
              <w:autoSpaceDN w:val="0"/>
              <w:adjustRightInd w:val="0"/>
              <w:jc w:val="center"/>
              <w:rPr>
                <w:b/>
                <w:bCs/>
                <w:sz w:val="28"/>
                <w:szCs w:val="28"/>
                <w:lang w:val="es-HN"/>
              </w:rPr>
            </w:pPr>
            <w:r w:rsidRPr="005858CD">
              <w:rPr>
                <w:b/>
                <w:bCs/>
                <w:sz w:val="28"/>
                <w:szCs w:val="28"/>
              </w:rPr>
              <w:t>|</w:t>
            </w:r>
            <w:r w:rsidRPr="005858CD">
              <w:rPr>
                <w:b/>
                <w:bCs/>
                <w:sz w:val="28"/>
                <w:szCs w:val="28"/>
                <w:lang w:val="es-HN"/>
              </w:rPr>
              <w:t>__|</w:t>
            </w:r>
          </w:p>
        </w:tc>
      </w:tr>
      <w:tr w:rsidR="005858CD" w:rsidRPr="005858CD" w14:paraId="5081DF7F" w14:textId="77777777" w:rsidTr="00873A6E">
        <w:trPr>
          <w:trHeight w:val="347"/>
        </w:trPr>
        <w:tc>
          <w:tcPr>
            <w:tcW w:w="567" w:type="dxa"/>
            <w:noWrap/>
            <w:vAlign w:val="center"/>
          </w:tcPr>
          <w:p w14:paraId="22E19149"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8.4</w:t>
            </w:r>
          </w:p>
        </w:tc>
        <w:tc>
          <w:tcPr>
            <w:tcW w:w="5302" w:type="dxa"/>
            <w:noWrap/>
            <w:vAlign w:val="center"/>
          </w:tcPr>
          <w:p w14:paraId="428F55CA" w14:textId="77777777" w:rsidR="005858CD" w:rsidRPr="005858CD" w:rsidRDefault="005858CD" w:rsidP="008C041F">
            <w:pPr>
              <w:autoSpaceDE w:val="0"/>
              <w:autoSpaceDN w:val="0"/>
              <w:adjustRightInd w:val="0"/>
              <w:rPr>
                <w:rFonts w:ascii="Book Antiqua" w:eastAsia="Calibri" w:hAnsi="Book Antiqua" w:cs="Arial"/>
                <w:b/>
                <w:bCs/>
                <w:sz w:val="16"/>
                <w:szCs w:val="16"/>
                <w:lang w:val="es-NI" w:eastAsia="en-GB"/>
              </w:rPr>
            </w:pPr>
            <w:r w:rsidRPr="005858CD">
              <w:rPr>
                <w:rFonts w:ascii="Book Antiqua" w:hAnsi="Book Antiqua" w:cs="Arial"/>
                <w:b/>
                <w:color w:val="212121"/>
                <w:sz w:val="16"/>
                <w:szCs w:val="16"/>
                <w:lang w:val="es-NI"/>
              </w:rPr>
              <w:t>¿En su hogar tienen acceso a electricidad</w:t>
            </w:r>
            <w:r w:rsidRPr="005858CD">
              <w:rPr>
                <w:rFonts w:ascii="Book Antiqua" w:eastAsia="Calibri" w:hAnsi="Book Antiqua" w:cs="Arial"/>
                <w:b/>
                <w:bCs/>
                <w:sz w:val="16"/>
                <w:szCs w:val="16"/>
                <w:lang w:val="es-NI" w:eastAsia="en-GB"/>
              </w:rPr>
              <w:t>?</w:t>
            </w:r>
          </w:p>
        </w:tc>
        <w:tc>
          <w:tcPr>
            <w:tcW w:w="2558" w:type="dxa"/>
            <w:noWrap/>
            <w:vAlign w:val="bottom"/>
          </w:tcPr>
          <w:p w14:paraId="0FDB1009" w14:textId="77777777" w:rsidR="005858CD" w:rsidRPr="005858CD" w:rsidRDefault="005858CD" w:rsidP="008C041F">
            <w:pPr>
              <w:rPr>
                <w:rFonts w:ascii="Book Antiqua" w:hAnsi="Book Antiqua" w:cs="Arial"/>
                <w:sz w:val="14"/>
                <w:szCs w:val="14"/>
              </w:rPr>
            </w:pPr>
            <w:r w:rsidRPr="005858CD">
              <w:rPr>
                <w:rFonts w:ascii="Book Antiqua" w:hAnsi="Book Antiqua" w:cs="Arial"/>
                <w:sz w:val="14"/>
                <w:szCs w:val="14"/>
              </w:rPr>
              <w:t xml:space="preserve">0 = No </w:t>
            </w:r>
          </w:p>
          <w:p w14:paraId="6202E117" w14:textId="77777777" w:rsidR="005858CD" w:rsidRPr="005858CD" w:rsidRDefault="005858CD" w:rsidP="008C041F">
            <w:pPr>
              <w:rPr>
                <w:rFonts w:ascii="Book Antiqua" w:hAnsi="Book Antiqua" w:cs="Arial"/>
                <w:sz w:val="14"/>
                <w:szCs w:val="14"/>
              </w:rPr>
            </w:pPr>
            <w:r w:rsidRPr="005858CD">
              <w:rPr>
                <w:rFonts w:ascii="Book Antiqua" w:hAnsi="Book Antiqua" w:cs="Arial"/>
                <w:sz w:val="14"/>
                <w:szCs w:val="14"/>
              </w:rPr>
              <w:t>1 = Si</w:t>
            </w:r>
          </w:p>
        </w:tc>
        <w:tc>
          <w:tcPr>
            <w:tcW w:w="1411" w:type="dxa"/>
            <w:noWrap/>
            <w:vAlign w:val="center"/>
          </w:tcPr>
          <w:p w14:paraId="2382158F" w14:textId="77777777" w:rsidR="005858CD" w:rsidRPr="005858CD" w:rsidRDefault="005858CD" w:rsidP="008C041F">
            <w:pPr>
              <w:autoSpaceDE w:val="0"/>
              <w:autoSpaceDN w:val="0"/>
              <w:adjustRightInd w:val="0"/>
              <w:jc w:val="center"/>
              <w:rPr>
                <w:b/>
                <w:bCs/>
                <w:sz w:val="28"/>
                <w:szCs w:val="28"/>
                <w:lang w:val="es-HN"/>
              </w:rPr>
            </w:pPr>
            <w:r w:rsidRPr="005858CD">
              <w:rPr>
                <w:b/>
                <w:bCs/>
                <w:color w:val="000000"/>
                <w:sz w:val="28"/>
                <w:szCs w:val="28"/>
              </w:rPr>
              <w:t>|__|</w:t>
            </w:r>
          </w:p>
        </w:tc>
      </w:tr>
      <w:tr w:rsidR="005858CD" w:rsidRPr="005858CD" w14:paraId="537BE46F" w14:textId="77777777" w:rsidTr="00873A6E">
        <w:trPr>
          <w:trHeight w:val="738"/>
        </w:trPr>
        <w:tc>
          <w:tcPr>
            <w:tcW w:w="567" w:type="dxa"/>
            <w:noWrap/>
            <w:vAlign w:val="center"/>
          </w:tcPr>
          <w:p w14:paraId="2167EF18"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8.5</w:t>
            </w:r>
          </w:p>
        </w:tc>
        <w:tc>
          <w:tcPr>
            <w:tcW w:w="5302" w:type="dxa"/>
            <w:noWrap/>
            <w:vAlign w:val="center"/>
          </w:tcPr>
          <w:p w14:paraId="2B4C2B09" w14:textId="77777777" w:rsidR="005858CD" w:rsidRPr="005858CD" w:rsidRDefault="005858CD" w:rsidP="008C041F">
            <w:pPr>
              <w:autoSpaceDE w:val="0"/>
              <w:autoSpaceDN w:val="0"/>
              <w:adjustRightInd w:val="0"/>
              <w:rPr>
                <w:rFonts w:ascii="Book Antiqua" w:eastAsia="Calibri" w:hAnsi="Book Antiqua" w:cs="Arial"/>
                <w:b/>
                <w:bCs/>
                <w:sz w:val="16"/>
                <w:szCs w:val="16"/>
                <w:lang w:val="es-NI" w:eastAsia="en-GB"/>
              </w:rPr>
            </w:pPr>
            <w:r w:rsidRPr="005858CD">
              <w:rPr>
                <w:rFonts w:ascii="Book Antiqua" w:hAnsi="Book Antiqua" w:cs="Arial"/>
                <w:b/>
                <w:color w:val="212121"/>
                <w:sz w:val="16"/>
                <w:szCs w:val="16"/>
                <w:lang w:val="es-NI"/>
              </w:rPr>
              <w:t>¿</w:t>
            </w:r>
            <w:r w:rsidRPr="005858CD">
              <w:rPr>
                <w:rFonts w:ascii="Book Antiqua" w:eastAsia="Calibri" w:hAnsi="Book Antiqua" w:cs="Arial"/>
                <w:b/>
                <w:bCs/>
                <w:sz w:val="16"/>
                <w:szCs w:val="16"/>
                <w:lang w:val="es-NI" w:eastAsia="en-GB"/>
              </w:rPr>
              <w:t>En el último mes, cuántas veces cortaron la luz?</w:t>
            </w:r>
          </w:p>
        </w:tc>
        <w:tc>
          <w:tcPr>
            <w:tcW w:w="2558" w:type="dxa"/>
            <w:noWrap/>
            <w:vAlign w:val="bottom"/>
          </w:tcPr>
          <w:p w14:paraId="241BBE68"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57644FDB"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3E58679D"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608BD0D1"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3 = Una vez al día</w:t>
            </w:r>
          </w:p>
          <w:p w14:paraId="6ED6D982" w14:textId="77777777" w:rsidR="005858CD" w:rsidRPr="005858CD" w:rsidRDefault="005858CD">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 xml:space="preserve">4 = Varias veces al día </w:t>
            </w:r>
          </w:p>
        </w:tc>
        <w:tc>
          <w:tcPr>
            <w:tcW w:w="1411" w:type="dxa"/>
            <w:noWrap/>
            <w:vAlign w:val="center"/>
          </w:tcPr>
          <w:p w14:paraId="43634C88" w14:textId="77777777" w:rsidR="005858CD" w:rsidRPr="005858CD" w:rsidRDefault="005858CD">
            <w:pPr>
              <w:autoSpaceDE w:val="0"/>
              <w:autoSpaceDN w:val="0"/>
              <w:adjustRightInd w:val="0"/>
              <w:jc w:val="center"/>
              <w:rPr>
                <w:b/>
                <w:bCs/>
                <w:sz w:val="28"/>
                <w:szCs w:val="28"/>
                <w:lang w:val="es-HN"/>
              </w:rPr>
            </w:pPr>
            <w:r w:rsidRPr="005858CD">
              <w:rPr>
                <w:b/>
                <w:bCs/>
                <w:color w:val="000000"/>
                <w:sz w:val="28"/>
                <w:szCs w:val="28"/>
              </w:rPr>
              <w:t>|__|</w:t>
            </w:r>
          </w:p>
        </w:tc>
      </w:tr>
      <w:tr w:rsidR="005858CD" w:rsidRPr="005858CD" w14:paraId="17CD5896" w14:textId="77777777" w:rsidTr="00873A6E">
        <w:trPr>
          <w:trHeight w:val="446"/>
        </w:trPr>
        <w:tc>
          <w:tcPr>
            <w:tcW w:w="567" w:type="dxa"/>
            <w:noWrap/>
            <w:vAlign w:val="center"/>
          </w:tcPr>
          <w:p w14:paraId="52F746CC"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8.6</w:t>
            </w:r>
          </w:p>
        </w:tc>
        <w:tc>
          <w:tcPr>
            <w:tcW w:w="5302" w:type="dxa"/>
            <w:noWrap/>
            <w:vAlign w:val="center"/>
          </w:tcPr>
          <w:p w14:paraId="7363DD18" w14:textId="77777777" w:rsidR="005858CD" w:rsidRPr="005858CD" w:rsidRDefault="005858CD" w:rsidP="008C041F">
            <w:pPr>
              <w:rPr>
                <w:rFonts w:ascii="Book Antiqua" w:hAnsi="Book Antiqua" w:cs="Arial"/>
                <w:b/>
                <w:sz w:val="16"/>
                <w:szCs w:val="16"/>
                <w:lang w:val="es-HN"/>
              </w:rPr>
            </w:pPr>
            <w:r w:rsidRPr="005858CD">
              <w:rPr>
                <w:rFonts w:ascii="Book Antiqua" w:hAnsi="Book Antiqua" w:cs="Arial"/>
                <w:b/>
                <w:color w:val="212121"/>
                <w:sz w:val="16"/>
                <w:szCs w:val="16"/>
                <w:lang w:val="es-NI"/>
              </w:rPr>
              <w:t>¿En el último mes, alguien de su familia se ha enfermado</w:t>
            </w:r>
            <w:r w:rsidRPr="005858CD">
              <w:rPr>
                <w:rFonts w:ascii="Book Antiqua" w:hAnsi="Book Antiqua" w:cs="Arial"/>
                <w:b/>
                <w:sz w:val="16"/>
                <w:szCs w:val="16"/>
                <w:lang w:val="es-HN"/>
              </w:rPr>
              <w:t>?</w:t>
            </w:r>
          </w:p>
        </w:tc>
        <w:tc>
          <w:tcPr>
            <w:tcW w:w="2558" w:type="dxa"/>
            <w:noWrap/>
            <w:vAlign w:val="bottom"/>
          </w:tcPr>
          <w:p w14:paraId="5925CB84" w14:textId="77777777" w:rsidR="005858CD" w:rsidRPr="005858CD" w:rsidRDefault="005858CD" w:rsidP="008C041F">
            <w:pPr>
              <w:rPr>
                <w:rFonts w:ascii="Book Antiqua" w:hAnsi="Book Antiqua" w:cs="Arial"/>
                <w:b/>
                <w:bCs/>
                <w:iCs/>
                <w:color w:val="000000"/>
                <w:sz w:val="14"/>
                <w:szCs w:val="14"/>
              </w:rPr>
            </w:pPr>
            <w:r w:rsidRPr="005858CD">
              <w:rPr>
                <w:rFonts w:ascii="Book Antiqua" w:hAnsi="Book Antiqua" w:cs="Arial"/>
                <w:bCs/>
                <w:iCs/>
                <w:color w:val="000000"/>
                <w:sz w:val="14"/>
                <w:szCs w:val="14"/>
              </w:rPr>
              <w:t xml:space="preserve">0 = No </w:t>
            </w:r>
          </w:p>
          <w:p w14:paraId="19FD7314"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1 = Si</w:t>
            </w:r>
          </w:p>
        </w:tc>
        <w:tc>
          <w:tcPr>
            <w:tcW w:w="1411" w:type="dxa"/>
            <w:noWrap/>
            <w:vAlign w:val="center"/>
          </w:tcPr>
          <w:p w14:paraId="2B347DDD"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042DF2C4" w14:textId="77777777" w:rsidTr="00873A6E">
        <w:trPr>
          <w:trHeight w:val="347"/>
        </w:trPr>
        <w:tc>
          <w:tcPr>
            <w:tcW w:w="567" w:type="dxa"/>
            <w:noWrap/>
            <w:vAlign w:val="center"/>
          </w:tcPr>
          <w:p w14:paraId="3BCC290A"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8.7</w:t>
            </w:r>
          </w:p>
        </w:tc>
        <w:tc>
          <w:tcPr>
            <w:tcW w:w="5302" w:type="dxa"/>
            <w:noWrap/>
            <w:vAlign w:val="center"/>
          </w:tcPr>
          <w:p w14:paraId="224F4777" w14:textId="77777777" w:rsidR="005858CD" w:rsidRPr="005858CD" w:rsidRDefault="005858CD" w:rsidP="008C041F">
            <w:pPr>
              <w:rPr>
                <w:rFonts w:ascii="Book Antiqua" w:hAnsi="Book Antiqua" w:cs="Arial"/>
                <w:b/>
                <w:sz w:val="16"/>
                <w:szCs w:val="16"/>
                <w:highlight w:val="yellow"/>
                <w:lang w:val="es-NI"/>
              </w:rPr>
            </w:pPr>
            <w:r w:rsidRPr="005858CD">
              <w:rPr>
                <w:rFonts w:ascii="Book Antiqua" w:hAnsi="Book Antiqua" w:cs="Arial"/>
                <w:b/>
                <w:color w:val="212121"/>
                <w:sz w:val="16"/>
                <w:szCs w:val="16"/>
                <w:lang w:val="es-NI"/>
              </w:rPr>
              <w:t>¿Hicieron uso de servicios de salud pública?</w:t>
            </w:r>
          </w:p>
        </w:tc>
        <w:tc>
          <w:tcPr>
            <w:tcW w:w="2558" w:type="dxa"/>
            <w:noWrap/>
            <w:vAlign w:val="bottom"/>
          </w:tcPr>
          <w:p w14:paraId="56756A1C"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0 = No</w:t>
            </w:r>
          </w:p>
          <w:p w14:paraId="717491C1"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1 = Si</w:t>
            </w:r>
          </w:p>
        </w:tc>
        <w:tc>
          <w:tcPr>
            <w:tcW w:w="1411" w:type="dxa"/>
            <w:noWrap/>
            <w:vAlign w:val="center"/>
          </w:tcPr>
          <w:p w14:paraId="2008944C"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0FF0182B" w14:textId="77777777" w:rsidTr="00873A6E">
        <w:trPr>
          <w:trHeight w:val="392"/>
        </w:trPr>
        <w:tc>
          <w:tcPr>
            <w:tcW w:w="567" w:type="dxa"/>
            <w:noWrap/>
            <w:vAlign w:val="center"/>
          </w:tcPr>
          <w:p w14:paraId="71C703CB"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8.8</w:t>
            </w:r>
          </w:p>
        </w:tc>
        <w:tc>
          <w:tcPr>
            <w:tcW w:w="5302" w:type="dxa"/>
            <w:noWrap/>
            <w:vAlign w:val="center"/>
          </w:tcPr>
          <w:p w14:paraId="7AE98498" w14:textId="77777777" w:rsidR="005858CD" w:rsidRPr="005858CD" w:rsidRDefault="005858CD" w:rsidP="008C041F">
            <w:pPr>
              <w:autoSpaceDE w:val="0"/>
              <w:autoSpaceDN w:val="0"/>
              <w:adjustRightInd w:val="0"/>
              <w:rPr>
                <w:rFonts w:ascii="Book Antiqua" w:hAnsi="Book Antiqua" w:cs="Arial"/>
                <w:b/>
                <w:color w:val="000000"/>
                <w:sz w:val="16"/>
                <w:szCs w:val="16"/>
                <w:lang w:val="es-HN"/>
              </w:rPr>
            </w:pPr>
            <w:r w:rsidRPr="005858CD">
              <w:rPr>
                <w:rFonts w:ascii="Book Antiqua" w:hAnsi="Book Antiqua" w:cs="Arial"/>
                <w:b/>
                <w:color w:val="212121"/>
                <w:sz w:val="16"/>
                <w:szCs w:val="16"/>
                <w:lang w:val="es-NI"/>
              </w:rPr>
              <w:t>¿Tiene acceso a un centro de desarrollo infantil o guardería?</w:t>
            </w:r>
            <w:r w:rsidRPr="005858CD">
              <w:rPr>
                <w:rFonts w:ascii="Book Antiqua" w:hAnsi="Book Antiqua" w:cs="Arial"/>
                <w:b/>
                <w:color w:val="000000"/>
                <w:sz w:val="16"/>
                <w:szCs w:val="16"/>
                <w:lang w:val="es-HN"/>
              </w:rPr>
              <w:t xml:space="preserve"> </w:t>
            </w:r>
          </w:p>
        </w:tc>
        <w:tc>
          <w:tcPr>
            <w:tcW w:w="2558" w:type="dxa"/>
            <w:noWrap/>
            <w:vAlign w:val="bottom"/>
          </w:tcPr>
          <w:p w14:paraId="6B90B32D"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2936BE35"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1 = Si</w:t>
            </w:r>
          </w:p>
        </w:tc>
        <w:tc>
          <w:tcPr>
            <w:tcW w:w="1411" w:type="dxa"/>
            <w:noWrap/>
            <w:vAlign w:val="center"/>
          </w:tcPr>
          <w:p w14:paraId="342BD0A5"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36F718BA" w14:textId="77777777" w:rsidTr="00873A6E">
        <w:trPr>
          <w:trHeight w:val="347"/>
        </w:trPr>
        <w:tc>
          <w:tcPr>
            <w:tcW w:w="567" w:type="dxa"/>
            <w:noWrap/>
            <w:vAlign w:val="center"/>
          </w:tcPr>
          <w:p w14:paraId="08DBF561"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8.9</w:t>
            </w:r>
          </w:p>
        </w:tc>
        <w:tc>
          <w:tcPr>
            <w:tcW w:w="5302" w:type="dxa"/>
            <w:noWrap/>
            <w:vAlign w:val="center"/>
          </w:tcPr>
          <w:p w14:paraId="79612FD9" w14:textId="77777777" w:rsidR="005858CD" w:rsidRPr="005858CD" w:rsidRDefault="005858CD" w:rsidP="008C041F">
            <w:pPr>
              <w:autoSpaceDE w:val="0"/>
              <w:autoSpaceDN w:val="0"/>
              <w:adjustRightInd w:val="0"/>
              <w:rPr>
                <w:rFonts w:ascii="Book Antiqua" w:hAnsi="Book Antiqua" w:cs="Arial"/>
                <w:b/>
                <w:color w:val="000000"/>
                <w:sz w:val="16"/>
                <w:szCs w:val="16"/>
              </w:rPr>
            </w:pPr>
            <w:r w:rsidRPr="005858CD">
              <w:rPr>
                <w:rFonts w:ascii="Book Antiqua" w:hAnsi="Book Antiqua" w:cs="Arial"/>
                <w:b/>
                <w:color w:val="212121"/>
                <w:sz w:val="16"/>
                <w:szCs w:val="16"/>
                <w:lang w:val="es-NI"/>
              </w:rPr>
              <w:t>¿Alguno de sus niño/as asiste a estos centros</w:t>
            </w:r>
            <w:r w:rsidRPr="005858CD">
              <w:rPr>
                <w:rFonts w:ascii="Book Antiqua" w:hAnsi="Book Antiqua" w:cs="Arial"/>
                <w:i/>
                <w:color w:val="000000"/>
                <w:sz w:val="16"/>
                <w:szCs w:val="16"/>
                <w:lang w:val="es-NI"/>
              </w:rPr>
              <w:t>?</w:t>
            </w:r>
          </w:p>
        </w:tc>
        <w:tc>
          <w:tcPr>
            <w:tcW w:w="2558" w:type="dxa"/>
            <w:noWrap/>
            <w:vAlign w:val="bottom"/>
          </w:tcPr>
          <w:p w14:paraId="20759F14"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 xml:space="preserve">0 = No </w:t>
            </w:r>
          </w:p>
          <w:p w14:paraId="5B6496DC" w14:textId="77777777" w:rsidR="005858CD" w:rsidRPr="005858CD" w:rsidRDefault="005858CD" w:rsidP="008C041F">
            <w:pPr>
              <w:rPr>
                <w:rFonts w:ascii="Book Antiqua" w:hAnsi="Book Antiqua" w:cs="Arial"/>
                <w:bCs/>
                <w:iCs/>
                <w:color w:val="000000"/>
                <w:sz w:val="14"/>
                <w:szCs w:val="14"/>
              </w:rPr>
            </w:pPr>
            <w:r w:rsidRPr="005858CD">
              <w:rPr>
                <w:rFonts w:ascii="Book Antiqua" w:hAnsi="Book Antiqua" w:cs="Arial"/>
                <w:bCs/>
                <w:iCs/>
                <w:color w:val="000000"/>
                <w:sz w:val="14"/>
                <w:szCs w:val="14"/>
              </w:rPr>
              <w:t>1 = Si</w:t>
            </w:r>
          </w:p>
        </w:tc>
        <w:tc>
          <w:tcPr>
            <w:tcW w:w="1411" w:type="dxa"/>
            <w:noWrap/>
            <w:vAlign w:val="center"/>
          </w:tcPr>
          <w:p w14:paraId="3CFC5289" w14:textId="77777777" w:rsidR="005858CD" w:rsidRPr="005858CD" w:rsidRDefault="005858CD" w:rsidP="008C041F">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32F3C98E" w14:textId="77777777" w:rsidTr="00873A6E">
        <w:trPr>
          <w:trHeight w:val="738"/>
        </w:trPr>
        <w:tc>
          <w:tcPr>
            <w:tcW w:w="567" w:type="dxa"/>
            <w:noWrap/>
            <w:vAlign w:val="center"/>
          </w:tcPr>
          <w:p w14:paraId="407C71EF" w14:textId="77777777" w:rsidR="005858CD" w:rsidRPr="005858CD" w:rsidRDefault="005858CD" w:rsidP="008C041F">
            <w:pPr>
              <w:rPr>
                <w:rFonts w:ascii="Book Antiqua" w:hAnsi="Book Antiqua" w:cs="Arial"/>
                <w:bCs/>
                <w:sz w:val="16"/>
                <w:szCs w:val="16"/>
                <w:lang w:val="es-HN"/>
              </w:rPr>
            </w:pPr>
            <w:r w:rsidRPr="005858CD">
              <w:rPr>
                <w:rFonts w:ascii="Book Antiqua" w:hAnsi="Book Antiqua" w:cs="Arial"/>
                <w:bCs/>
                <w:sz w:val="16"/>
                <w:szCs w:val="16"/>
                <w:lang w:val="es-HN"/>
              </w:rPr>
              <w:t>8.10</w:t>
            </w:r>
          </w:p>
        </w:tc>
        <w:tc>
          <w:tcPr>
            <w:tcW w:w="5302" w:type="dxa"/>
            <w:noWrap/>
            <w:vAlign w:val="center"/>
          </w:tcPr>
          <w:p w14:paraId="012BB9EA" w14:textId="77777777" w:rsidR="005858CD" w:rsidRPr="005858CD" w:rsidRDefault="005858CD" w:rsidP="008C041F">
            <w:pPr>
              <w:autoSpaceDE w:val="0"/>
              <w:autoSpaceDN w:val="0"/>
              <w:adjustRightInd w:val="0"/>
              <w:rPr>
                <w:rFonts w:ascii="Book Antiqua" w:hAnsi="Book Antiqua" w:cs="Arial"/>
                <w:b/>
                <w:color w:val="000000"/>
                <w:sz w:val="16"/>
                <w:szCs w:val="16"/>
                <w:lang w:val="es-NI"/>
              </w:rPr>
            </w:pPr>
            <w:r w:rsidRPr="005858CD">
              <w:rPr>
                <w:rFonts w:ascii="Book Antiqua" w:hAnsi="Book Antiqua" w:cs="Arial"/>
                <w:b/>
                <w:color w:val="212121"/>
                <w:sz w:val="16"/>
                <w:szCs w:val="16"/>
                <w:lang w:val="es-NI"/>
              </w:rPr>
              <w:t>¿Quién/con qué se paga principalmente por los servicios de cuido de niño/as?</w:t>
            </w:r>
          </w:p>
        </w:tc>
        <w:tc>
          <w:tcPr>
            <w:tcW w:w="2558" w:type="dxa"/>
            <w:noWrap/>
            <w:vAlign w:val="bottom"/>
          </w:tcPr>
          <w:p w14:paraId="0588028E"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1 = Ingresos del esposo</w:t>
            </w:r>
          </w:p>
          <w:p w14:paraId="4DD6AC12"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Ingresos de los hombres</w:t>
            </w:r>
          </w:p>
          <w:p w14:paraId="3F941380"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3 = Ingresos de las mujeres</w:t>
            </w:r>
          </w:p>
          <w:p w14:paraId="2EBCF1BD"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4 = El Estado</w:t>
            </w:r>
          </w:p>
          <w:p w14:paraId="2192AA24"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5 = Empleador</w:t>
            </w:r>
          </w:p>
          <w:p w14:paraId="1295EFB0" w14:textId="77777777" w:rsidR="005858CD" w:rsidRPr="005858CD" w:rsidRDefault="005858CD">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6 = Organizaciones de la sociedad civil</w:t>
            </w:r>
          </w:p>
          <w:p w14:paraId="1D18E6CA" w14:textId="77777777" w:rsidR="005858CD" w:rsidRPr="005858CD" w:rsidRDefault="005858CD">
            <w:pPr>
              <w:rPr>
                <w:rFonts w:ascii="Book Antiqua" w:hAnsi="Book Antiqua" w:cs="Arial"/>
                <w:bCs/>
                <w:iCs/>
                <w:color w:val="000000"/>
                <w:sz w:val="14"/>
                <w:szCs w:val="14"/>
              </w:rPr>
            </w:pPr>
            <w:r w:rsidRPr="005858CD">
              <w:rPr>
                <w:rFonts w:ascii="Book Antiqua" w:hAnsi="Book Antiqua" w:cs="Arial"/>
                <w:bCs/>
                <w:iCs/>
                <w:color w:val="000000"/>
                <w:sz w:val="14"/>
                <w:szCs w:val="14"/>
              </w:rPr>
              <w:t>7 = Otro:_____________________</w:t>
            </w:r>
          </w:p>
        </w:tc>
        <w:tc>
          <w:tcPr>
            <w:tcW w:w="1411" w:type="dxa"/>
            <w:noWrap/>
            <w:vAlign w:val="center"/>
          </w:tcPr>
          <w:p w14:paraId="5F5AA188" w14:textId="77777777" w:rsidR="005858CD" w:rsidRPr="005858CD" w:rsidRDefault="005858CD">
            <w:pPr>
              <w:autoSpaceDE w:val="0"/>
              <w:autoSpaceDN w:val="0"/>
              <w:adjustRightInd w:val="0"/>
              <w:jc w:val="center"/>
              <w:rPr>
                <w:b/>
                <w:bCs/>
                <w:sz w:val="28"/>
                <w:szCs w:val="28"/>
                <w:lang w:val="es-HN"/>
              </w:rPr>
            </w:pPr>
            <w:r w:rsidRPr="005858CD">
              <w:rPr>
                <w:b/>
                <w:bCs/>
                <w:sz w:val="28"/>
                <w:szCs w:val="28"/>
                <w:lang w:val="es-HN"/>
              </w:rPr>
              <w:t>|__|</w:t>
            </w:r>
          </w:p>
        </w:tc>
      </w:tr>
      <w:tr w:rsidR="005858CD" w:rsidRPr="005858CD" w14:paraId="4E21FEB6" w14:textId="77777777" w:rsidTr="00873A6E">
        <w:trPr>
          <w:trHeight w:val="738"/>
        </w:trPr>
        <w:tc>
          <w:tcPr>
            <w:tcW w:w="567" w:type="dxa"/>
            <w:noWrap/>
          </w:tcPr>
          <w:p w14:paraId="4D881CAF"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lastRenderedPageBreak/>
              <w:t>8.11</w:t>
            </w:r>
          </w:p>
        </w:tc>
        <w:tc>
          <w:tcPr>
            <w:tcW w:w="5302" w:type="dxa"/>
            <w:noWrap/>
            <w:vAlign w:val="center"/>
          </w:tcPr>
          <w:p w14:paraId="79C14614" w14:textId="77777777" w:rsidR="005858CD" w:rsidRPr="005858CD" w:rsidRDefault="005858CD" w:rsidP="008C041F">
            <w:pPr>
              <w:rPr>
                <w:rFonts w:ascii="Book Antiqua" w:hAnsi="Book Antiqua" w:cs="Arial"/>
                <w:b/>
                <w:sz w:val="16"/>
                <w:szCs w:val="16"/>
                <w:lang w:eastAsia="en-GB"/>
              </w:rPr>
            </w:pPr>
            <w:r w:rsidRPr="005858CD">
              <w:rPr>
                <w:rFonts w:ascii="Book Antiqua" w:hAnsi="Book Antiqua" w:cs="Arial"/>
                <w:b/>
                <w:color w:val="212121"/>
                <w:sz w:val="16"/>
                <w:szCs w:val="16"/>
              </w:rPr>
              <w:t>¿</w:t>
            </w:r>
            <w:r w:rsidRPr="005858CD">
              <w:rPr>
                <w:rFonts w:ascii="Book Antiqua" w:hAnsi="Book Antiqua" w:cs="Arial"/>
                <w:b/>
                <w:sz w:val="16"/>
                <w:szCs w:val="16"/>
                <w:lang w:eastAsia="en-GB"/>
              </w:rPr>
              <w:t>En el ultimo mes, cuántas veces ha conversado con otra gente sobre formas de reducer el trabajo de cuidados en su hogar (e.g. amigo/as, vecino/as, grupos comunitarios</w:t>
            </w:r>
          </w:p>
        </w:tc>
        <w:tc>
          <w:tcPr>
            <w:tcW w:w="2558" w:type="dxa"/>
            <w:noWrap/>
            <w:vAlign w:val="center"/>
          </w:tcPr>
          <w:p w14:paraId="06AA6BAC"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52F16972"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12670A97"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160E03F9"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3 = Una vez al día</w:t>
            </w:r>
          </w:p>
        </w:tc>
        <w:tc>
          <w:tcPr>
            <w:tcW w:w="1411" w:type="dxa"/>
            <w:noWrap/>
            <w:vAlign w:val="center"/>
          </w:tcPr>
          <w:p w14:paraId="32BB1504" w14:textId="77777777" w:rsidR="005858CD" w:rsidRPr="005858CD" w:rsidRDefault="005858CD">
            <w:pPr>
              <w:jc w:val="center"/>
              <w:rPr>
                <w:b/>
                <w:bCs/>
                <w:color w:val="000000"/>
                <w:sz w:val="28"/>
                <w:szCs w:val="28"/>
              </w:rPr>
            </w:pPr>
            <w:r w:rsidRPr="005858CD">
              <w:rPr>
                <w:b/>
                <w:bCs/>
                <w:color w:val="000000"/>
                <w:sz w:val="28"/>
                <w:szCs w:val="28"/>
              </w:rPr>
              <w:t>|__|</w:t>
            </w:r>
          </w:p>
        </w:tc>
      </w:tr>
      <w:tr w:rsidR="005858CD" w:rsidRPr="005858CD" w14:paraId="0D2949D2" w14:textId="77777777" w:rsidTr="00873A6E">
        <w:trPr>
          <w:trHeight w:val="64"/>
        </w:trPr>
        <w:tc>
          <w:tcPr>
            <w:tcW w:w="567" w:type="dxa"/>
            <w:noWrap/>
          </w:tcPr>
          <w:p w14:paraId="0935782B" w14:textId="77777777" w:rsidR="005858CD" w:rsidRPr="005858CD" w:rsidRDefault="005858CD" w:rsidP="008C041F">
            <w:pPr>
              <w:rPr>
                <w:rFonts w:ascii="Book Antiqua" w:hAnsi="Book Antiqua" w:cs="Arial"/>
                <w:bCs/>
                <w:sz w:val="16"/>
                <w:szCs w:val="16"/>
              </w:rPr>
            </w:pPr>
            <w:r w:rsidRPr="005858CD">
              <w:rPr>
                <w:rFonts w:ascii="Book Antiqua" w:hAnsi="Book Antiqua" w:cs="Arial"/>
                <w:bCs/>
                <w:sz w:val="16"/>
                <w:szCs w:val="16"/>
              </w:rPr>
              <w:t>8.12</w:t>
            </w:r>
          </w:p>
        </w:tc>
        <w:tc>
          <w:tcPr>
            <w:tcW w:w="5302" w:type="dxa"/>
            <w:noWrap/>
            <w:vAlign w:val="center"/>
          </w:tcPr>
          <w:p w14:paraId="634FBA3F" w14:textId="77777777" w:rsidR="005858CD" w:rsidRPr="005858CD" w:rsidRDefault="005858CD" w:rsidP="008C041F">
            <w:pPr>
              <w:rPr>
                <w:rFonts w:ascii="Book Antiqua" w:hAnsi="Book Antiqua" w:cs="Arial"/>
                <w:b/>
                <w:sz w:val="16"/>
                <w:szCs w:val="16"/>
                <w:lang w:eastAsia="en-GB"/>
              </w:rPr>
            </w:pPr>
            <w:r w:rsidRPr="005858CD">
              <w:rPr>
                <w:rFonts w:ascii="Book Antiqua" w:hAnsi="Book Antiqua" w:cs="Arial"/>
                <w:b/>
                <w:color w:val="212121"/>
                <w:sz w:val="16"/>
                <w:szCs w:val="16"/>
              </w:rPr>
              <w:t>¿En el último mes, cuántas veces ha buscado reducer el trabajo de cuidados compartiendo tareas con personas fuera de su hogar?</w:t>
            </w:r>
          </w:p>
        </w:tc>
        <w:tc>
          <w:tcPr>
            <w:tcW w:w="2558" w:type="dxa"/>
            <w:noWrap/>
            <w:vAlign w:val="center"/>
          </w:tcPr>
          <w:p w14:paraId="04A8FEAC"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0 = Nunca</w:t>
            </w:r>
          </w:p>
          <w:p w14:paraId="623EC2A8" w14:textId="77777777" w:rsidR="005858CD" w:rsidRPr="005858CD" w:rsidRDefault="005858CD" w:rsidP="008C041F">
            <w:pPr>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 xml:space="preserve">1 = Al menos una vez </w:t>
            </w:r>
          </w:p>
          <w:p w14:paraId="1CBE8D63" w14:textId="77777777" w:rsidR="005858CD" w:rsidRPr="005858CD" w:rsidRDefault="005858CD" w:rsidP="008C041F">
            <w:pPr>
              <w:autoSpaceDE w:val="0"/>
              <w:autoSpaceDN w:val="0"/>
              <w:adjustRightInd w:val="0"/>
              <w:rPr>
                <w:rFonts w:ascii="Book Antiqua" w:hAnsi="Book Antiqua" w:cs="Arial"/>
                <w:bCs/>
                <w:iCs/>
                <w:color w:val="000000"/>
                <w:sz w:val="14"/>
                <w:szCs w:val="14"/>
                <w:lang w:val="es-NI"/>
              </w:rPr>
            </w:pPr>
            <w:r w:rsidRPr="005858CD">
              <w:rPr>
                <w:rFonts w:ascii="Book Antiqua" w:hAnsi="Book Antiqua" w:cs="Arial"/>
                <w:bCs/>
                <w:iCs/>
                <w:color w:val="000000"/>
                <w:sz w:val="14"/>
                <w:szCs w:val="14"/>
                <w:lang w:val="es-NI"/>
              </w:rPr>
              <w:t>2 = Al menos una vez a la semana</w:t>
            </w:r>
          </w:p>
          <w:p w14:paraId="5542C716" w14:textId="77777777" w:rsidR="005858CD" w:rsidRPr="005858CD" w:rsidRDefault="005858CD" w:rsidP="008C041F">
            <w:pPr>
              <w:autoSpaceDE w:val="0"/>
              <w:autoSpaceDN w:val="0"/>
              <w:adjustRightInd w:val="0"/>
              <w:rPr>
                <w:rFonts w:ascii="Book Antiqua" w:hAnsi="Book Antiqua" w:cs="Arial"/>
                <w:bCs/>
                <w:iCs/>
                <w:color w:val="000000"/>
                <w:sz w:val="14"/>
                <w:szCs w:val="14"/>
              </w:rPr>
            </w:pPr>
            <w:r w:rsidRPr="005858CD">
              <w:rPr>
                <w:rFonts w:ascii="Book Antiqua" w:hAnsi="Book Antiqua" w:cs="Arial"/>
                <w:bCs/>
                <w:iCs/>
                <w:color w:val="000000"/>
                <w:sz w:val="14"/>
                <w:szCs w:val="14"/>
              </w:rPr>
              <w:t>3 = Una vez al día</w:t>
            </w:r>
          </w:p>
        </w:tc>
        <w:tc>
          <w:tcPr>
            <w:tcW w:w="1411" w:type="dxa"/>
            <w:noWrap/>
            <w:vAlign w:val="center"/>
          </w:tcPr>
          <w:p w14:paraId="7DDC72B3" w14:textId="77777777" w:rsidR="005858CD" w:rsidRPr="005858CD" w:rsidRDefault="005858CD">
            <w:pPr>
              <w:jc w:val="center"/>
              <w:rPr>
                <w:b/>
                <w:bCs/>
                <w:color w:val="000000"/>
                <w:sz w:val="28"/>
                <w:szCs w:val="28"/>
              </w:rPr>
            </w:pPr>
            <w:r w:rsidRPr="005858CD">
              <w:rPr>
                <w:b/>
                <w:bCs/>
                <w:color w:val="000000"/>
                <w:sz w:val="28"/>
                <w:szCs w:val="28"/>
              </w:rPr>
              <w:t>|__|</w:t>
            </w:r>
          </w:p>
        </w:tc>
      </w:tr>
    </w:tbl>
    <w:p w14:paraId="0401BC75" w14:textId="77777777" w:rsidR="005858CD" w:rsidRPr="005858CD" w:rsidRDefault="005858CD" w:rsidP="008C041F">
      <w:pPr>
        <w:ind w:right="-11"/>
        <w:rPr>
          <w:rFonts w:ascii="Book Antiqua" w:eastAsia="Arial Unicode MS" w:hAnsi="Book Antiqua" w:cs="Arial"/>
          <w:iCs/>
          <w:color w:val="000000"/>
          <w:sz w:val="16"/>
          <w:szCs w:val="16"/>
        </w:rPr>
      </w:pPr>
    </w:p>
    <w:p w14:paraId="51A78CB3" w14:textId="77777777" w:rsidR="005858CD" w:rsidRPr="005858CD" w:rsidRDefault="005858CD" w:rsidP="008C041F">
      <w:pPr>
        <w:rPr>
          <w:rFonts w:ascii="Book Antiqua" w:eastAsia="Arial Unicode MS" w:hAnsi="Book Antiqua" w:cs="Arial"/>
          <w:iCs/>
          <w:color w:val="000000"/>
          <w:sz w:val="16"/>
          <w:szCs w:val="16"/>
        </w:rPr>
      </w:pPr>
      <w:r w:rsidRPr="005858CD">
        <w:rPr>
          <w:rFonts w:ascii="Book Antiqua" w:hAnsi="Book Antiqua"/>
          <w:iCs/>
          <w:color w:val="000000"/>
          <w:sz w:val="16"/>
          <w:szCs w:val="16"/>
        </w:rPr>
        <w:br w:type="page"/>
      </w:r>
    </w:p>
    <w:p w14:paraId="23CD91B6" w14:textId="77777777" w:rsidR="005858CD" w:rsidRPr="005858CD" w:rsidRDefault="005858CD" w:rsidP="008C041F">
      <w:pPr>
        <w:ind w:right="-11"/>
        <w:rPr>
          <w:rFonts w:ascii="Book Antiqua" w:eastAsia="Arial Unicode MS" w:hAnsi="Book Antiqua" w:cs="Arial"/>
          <w:b/>
          <w:iCs/>
          <w:color w:val="000000"/>
          <w:sz w:val="20"/>
          <w:szCs w:val="20"/>
        </w:rPr>
      </w:pPr>
      <w:r w:rsidRPr="005858CD">
        <w:rPr>
          <w:rFonts w:ascii="Book Antiqua" w:eastAsia="Arial Unicode MS" w:hAnsi="Book Antiqua" w:cs="Arial"/>
          <w:b/>
          <w:iCs/>
          <w:color w:val="000000"/>
          <w:sz w:val="20"/>
          <w:szCs w:val="20"/>
        </w:rPr>
        <w:lastRenderedPageBreak/>
        <w:t>9. Capacitaciones y formaciones</w:t>
      </w:r>
    </w:p>
    <w:p w14:paraId="205BAF10" w14:textId="77777777" w:rsidR="005858CD" w:rsidRPr="005858CD" w:rsidRDefault="005858CD" w:rsidP="008C041F">
      <w:pPr>
        <w:ind w:right="-11"/>
        <w:rPr>
          <w:rFonts w:ascii="Book Antiqua" w:eastAsia="Arial Unicode MS" w:hAnsi="Book Antiqua" w:cs="Arial"/>
          <w:iCs/>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2790"/>
        <w:gridCol w:w="3240"/>
      </w:tblGrid>
      <w:tr w:rsidR="005858CD" w:rsidRPr="005858CD" w14:paraId="458D2C15" w14:textId="77777777" w:rsidTr="00873A6E">
        <w:tc>
          <w:tcPr>
            <w:tcW w:w="540" w:type="dxa"/>
            <w:tcBorders>
              <w:top w:val="single" w:sz="12" w:space="0" w:color="auto"/>
              <w:left w:val="single" w:sz="12" w:space="0" w:color="auto"/>
            </w:tcBorders>
          </w:tcPr>
          <w:p w14:paraId="7857B846" w14:textId="77777777" w:rsidR="005858CD" w:rsidRPr="005858CD" w:rsidRDefault="005858CD" w:rsidP="008C041F">
            <w:pPr>
              <w:ind w:right="-11"/>
              <w:rPr>
                <w:rFonts w:ascii="Book Antiqua" w:eastAsia="Arial Unicode MS" w:hAnsi="Book Antiqua" w:cs="Arial"/>
                <w:iCs/>
                <w:color w:val="000000"/>
                <w:sz w:val="16"/>
                <w:szCs w:val="16"/>
              </w:rPr>
            </w:pPr>
            <w:r w:rsidRPr="005858CD">
              <w:rPr>
                <w:rFonts w:ascii="Book Antiqua" w:eastAsia="Arial Unicode MS" w:hAnsi="Book Antiqua" w:cs="Arial"/>
                <w:iCs/>
                <w:color w:val="000000"/>
                <w:sz w:val="16"/>
                <w:szCs w:val="16"/>
              </w:rPr>
              <w:t>No.</w:t>
            </w:r>
          </w:p>
        </w:tc>
        <w:tc>
          <w:tcPr>
            <w:tcW w:w="3330" w:type="dxa"/>
            <w:tcBorders>
              <w:top w:val="single" w:sz="12" w:space="0" w:color="auto"/>
            </w:tcBorders>
          </w:tcPr>
          <w:p w14:paraId="58454FDD" w14:textId="77777777" w:rsidR="005858CD" w:rsidRPr="005858CD" w:rsidRDefault="005858CD" w:rsidP="008C041F">
            <w:pPr>
              <w:ind w:right="-11"/>
              <w:rPr>
                <w:rFonts w:ascii="Book Antiqua" w:eastAsia="Arial Unicode MS" w:hAnsi="Book Antiqua" w:cs="Arial"/>
                <w:iCs/>
                <w:color w:val="000000"/>
                <w:sz w:val="16"/>
                <w:szCs w:val="16"/>
              </w:rPr>
            </w:pPr>
            <w:r w:rsidRPr="005858CD">
              <w:rPr>
                <w:rFonts w:ascii="Book Antiqua" w:eastAsia="Arial Unicode MS" w:hAnsi="Book Antiqua" w:cs="Arial"/>
                <w:iCs/>
                <w:color w:val="000000"/>
                <w:sz w:val="16"/>
                <w:szCs w:val="16"/>
              </w:rPr>
              <w:t>Área</w:t>
            </w:r>
          </w:p>
        </w:tc>
        <w:tc>
          <w:tcPr>
            <w:tcW w:w="2790" w:type="dxa"/>
            <w:tcBorders>
              <w:top w:val="single" w:sz="12" w:space="0" w:color="auto"/>
            </w:tcBorders>
          </w:tcPr>
          <w:p w14:paraId="7615A3A1" w14:textId="77777777" w:rsidR="005858CD" w:rsidRPr="005858CD" w:rsidRDefault="005858CD" w:rsidP="008C041F">
            <w:pPr>
              <w:ind w:right="-11"/>
              <w:rPr>
                <w:rFonts w:ascii="Book Antiqua" w:eastAsia="Arial Unicode MS" w:hAnsi="Book Antiqua" w:cs="Arial"/>
                <w:iCs/>
                <w:color w:val="000000"/>
                <w:sz w:val="18"/>
                <w:szCs w:val="18"/>
              </w:rPr>
            </w:pPr>
            <w:r w:rsidRPr="005858CD">
              <w:rPr>
                <w:rFonts w:ascii="Book Antiqua" w:eastAsia="Arial Unicode MS" w:hAnsi="Book Antiqua" w:cs="Arial"/>
                <w:iCs/>
                <w:color w:val="000000"/>
                <w:sz w:val="16"/>
                <w:szCs w:val="16"/>
              </w:rPr>
              <w:t>9.1</w:t>
            </w:r>
          </w:p>
        </w:tc>
        <w:tc>
          <w:tcPr>
            <w:tcW w:w="3240" w:type="dxa"/>
            <w:tcBorders>
              <w:top w:val="single" w:sz="12" w:space="0" w:color="auto"/>
              <w:right w:val="single" w:sz="12" w:space="0" w:color="auto"/>
            </w:tcBorders>
          </w:tcPr>
          <w:p w14:paraId="3733493B" w14:textId="77777777" w:rsidR="005858CD" w:rsidRPr="005858CD" w:rsidRDefault="005858CD">
            <w:pPr>
              <w:ind w:right="-11"/>
              <w:rPr>
                <w:rFonts w:ascii="Book Antiqua" w:eastAsia="Arial Unicode MS" w:hAnsi="Book Antiqua" w:cs="Arial"/>
                <w:iCs/>
                <w:color w:val="000000"/>
                <w:sz w:val="18"/>
                <w:szCs w:val="18"/>
              </w:rPr>
            </w:pPr>
            <w:r w:rsidRPr="005858CD">
              <w:rPr>
                <w:rFonts w:ascii="Book Antiqua" w:eastAsia="Arial Unicode MS" w:hAnsi="Book Antiqua" w:cs="Arial"/>
                <w:iCs/>
                <w:color w:val="000000"/>
                <w:sz w:val="16"/>
                <w:szCs w:val="16"/>
              </w:rPr>
              <w:t>9.2</w:t>
            </w:r>
            <w:r w:rsidRPr="005858CD">
              <w:rPr>
                <w:rFonts w:ascii="Book Antiqua" w:eastAsia="Arial Unicode MS" w:hAnsi="Book Antiqua" w:cs="Arial"/>
                <w:color w:val="000000"/>
                <w:sz w:val="16"/>
                <w:szCs w:val="16"/>
              </w:rPr>
              <w:t xml:space="preserve">                                        </w:t>
            </w:r>
          </w:p>
        </w:tc>
      </w:tr>
      <w:tr w:rsidR="005858CD" w:rsidRPr="005858CD" w14:paraId="0498FC57" w14:textId="77777777" w:rsidTr="00873A6E">
        <w:trPr>
          <w:trHeight w:val="1436"/>
        </w:trPr>
        <w:tc>
          <w:tcPr>
            <w:tcW w:w="540" w:type="dxa"/>
            <w:tcBorders>
              <w:left w:val="single" w:sz="12" w:space="0" w:color="auto"/>
            </w:tcBorders>
          </w:tcPr>
          <w:p w14:paraId="53E0FEB0" w14:textId="77777777" w:rsidR="005858CD" w:rsidRPr="005858CD" w:rsidRDefault="005858CD" w:rsidP="008C041F">
            <w:pPr>
              <w:ind w:right="-11"/>
              <w:rPr>
                <w:rFonts w:ascii="Arial" w:eastAsia="Arial Unicode MS" w:hAnsi="Arial" w:cs="Arial"/>
                <w:iCs/>
                <w:color w:val="000000"/>
                <w:sz w:val="20"/>
                <w:szCs w:val="20"/>
              </w:rPr>
            </w:pPr>
          </w:p>
        </w:tc>
        <w:tc>
          <w:tcPr>
            <w:tcW w:w="3330" w:type="dxa"/>
          </w:tcPr>
          <w:p w14:paraId="799796B4" w14:textId="77777777" w:rsidR="005858CD" w:rsidRPr="005858CD" w:rsidRDefault="005858CD" w:rsidP="008C041F">
            <w:pPr>
              <w:ind w:right="-11"/>
              <w:rPr>
                <w:rFonts w:ascii="Arial" w:eastAsia="Arial Unicode MS" w:hAnsi="Arial" w:cs="Arial"/>
                <w:iCs/>
                <w:color w:val="000000"/>
                <w:sz w:val="20"/>
                <w:szCs w:val="20"/>
              </w:rPr>
            </w:pPr>
          </w:p>
        </w:tc>
        <w:tc>
          <w:tcPr>
            <w:tcW w:w="2790" w:type="dxa"/>
          </w:tcPr>
          <w:p w14:paraId="477D5F64" w14:textId="77777777" w:rsidR="005858CD" w:rsidRPr="005858CD" w:rsidRDefault="005858CD" w:rsidP="008C041F">
            <w:pPr>
              <w:ind w:right="-11"/>
              <w:rPr>
                <w:rFonts w:ascii="Book Antiqua" w:eastAsia="Arial Unicode MS" w:hAnsi="Book Antiqua" w:cs="Arial"/>
                <w:b/>
                <w:iCs/>
                <w:color w:val="000000"/>
                <w:sz w:val="16"/>
                <w:szCs w:val="16"/>
                <w:lang w:val="es-NI"/>
              </w:rPr>
            </w:pPr>
            <w:r w:rsidRPr="005858CD">
              <w:rPr>
                <w:rFonts w:ascii="Book Antiqua" w:eastAsia="Arial Unicode MS" w:hAnsi="Book Antiqua" w:cs="Arial"/>
                <w:b/>
                <w:color w:val="212121"/>
                <w:sz w:val="16"/>
                <w:szCs w:val="16"/>
                <w:lang w:val="es-NI"/>
              </w:rPr>
              <w:t>¿</w:t>
            </w:r>
            <w:r w:rsidRPr="005858CD">
              <w:rPr>
                <w:rFonts w:ascii="Book Antiqua" w:eastAsia="Arial Unicode MS" w:hAnsi="Book Antiqua" w:cs="Arial"/>
                <w:b/>
                <w:iCs/>
                <w:color w:val="000000"/>
                <w:sz w:val="16"/>
                <w:szCs w:val="16"/>
                <w:lang w:val="es-NI"/>
              </w:rPr>
              <w:t>Ha recibido capacitación o servicios en esta?</w:t>
            </w:r>
          </w:p>
          <w:p w14:paraId="2FC15DAA" w14:textId="77777777" w:rsidR="005858CD" w:rsidRPr="005858CD" w:rsidRDefault="005858CD" w:rsidP="008C041F">
            <w:pPr>
              <w:rPr>
                <w:rFonts w:ascii="Book Antiqua" w:hAnsi="Book Antiqua" w:cs="Arial"/>
                <w:sz w:val="14"/>
                <w:szCs w:val="14"/>
              </w:rPr>
            </w:pPr>
            <w:r w:rsidRPr="005858CD">
              <w:rPr>
                <w:rFonts w:ascii="Book Antiqua" w:hAnsi="Book Antiqua" w:cs="Arial"/>
                <w:sz w:val="14"/>
                <w:szCs w:val="14"/>
              </w:rPr>
              <w:t xml:space="preserve">0 = No </w:t>
            </w:r>
          </w:p>
          <w:p w14:paraId="28331089" w14:textId="77777777" w:rsidR="005858CD" w:rsidRPr="005858CD" w:rsidRDefault="005858CD" w:rsidP="008C041F">
            <w:pPr>
              <w:rPr>
                <w:rFonts w:ascii="Arial" w:hAnsi="Arial" w:cs="Arial"/>
                <w:sz w:val="14"/>
                <w:szCs w:val="14"/>
              </w:rPr>
            </w:pPr>
            <w:r w:rsidRPr="005858CD">
              <w:rPr>
                <w:rFonts w:ascii="Book Antiqua" w:hAnsi="Book Antiqua" w:cs="Arial"/>
                <w:sz w:val="14"/>
                <w:szCs w:val="14"/>
              </w:rPr>
              <w:t>1 = Si</w:t>
            </w:r>
          </w:p>
        </w:tc>
        <w:tc>
          <w:tcPr>
            <w:tcW w:w="3240" w:type="dxa"/>
            <w:tcBorders>
              <w:right w:val="single" w:sz="12" w:space="0" w:color="auto"/>
            </w:tcBorders>
          </w:tcPr>
          <w:p w14:paraId="4A0E2013" w14:textId="77777777" w:rsidR="005858CD" w:rsidRPr="005858CD" w:rsidRDefault="005858CD" w:rsidP="008C041F">
            <w:pPr>
              <w:ind w:right="-11"/>
              <w:rPr>
                <w:rFonts w:ascii="Arial" w:eastAsia="Arial Unicode MS" w:hAnsi="Arial" w:cs="Arial"/>
                <w:b/>
                <w:iCs/>
                <w:color w:val="000000"/>
                <w:sz w:val="18"/>
                <w:szCs w:val="18"/>
              </w:rPr>
            </w:pPr>
            <w:r w:rsidRPr="005858CD">
              <w:rPr>
                <w:rFonts w:ascii="Book Antiqua" w:eastAsia="Arial Unicode MS" w:hAnsi="Book Antiqua" w:cs="Arial"/>
                <w:b/>
                <w:color w:val="212121"/>
                <w:sz w:val="16"/>
                <w:szCs w:val="16"/>
                <w:lang w:val="es-NI"/>
              </w:rPr>
              <w:t>¿Quién brindó el servicio o capacitación?</w:t>
            </w:r>
          </w:p>
          <w:p w14:paraId="1AF15D9C"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0 = Gobierno</w:t>
            </w:r>
          </w:p>
          <w:p w14:paraId="38A0E1F2"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 xml:space="preserve">1 = Comunidad </w:t>
            </w:r>
          </w:p>
          <w:p w14:paraId="0F08C434"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2 = Cooperativa</w:t>
            </w:r>
          </w:p>
          <w:p w14:paraId="5E5BB6B6" w14:textId="77777777" w:rsidR="005858CD" w:rsidRPr="005858CD" w:rsidRDefault="005858CD">
            <w:pPr>
              <w:rPr>
                <w:rFonts w:ascii="Book Antiqua" w:hAnsi="Book Antiqua" w:cs="Arial"/>
                <w:sz w:val="14"/>
                <w:szCs w:val="14"/>
              </w:rPr>
            </w:pPr>
            <w:r w:rsidRPr="005858CD">
              <w:rPr>
                <w:rFonts w:ascii="Book Antiqua" w:hAnsi="Book Antiqua" w:cs="Arial"/>
                <w:sz w:val="14"/>
                <w:szCs w:val="14"/>
              </w:rPr>
              <w:t>3 = ONG</w:t>
            </w:r>
          </w:p>
          <w:p w14:paraId="7F7D4A51" w14:textId="77777777" w:rsidR="005858CD" w:rsidRPr="005858CD" w:rsidRDefault="005858CD">
            <w:pPr>
              <w:rPr>
                <w:rFonts w:ascii="Arial" w:hAnsi="Arial" w:cs="Arial"/>
                <w:sz w:val="14"/>
                <w:szCs w:val="14"/>
              </w:rPr>
            </w:pPr>
            <w:r w:rsidRPr="005858CD">
              <w:rPr>
                <w:rFonts w:ascii="Book Antiqua" w:hAnsi="Book Antiqua" w:cs="Arial"/>
                <w:sz w:val="14"/>
                <w:szCs w:val="14"/>
              </w:rPr>
              <w:t>4 = Other</w:t>
            </w:r>
          </w:p>
        </w:tc>
      </w:tr>
      <w:tr w:rsidR="005858CD" w:rsidRPr="005858CD" w14:paraId="053BA9F6" w14:textId="77777777" w:rsidTr="00873A6E">
        <w:tc>
          <w:tcPr>
            <w:tcW w:w="540" w:type="dxa"/>
            <w:tcBorders>
              <w:left w:val="single" w:sz="12" w:space="0" w:color="auto"/>
            </w:tcBorders>
            <w:vAlign w:val="center"/>
          </w:tcPr>
          <w:p w14:paraId="7C155345"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A</w:t>
            </w:r>
          </w:p>
        </w:tc>
        <w:tc>
          <w:tcPr>
            <w:tcW w:w="3330" w:type="dxa"/>
            <w:vAlign w:val="center"/>
          </w:tcPr>
          <w:p w14:paraId="59286AB6" w14:textId="77777777" w:rsidR="005858CD" w:rsidRPr="005858CD" w:rsidRDefault="005858CD" w:rsidP="008C041F">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 xml:space="preserve">Acceso y aprovisionamiento de agua </w:t>
            </w:r>
          </w:p>
        </w:tc>
        <w:tc>
          <w:tcPr>
            <w:tcW w:w="2790" w:type="dxa"/>
          </w:tcPr>
          <w:p w14:paraId="7E92B0A3" w14:textId="77777777" w:rsidR="005858CD" w:rsidRPr="005858CD" w:rsidRDefault="005858CD" w:rsidP="008C041F">
            <w:pPr>
              <w:jc w:val="center"/>
              <w:rPr>
                <w:b/>
                <w:sz w:val="22"/>
                <w:szCs w:val="22"/>
              </w:rPr>
            </w:pPr>
            <w:r w:rsidRPr="005858CD">
              <w:rPr>
                <w:b/>
                <w:bCs/>
                <w:color w:val="000000"/>
                <w:sz w:val="28"/>
                <w:szCs w:val="28"/>
              </w:rPr>
              <w:t>|__|</w:t>
            </w:r>
          </w:p>
        </w:tc>
        <w:tc>
          <w:tcPr>
            <w:tcW w:w="3240" w:type="dxa"/>
            <w:tcBorders>
              <w:right w:val="single" w:sz="12" w:space="0" w:color="auto"/>
            </w:tcBorders>
          </w:tcPr>
          <w:p w14:paraId="5C8F6C54" w14:textId="77777777" w:rsidR="005858CD" w:rsidRPr="005858CD" w:rsidRDefault="005858CD" w:rsidP="008C041F">
            <w:pPr>
              <w:ind w:right="-11"/>
              <w:rPr>
                <w:rFonts w:eastAsia="Arial Unicode MS"/>
                <w:b/>
                <w:iCs/>
                <w:color w:val="000000"/>
                <w:sz w:val="20"/>
                <w:szCs w:val="20"/>
              </w:rPr>
            </w:pPr>
            <w:r w:rsidRPr="005858CD">
              <w:rPr>
                <w:rFonts w:eastAsia="Arial Unicode MS"/>
                <w:b/>
                <w:bCs/>
                <w:color w:val="000000"/>
                <w:sz w:val="28"/>
                <w:szCs w:val="28"/>
              </w:rPr>
              <w:t>|__| _____________</w:t>
            </w:r>
          </w:p>
        </w:tc>
      </w:tr>
      <w:tr w:rsidR="005858CD" w:rsidRPr="005858CD" w14:paraId="3C3EFC52" w14:textId="77777777" w:rsidTr="00873A6E">
        <w:tc>
          <w:tcPr>
            <w:tcW w:w="540" w:type="dxa"/>
            <w:tcBorders>
              <w:left w:val="single" w:sz="12" w:space="0" w:color="auto"/>
            </w:tcBorders>
            <w:vAlign w:val="center"/>
          </w:tcPr>
          <w:p w14:paraId="5CF3F4DE" w14:textId="77777777" w:rsidR="005858CD" w:rsidRPr="005858CD" w:rsidRDefault="005858CD" w:rsidP="008C041F">
            <w:pPr>
              <w:rPr>
                <w:rFonts w:ascii="Book Antiqua" w:hAnsi="Book Antiqua" w:cs="Arial"/>
                <w:sz w:val="16"/>
                <w:szCs w:val="16"/>
                <w:lang w:eastAsia="en-GB"/>
              </w:rPr>
            </w:pPr>
            <w:r w:rsidRPr="005858CD">
              <w:rPr>
                <w:rFonts w:ascii="Book Antiqua" w:hAnsi="Book Antiqua" w:cs="Arial"/>
                <w:sz w:val="16"/>
                <w:szCs w:val="16"/>
                <w:lang w:eastAsia="en-GB"/>
              </w:rPr>
              <w:t>B</w:t>
            </w:r>
          </w:p>
        </w:tc>
        <w:tc>
          <w:tcPr>
            <w:tcW w:w="3330" w:type="dxa"/>
            <w:vAlign w:val="center"/>
          </w:tcPr>
          <w:p w14:paraId="1605D2D3" w14:textId="77777777" w:rsidR="005858CD" w:rsidRPr="005858CD" w:rsidRDefault="005858CD" w:rsidP="008C041F">
            <w:pPr>
              <w:rPr>
                <w:rFonts w:ascii="Book Antiqua" w:hAnsi="Book Antiqua" w:cs="Arial"/>
                <w:sz w:val="16"/>
                <w:szCs w:val="16"/>
                <w:lang w:eastAsia="en-GB"/>
              </w:rPr>
            </w:pPr>
            <w:r w:rsidRPr="005858CD">
              <w:rPr>
                <w:rFonts w:ascii="Book Antiqua" w:hAnsi="Book Antiqua" w:cs="Arial"/>
                <w:sz w:val="16"/>
                <w:szCs w:val="16"/>
                <w:lang w:eastAsia="en-GB"/>
              </w:rPr>
              <w:t>Ahorro de combustible</w:t>
            </w:r>
          </w:p>
        </w:tc>
        <w:tc>
          <w:tcPr>
            <w:tcW w:w="2790" w:type="dxa"/>
          </w:tcPr>
          <w:p w14:paraId="7875AAE3" w14:textId="77777777" w:rsidR="005858CD" w:rsidRPr="005858CD" w:rsidRDefault="005858CD" w:rsidP="008C041F">
            <w:pPr>
              <w:jc w:val="center"/>
              <w:rPr>
                <w:b/>
                <w:sz w:val="22"/>
                <w:szCs w:val="22"/>
              </w:rPr>
            </w:pPr>
            <w:r w:rsidRPr="005858CD">
              <w:rPr>
                <w:b/>
                <w:bCs/>
                <w:color w:val="000000"/>
                <w:sz w:val="28"/>
                <w:szCs w:val="28"/>
              </w:rPr>
              <w:t>|__|</w:t>
            </w:r>
          </w:p>
        </w:tc>
        <w:tc>
          <w:tcPr>
            <w:tcW w:w="3240" w:type="dxa"/>
            <w:tcBorders>
              <w:right w:val="single" w:sz="12" w:space="0" w:color="auto"/>
            </w:tcBorders>
          </w:tcPr>
          <w:p w14:paraId="5529B62F" w14:textId="77777777" w:rsidR="005858CD" w:rsidRPr="005858CD" w:rsidRDefault="005858CD" w:rsidP="008C041F">
            <w:r w:rsidRPr="005858CD">
              <w:rPr>
                <w:b/>
                <w:bCs/>
                <w:color w:val="000000"/>
                <w:sz w:val="28"/>
                <w:szCs w:val="28"/>
              </w:rPr>
              <w:t>|__| _____________</w:t>
            </w:r>
          </w:p>
        </w:tc>
      </w:tr>
      <w:tr w:rsidR="005858CD" w:rsidRPr="005858CD" w14:paraId="6BBA7FF1" w14:textId="77777777" w:rsidTr="00873A6E">
        <w:tc>
          <w:tcPr>
            <w:tcW w:w="540" w:type="dxa"/>
            <w:tcBorders>
              <w:left w:val="single" w:sz="12" w:space="0" w:color="auto"/>
            </w:tcBorders>
            <w:vAlign w:val="center"/>
          </w:tcPr>
          <w:p w14:paraId="5762A80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C</w:t>
            </w:r>
          </w:p>
        </w:tc>
        <w:tc>
          <w:tcPr>
            <w:tcW w:w="3330" w:type="dxa"/>
            <w:vAlign w:val="center"/>
          </w:tcPr>
          <w:p w14:paraId="7ED63238" w14:textId="77777777" w:rsidR="005858CD" w:rsidRPr="005858CD" w:rsidRDefault="005858CD" w:rsidP="008C041F">
            <w:pPr>
              <w:rPr>
                <w:rFonts w:ascii="Book Antiqua" w:hAnsi="Book Antiqua" w:cs="Arial"/>
                <w:bCs/>
                <w:color w:val="000000"/>
                <w:sz w:val="16"/>
                <w:szCs w:val="16"/>
                <w:lang w:val="es-NI"/>
              </w:rPr>
            </w:pPr>
            <w:r w:rsidRPr="005858CD">
              <w:rPr>
                <w:rFonts w:ascii="Book Antiqua" w:hAnsi="Book Antiqua" w:cs="Arial"/>
                <w:bCs/>
                <w:color w:val="000000"/>
                <w:sz w:val="16"/>
                <w:szCs w:val="16"/>
                <w:lang w:val="es-NI"/>
              </w:rPr>
              <w:t>Actividades de generación de ingresos</w:t>
            </w:r>
          </w:p>
        </w:tc>
        <w:tc>
          <w:tcPr>
            <w:tcW w:w="2790" w:type="dxa"/>
          </w:tcPr>
          <w:p w14:paraId="7A518853" w14:textId="77777777" w:rsidR="005858CD" w:rsidRPr="005858CD" w:rsidRDefault="005858CD" w:rsidP="008C041F">
            <w:pPr>
              <w:jc w:val="center"/>
              <w:rPr>
                <w:b/>
                <w:sz w:val="22"/>
                <w:szCs w:val="22"/>
              </w:rPr>
            </w:pPr>
            <w:r w:rsidRPr="005858CD">
              <w:rPr>
                <w:b/>
                <w:bCs/>
                <w:color w:val="000000"/>
                <w:sz w:val="28"/>
                <w:szCs w:val="28"/>
              </w:rPr>
              <w:t>|__|</w:t>
            </w:r>
          </w:p>
        </w:tc>
        <w:tc>
          <w:tcPr>
            <w:tcW w:w="3240" w:type="dxa"/>
            <w:tcBorders>
              <w:right w:val="single" w:sz="12" w:space="0" w:color="auto"/>
            </w:tcBorders>
          </w:tcPr>
          <w:p w14:paraId="24E7CD44" w14:textId="77777777" w:rsidR="005858CD" w:rsidRPr="005858CD" w:rsidRDefault="005858CD" w:rsidP="008C041F">
            <w:r w:rsidRPr="005858CD">
              <w:rPr>
                <w:b/>
                <w:bCs/>
                <w:color w:val="000000"/>
                <w:sz w:val="28"/>
                <w:szCs w:val="28"/>
              </w:rPr>
              <w:t>|__| _____________</w:t>
            </w:r>
          </w:p>
        </w:tc>
      </w:tr>
      <w:tr w:rsidR="005858CD" w:rsidRPr="005858CD" w14:paraId="26CE4FA1" w14:textId="77777777" w:rsidTr="00873A6E">
        <w:tc>
          <w:tcPr>
            <w:tcW w:w="540" w:type="dxa"/>
            <w:tcBorders>
              <w:left w:val="single" w:sz="12" w:space="0" w:color="auto"/>
            </w:tcBorders>
            <w:vAlign w:val="center"/>
          </w:tcPr>
          <w:p w14:paraId="6CCB436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D</w:t>
            </w:r>
          </w:p>
        </w:tc>
        <w:tc>
          <w:tcPr>
            <w:tcW w:w="3330" w:type="dxa"/>
            <w:vAlign w:val="center"/>
          </w:tcPr>
          <w:p w14:paraId="4CE49968"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Salud e higiene</w:t>
            </w:r>
          </w:p>
        </w:tc>
        <w:tc>
          <w:tcPr>
            <w:tcW w:w="2790" w:type="dxa"/>
          </w:tcPr>
          <w:p w14:paraId="78DE1B65" w14:textId="77777777" w:rsidR="005858CD" w:rsidRPr="005858CD" w:rsidRDefault="005858CD" w:rsidP="008C041F">
            <w:pPr>
              <w:jc w:val="center"/>
              <w:rPr>
                <w:b/>
                <w:sz w:val="22"/>
                <w:szCs w:val="22"/>
              </w:rPr>
            </w:pPr>
            <w:r w:rsidRPr="005858CD">
              <w:rPr>
                <w:b/>
                <w:bCs/>
                <w:color w:val="000000"/>
                <w:sz w:val="28"/>
                <w:szCs w:val="28"/>
              </w:rPr>
              <w:t>|__|</w:t>
            </w:r>
          </w:p>
        </w:tc>
        <w:tc>
          <w:tcPr>
            <w:tcW w:w="3240" w:type="dxa"/>
            <w:tcBorders>
              <w:right w:val="single" w:sz="12" w:space="0" w:color="auto"/>
            </w:tcBorders>
          </w:tcPr>
          <w:p w14:paraId="7BCDF21D" w14:textId="77777777" w:rsidR="005858CD" w:rsidRPr="005858CD" w:rsidRDefault="005858CD" w:rsidP="008C041F">
            <w:r w:rsidRPr="005858CD">
              <w:rPr>
                <w:b/>
                <w:bCs/>
                <w:color w:val="000000"/>
                <w:sz w:val="28"/>
                <w:szCs w:val="28"/>
              </w:rPr>
              <w:t>|__| _____________</w:t>
            </w:r>
          </w:p>
        </w:tc>
      </w:tr>
      <w:tr w:rsidR="005858CD" w:rsidRPr="005858CD" w14:paraId="481E5541" w14:textId="77777777" w:rsidTr="00873A6E">
        <w:tc>
          <w:tcPr>
            <w:tcW w:w="540" w:type="dxa"/>
            <w:tcBorders>
              <w:left w:val="single" w:sz="12" w:space="0" w:color="auto"/>
            </w:tcBorders>
            <w:vAlign w:val="center"/>
          </w:tcPr>
          <w:p w14:paraId="53D1882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E</w:t>
            </w:r>
          </w:p>
        </w:tc>
        <w:tc>
          <w:tcPr>
            <w:tcW w:w="3330" w:type="dxa"/>
            <w:vAlign w:val="center"/>
          </w:tcPr>
          <w:p w14:paraId="28618156"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Género</w:t>
            </w:r>
          </w:p>
        </w:tc>
        <w:tc>
          <w:tcPr>
            <w:tcW w:w="2790" w:type="dxa"/>
          </w:tcPr>
          <w:p w14:paraId="3FAB7E0F" w14:textId="77777777" w:rsidR="005858CD" w:rsidRPr="005858CD" w:rsidRDefault="005858CD" w:rsidP="008C041F">
            <w:pPr>
              <w:jc w:val="center"/>
              <w:rPr>
                <w:b/>
                <w:sz w:val="22"/>
                <w:szCs w:val="22"/>
              </w:rPr>
            </w:pPr>
            <w:r w:rsidRPr="005858CD">
              <w:rPr>
                <w:b/>
                <w:bCs/>
                <w:color w:val="000000"/>
                <w:sz w:val="28"/>
                <w:szCs w:val="28"/>
              </w:rPr>
              <w:t>|__|</w:t>
            </w:r>
          </w:p>
        </w:tc>
        <w:tc>
          <w:tcPr>
            <w:tcW w:w="3240" w:type="dxa"/>
            <w:tcBorders>
              <w:right w:val="single" w:sz="12" w:space="0" w:color="auto"/>
            </w:tcBorders>
          </w:tcPr>
          <w:p w14:paraId="310FD9AB" w14:textId="77777777" w:rsidR="005858CD" w:rsidRPr="005858CD" w:rsidRDefault="005858CD" w:rsidP="008C041F">
            <w:r w:rsidRPr="005858CD">
              <w:rPr>
                <w:b/>
                <w:bCs/>
                <w:color w:val="000000"/>
                <w:sz w:val="28"/>
                <w:szCs w:val="28"/>
              </w:rPr>
              <w:t>|__| _____________</w:t>
            </w:r>
          </w:p>
        </w:tc>
      </w:tr>
      <w:tr w:rsidR="005858CD" w:rsidRPr="005858CD" w14:paraId="4629AAE3" w14:textId="77777777" w:rsidTr="00873A6E">
        <w:tc>
          <w:tcPr>
            <w:tcW w:w="540" w:type="dxa"/>
            <w:tcBorders>
              <w:left w:val="single" w:sz="12" w:space="0" w:color="auto"/>
            </w:tcBorders>
            <w:vAlign w:val="center"/>
          </w:tcPr>
          <w:p w14:paraId="4EB97A2D"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F</w:t>
            </w:r>
          </w:p>
        </w:tc>
        <w:tc>
          <w:tcPr>
            <w:tcW w:w="3330" w:type="dxa"/>
          </w:tcPr>
          <w:p w14:paraId="3C90E8D7"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Agronomía /Huertos comunitarios</w:t>
            </w:r>
          </w:p>
        </w:tc>
        <w:tc>
          <w:tcPr>
            <w:tcW w:w="2790" w:type="dxa"/>
          </w:tcPr>
          <w:p w14:paraId="1E41477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495E6A87" w14:textId="77777777" w:rsidR="005858CD" w:rsidRPr="005858CD" w:rsidRDefault="005858CD" w:rsidP="008C041F">
            <w:pPr>
              <w:rPr>
                <w:b/>
                <w:bCs/>
                <w:color w:val="000000"/>
                <w:sz w:val="28"/>
                <w:szCs w:val="28"/>
              </w:rPr>
            </w:pPr>
            <w:r w:rsidRPr="005858CD">
              <w:rPr>
                <w:b/>
                <w:bCs/>
                <w:color w:val="000000"/>
                <w:sz w:val="28"/>
                <w:szCs w:val="28"/>
              </w:rPr>
              <w:t>|__| _____________</w:t>
            </w:r>
          </w:p>
        </w:tc>
      </w:tr>
      <w:tr w:rsidR="005858CD" w:rsidRPr="005858CD" w14:paraId="4EEE6440" w14:textId="77777777" w:rsidTr="00873A6E">
        <w:tc>
          <w:tcPr>
            <w:tcW w:w="540" w:type="dxa"/>
            <w:tcBorders>
              <w:left w:val="single" w:sz="12" w:space="0" w:color="auto"/>
            </w:tcBorders>
            <w:vAlign w:val="center"/>
          </w:tcPr>
          <w:p w14:paraId="478DAB3E"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G</w:t>
            </w:r>
          </w:p>
        </w:tc>
        <w:tc>
          <w:tcPr>
            <w:tcW w:w="3330" w:type="dxa"/>
          </w:tcPr>
          <w:p w14:paraId="20EF4F21"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 xml:space="preserve">Cooperativismo </w:t>
            </w:r>
          </w:p>
        </w:tc>
        <w:tc>
          <w:tcPr>
            <w:tcW w:w="2790" w:type="dxa"/>
          </w:tcPr>
          <w:p w14:paraId="17BB6428"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0AFE0ABB" w14:textId="77777777" w:rsidR="005858CD" w:rsidRPr="005858CD" w:rsidRDefault="005858CD" w:rsidP="008C041F">
            <w:pPr>
              <w:rPr>
                <w:b/>
                <w:bCs/>
                <w:color w:val="000000"/>
                <w:sz w:val="28"/>
                <w:szCs w:val="28"/>
              </w:rPr>
            </w:pPr>
            <w:r w:rsidRPr="005858CD">
              <w:rPr>
                <w:b/>
                <w:bCs/>
                <w:color w:val="000000"/>
                <w:sz w:val="28"/>
                <w:szCs w:val="28"/>
              </w:rPr>
              <w:t>|__| _____________</w:t>
            </w:r>
          </w:p>
        </w:tc>
      </w:tr>
      <w:tr w:rsidR="005858CD" w:rsidRPr="005858CD" w14:paraId="24A8882C" w14:textId="77777777" w:rsidTr="00873A6E">
        <w:trPr>
          <w:trHeight w:val="242"/>
        </w:trPr>
        <w:tc>
          <w:tcPr>
            <w:tcW w:w="540" w:type="dxa"/>
            <w:tcBorders>
              <w:left w:val="single" w:sz="12" w:space="0" w:color="auto"/>
            </w:tcBorders>
            <w:vAlign w:val="center"/>
          </w:tcPr>
          <w:p w14:paraId="2A88CD8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H</w:t>
            </w:r>
          </w:p>
        </w:tc>
        <w:tc>
          <w:tcPr>
            <w:tcW w:w="3330" w:type="dxa"/>
          </w:tcPr>
          <w:p w14:paraId="5D42A669"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Negocios/Emprendedurismo</w:t>
            </w:r>
          </w:p>
        </w:tc>
        <w:tc>
          <w:tcPr>
            <w:tcW w:w="2790" w:type="dxa"/>
          </w:tcPr>
          <w:p w14:paraId="60F70493"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7F7773F5" w14:textId="77777777" w:rsidR="005858CD" w:rsidRPr="005858CD" w:rsidRDefault="005858CD" w:rsidP="008C041F">
            <w:pPr>
              <w:rPr>
                <w:b/>
                <w:bCs/>
                <w:color w:val="000000"/>
                <w:sz w:val="28"/>
                <w:szCs w:val="28"/>
              </w:rPr>
            </w:pPr>
            <w:r w:rsidRPr="005858CD">
              <w:rPr>
                <w:b/>
                <w:bCs/>
                <w:color w:val="000000"/>
                <w:sz w:val="28"/>
                <w:szCs w:val="28"/>
              </w:rPr>
              <w:t>|__| _____________</w:t>
            </w:r>
          </w:p>
        </w:tc>
      </w:tr>
      <w:tr w:rsidR="005858CD" w:rsidRPr="005858CD" w14:paraId="40BB59E0" w14:textId="77777777" w:rsidTr="00873A6E">
        <w:trPr>
          <w:trHeight w:val="269"/>
        </w:trPr>
        <w:tc>
          <w:tcPr>
            <w:tcW w:w="540" w:type="dxa"/>
            <w:tcBorders>
              <w:left w:val="single" w:sz="12" w:space="0" w:color="auto"/>
            </w:tcBorders>
            <w:vAlign w:val="center"/>
          </w:tcPr>
          <w:p w14:paraId="707CD7B9"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I</w:t>
            </w:r>
          </w:p>
        </w:tc>
        <w:tc>
          <w:tcPr>
            <w:tcW w:w="3330" w:type="dxa"/>
          </w:tcPr>
          <w:p w14:paraId="006CC8F3" w14:textId="77777777" w:rsidR="005858CD" w:rsidRPr="005858CD" w:rsidRDefault="005858CD" w:rsidP="008C041F">
            <w:r w:rsidRPr="005858CD">
              <w:rPr>
                <w:rFonts w:ascii="Book Antiqua" w:hAnsi="Book Antiqua"/>
                <w:sz w:val="16"/>
                <w:szCs w:val="16"/>
              </w:rPr>
              <w:t>Mercadeo</w:t>
            </w:r>
          </w:p>
        </w:tc>
        <w:tc>
          <w:tcPr>
            <w:tcW w:w="2790" w:type="dxa"/>
          </w:tcPr>
          <w:p w14:paraId="6865C5C0"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23604ECA" w14:textId="77777777" w:rsidR="005858CD" w:rsidRPr="005858CD" w:rsidRDefault="005858CD" w:rsidP="008C041F">
            <w:pPr>
              <w:rPr>
                <w:b/>
                <w:bCs/>
                <w:color w:val="000000"/>
                <w:sz w:val="28"/>
                <w:szCs w:val="28"/>
              </w:rPr>
            </w:pPr>
            <w:r w:rsidRPr="005858CD">
              <w:rPr>
                <w:b/>
                <w:bCs/>
                <w:color w:val="000000"/>
                <w:sz w:val="28"/>
                <w:szCs w:val="28"/>
              </w:rPr>
              <w:t>|__| _____________</w:t>
            </w:r>
          </w:p>
        </w:tc>
      </w:tr>
      <w:tr w:rsidR="005858CD" w:rsidRPr="005858CD" w14:paraId="60EDF1EC" w14:textId="77777777" w:rsidTr="00873A6E">
        <w:tc>
          <w:tcPr>
            <w:tcW w:w="540" w:type="dxa"/>
            <w:tcBorders>
              <w:left w:val="single" w:sz="12" w:space="0" w:color="auto"/>
            </w:tcBorders>
            <w:vAlign w:val="center"/>
          </w:tcPr>
          <w:p w14:paraId="6E73AC95"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J</w:t>
            </w:r>
          </w:p>
        </w:tc>
        <w:tc>
          <w:tcPr>
            <w:tcW w:w="3330" w:type="dxa"/>
          </w:tcPr>
          <w:p w14:paraId="66B0B189"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Manejo post-cosecha</w:t>
            </w:r>
          </w:p>
        </w:tc>
        <w:tc>
          <w:tcPr>
            <w:tcW w:w="2790" w:type="dxa"/>
          </w:tcPr>
          <w:p w14:paraId="2397B3B5"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0DD5DF8E" w14:textId="77777777" w:rsidR="005858CD" w:rsidRPr="005858CD" w:rsidRDefault="005858CD" w:rsidP="008C041F">
            <w:pPr>
              <w:rPr>
                <w:b/>
                <w:bCs/>
                <w:color w:val="000000"/>
                <w:sz w:val="28"/>
                <w:szCs w:val="28"/>
              </w:rPr>
            </w:pPr>
            <w:r w:rsidRPr="005858CD">
              <w:rPr>
                <w:b/>
                <w:bCs/>
                <w:color w:val="000000"/>
                <w:sz w:val="28"/>
                <w:szCs w:val="28"/>
              </w:rPr>
              <w:t>|__| _____________</w:t>
            </w:r>
          </w:p>
        </w:tc>
      </w:tr>
      <w:tr w:rsidR="005858CD" w:rsidRPr="005858CD" w14:paraId="4E6D92F9" w14:textId="77777777" w:rsidTr="00873A6E">
        <w:tc>
          <w:tcPr>
            <w:tcW w:w="540" w:type="dxa"/>
            <w:tcBorders>
              <w:left w:val="single" w:sz="12" w:space="0" w:color="auto"/>
            </w:tcBorders>
            <w:vAlign w:val="center"/>
          </w:tcPr>
          <w:p w14:paraId="2366D270"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K</w:t>
            </w:r>
          </w:p>
        </w:tc>
        <w:tc>
          <w:tcPr>
            <w:tcW w:w="3330" w:type="dxa"/>
          </w:tcPr>
          <w:p w14:paraId="3AA3D526" w14:textId="77777777" w:rsidR="005858CD" w:rsidRPr="005858CD" w:rsidRDefault="005858CD" w:rsidP="008C041F">
            <w:pPr>
              <w:rPr>
                <w:rFonts w:ascii="Book Antiqua" w:hAnsi="Book Antiqua"/>
                <w:sz w:val="16"/>
                <w:szCs w:val="16"/>
              </w:rPr>
            </w:pPr>
            <w:r w:rsidRPr="005858CD">
              <w:rPr>
                <w:rFonts w:ascii="Book Antiqua" w:hAnsi="Book Antiqua"/>
                <w:sz w:val="16"/>
                <w:szCs w:val="16"/>
              </w:rPr>
              <w:t>Planificación estratégica</w:t>
            </w:r>
          </w:p>
        </w:tc>
        <w:tc>
          <w:tcPr>
            <w:tcW w:w="2790" w:type="dxa"/>
          </w:tcPr>
          <w:p w14:paraId="3A34F111" w14:textId="77777777" w:rsidR="005858CD" w:rsidRPr="005858CD" w:rsidRDefault="005858CD" w:rsidP="008C041F">
            <w:pPr>
              <w:jc w:val="center"/>
              <w:rPr>
                <w:b/>
                <w:bCs/>
                <w:color w:val="000000"/>
                <w:sz w:val="28"/>
                <w:szCs w:val="28"/>
              </w:rPr>
            </w:pPr>
            <w:r w:rsidRPr="005858CD">
              <w:rPr>
                <w:b/>
                <w:bCs/>
                <w:color w:val="000000"/>
                <w:sz w:val="28"/>
                <w:szCs w:val="28"/>
              </w:rPr>
              <w:t>|__|</w:t>
            </w:r>
          </w:p>
        </w:tc>
        <w:tc>
          <w:tcPr>
            <w:tcW w:w="3240" w:type="dxa"/>
            <w:tcBorders>
              <w:right w:val="single" w:sz="12" w:space="0" w:color="auto"/>
            </w:tcBorders>
          </w:tcPr>
          <w:p w14:paraId="1C10DFFC" w14:textId="77777777" w:rsidR="005858CD" w:rsidRPr="005858CD" w:rsidRDefault="005858CD" w:rsidP="008C041F">
            <w:pPr>
              <w:rPr>
                <w:b/>
                <w:bCs/>
                <w:color w:val="000000"/>
                <w:sz w:val="28"/>
                <w:szCs w:val="28"/>
              </w:rPr>
            </w:pPr>
            <w:r w:rsidRPr="005858CD">
              <w:rPr>
                <w:b/>
                <w:bCs/>
                <w:color w:val="000000"/>
                <w:sz w:val="28"/>
                <w:szCs w:val="28"/>
              </w:rPr>
              <w:t>|__| _____________</w:t>
            </w:r>
          </w:p>
        </w:tc>
      </w:tr>
    </w:tbl>
    <w:p w14:paraId="5CAC3EC9" w14:textId="77777777" w:rsidR="005858CD" w:rsidRPr="005858CD" w:rsidRDefault="005858CD" w:rsidP="008C041F">
      <w:pPr>
        <w:ind w:right="-11"/>
        <w:rPr>
          <w:rFonts w:ascii="Book Antiqua" w:eastAsia="Arial Unicode MS" w:hAnsi="Book Antiqua" w:cs="Arial"/>
          <w:iCs/>
          <w:color w:val="000000"/>
          <w:sz w:val="16"/>
          <w:szCs w:val="16"/>
        </w:rPr>
      </w:pPr>
    </w:p>
    <w:p w14:paraId="56F1872D" w14:textId="77777777" w:rsidR="005858CD" w:rsidRPr="005858CD" w:rsidRDefault="005858CD" w:rsidP="008C041F">
      <w:pPr>
        <w:ind w:right="-11"/>
        <w:rPr>
          <w:rFonts w:ascii="Book Antiqua" w:eastAsia="Arial Unicode MS" w:hAnsi="Book Antiqua" w:cs="Arial"/>
          <w:iCs/>
          <w:color w:val="000000"/>
          <w:sz w:val="16"/>
          <w:szCs w:val="16"/>
        </w:rPr>
      </w:pPr>
    </w:p>
    <w:p w14:paraId="0ADBA13E" w14:textId="77777777" w:rsidR="005858CD" w:rsidRPr="005858CD" w:rsidRDefault="005858CD" w:rsidP="008C041F">
      <w:pPr>
        <w:ind w:right="-11"/>
        <w:rPr>
          <w:rFonts w:ascii="Book Antiqua" w:eastAsia="Arial Unicode MS" w:hAnsi="Book Antiqua" w:cs="Arial"/>
          <w:iCs/>
          <w:color w:val="000000"/>
          <w:sz w:val="16"/>
          <w:szCs w:val="16"/>
        </w:rPr>
      </w:pPr>
    </w:p>
    <w:p w14:paraId="26C57D79" w14:textId="77777777" w:rsidR="005858CD" w:rsidRPr="005858CD" w:rsidRDefault="005858CD" w:rsidP="008C041F">
      <w:pPr>
        <w:rPr>
          <w:rFonts w:ascii="Book Antiqua" w:hAnsi="Book Antiqua" w:cs="Arial"/>
          <w:b/>
          <w:sz w:val="20"/>
          <w:szCs w:val="20"/>
          <w:u w:val="single"/>
        </w:rPr>
      </w:pPr>
      <w:r w:rsidRPr="005858CD">
        <w:rPr>
          <w:rFonts w:ascii="Book Antiqua" w:hAnsi="Book Antiqua" w:cs="Arial"/>
          <w:b/>
          <w:sz w:val="20"/>
          <w:szCs w:val="20"/>
          <w:u w:val="single"/>
        </w:rPr>
        <w:t xml:space="preserve">10. Involucramiento en la comunidad </w:t>
      </w:r>
    </w:p>
    <w:p w14:paraId="016B5C69" w14:textId="77777777" w:rsidR="005858CD" w:rsidRPr="005858CD" w:rsidRDefault="005858CD" w:rsidP="008C041F">
      <w:pPr>
        <w:rPr>
          <w:rFonts w:ascii="Book Antiqua" w:hAnsi="Book Antiqua" w:cs="Arial"/>
          <w:i/>
          <w:sz w:val="18"/>
          <w:szCs w:val="18"/>
        </w:rPr>
      </w:pPr>
    </w:p>
    <w:tbl>
      <w:tblPr>
        <w:tblW w:w="10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64"/>
        <w:gridCol w:w="5846"/>
        <w:gridCol w:w="2273"/>
        <w:gridCol w:w="1591"/>
      </w:tblGrid>
      <w:tr w:rsidR="005858CD" w:rsidRPr="005858CD" w14:paraId="6063F5CC" w14:textId="77777777" w:rsidTr="00873A6E">
        <w:trPr>
          <w:trHeight w:val="482"/>
        </w:trPr>
        <w:tc>
          <w:tcPr>
            <w:tcW w:w="664" w:type="dxa"/>
            <w:tcBorders>
              <w:top w:val="single" w:sz="12" w:space="0" w:color="auto"/>
              <w:left w:val="single" w:sz="12" w:space="0" w:color="000000"/>
              <w:bottom w:val="single" w:sz="12" w:space="0" w:color="auto"/>
              <w:right w:val="single" w:sz="4" w:space="0" w:color="000000"/>
            </w:tcBorders>
          </w:tcPr>
          <w:p w14:paraId="0EC4C645"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10.1</w:t>
            </w:r>
          </w:p>
        </w:tc>
        <w:tc>
          <w:tcPr>
            <w:tcW w:w="5846" w:type="dxa"/>
            <w:tcBorders>
              <w:top w:val="single" w:sz="12" w:space="0" w:color="auto"/>
              <w:left w:val="single" w:sz="4" w:space="0" w:color="000000"/>
              <w:bottom w:val="single" w:sz="12" w:space="0" w:color="auto"/>
              <w:right w:val="single" w:sz="8" w:space="0" w:color="000000"/>
            </w:tcBorders>
            <w:vAlign w:val="center"/>
          </w:tcPr>
          <w:p w14:paraId="2DF6F94B" w14:textId="77777777" w:rsidR="005858CD" w:rsidRPr="005858CD" w:rsidRDefault="005858CD">
            <w:pPr>
              <w:rPr>
                <w:rFonts w:ascii="Book Antiqua" w:hAnsi="Book Antiqua" w:cs="Arial"/>
                <w:b/>
                <w:sz w:val="16"/>
                <w:szCs w:val="16"/>
                <w:lang w:val="es-NI"/>
              </w:rPr>
            </w:pPr>
            <w:r w:rsidRPr="005858CD">
              <w:rPr>
                <w:rFonts w:ascii="Book Antiqua" w:hAnsi="Book Antiqua" w:cs="Arial"/>
                <w:b/>
                <w:color w:val="212121"/>
                <w:sz w:val="16"/>
                <w:szCs w:val="16"/>
                <w:lang w:val="es-NI"/>
              </w:rPr>
              <w:t>¿Es o ha sido miembro/a de algún grupo comunitario?</w:t>
            </w:r>
          </w:p>
        </w:tc>
        <w:tc>
          <w:tcPr>
            <w:tcW w:w="2273" w:type="dxa"/>
            <w:tcBorders>
              <w:top w:val="single" w:sz="12" w:space="0" w:color="auto"/>
              <w:left w:val="single" w:sz="8" w:space="0" w:color="000000"/>
              <w:bottom w:val="single" w:sz="12" w:space="0" w:color="auto"/>
              <w:right w:val="single" w:sz="4" w:space="0" w:color="000000"/>
            </w:tcBorders>
            <w:vAlign w:val="center"/>
          </w:tcPr>
          <w:p w14:paraId="76C68860" w14:textId="77777777" w:rsidR="005858CD" w:rsidRPr="005858CD" w:rsidRDefault="005858CD">
            <w:pPr>
              <w:rPr>
                <w:rFonts w:ascii="Book Antiqua" w:hAnsi="Book Antiqua" w:cs="Arial"/>
                <w:bCs/>
                <w:color w:val="000000"/>
                <w:sz w:val="14"/>
                <w:szCs w:val="14"/>
              </w:rPr>
            </w:pPr>
            <w:r w:rsidRPr="005858CD">
              <w:rPr>
                <w:rFonts w:ascii="Book Antiqua" w:hAnsi="Book Antiqua" w:cs="Arial"/>
                <w:bCs/>
                <w:color w:val="000000"/>
                <w:sz w:val="14"/>
                <w:szCs w:val="14"/>
              </w:rPr>
              <w:t xml:space="preserve">0 = No </w:t>
            </w:r>
          </w:p>
          <w:p w14:paraId="396AB011" w14:textId="77777777" w:rsidR="005858CD" w:rsidRPr="005858CD" w:rsidRDefault="005858CD">
            <w:pPr>
              <w:rPr>
                <w:rFonts w:ascii="Arial" w:hAnsi="Arial" w:cs="Arial"/>
                <w:b/>
                <w:bCs/>
                <w:color w:val="808080"/>
                <w:sz w:val="28"/>
                <w:szCs w:val="28"/>
              </w:rPr>
            </w:pPr>
            <w:r w:rsidRPr="005858CD">
              <w:rPr>
                <w:rFonts w:ascii="Book Antiqua" w:hAnsi="Book Antiqua" w:cs="Arial"/>
                <w:bCs/>
                <w:color w:val="000000"/>
                <w:sz w:val="14"/>
                <w:szCs w:val="14"/>
              </w:rPr>
              <w:t>1 = Si</w:t>
            </w:r>
          </w:p>
        </w:tc>
        <w:tc>
          <w:tcPr>
            <w:tcW w:w="1591" w:type="dxa"/>
            <w:tcBorders>
              <w:top w:val="single" w:sz="12" w:space="0" w:color="auto"/>
              <w:left w:val="single" w:sz="4" w:space="0" w:color="000000"/>
              <w:bottom w:val="single" w:sz="12" w:space="0" w:color="auto"/>
              <w:right w:val="single" w:sz="12" w:space="0" w:color="auto"/>
            </w:tcBorders>
            <w:vAlign w:val="center"/>
          </w:tcPr>
          <w:p w14:paraId="4CF14EAC" w14:textId="77777777" w:rsidR="005858CD" w:rsidRPr="005858CD" w:rsidRDefault="005858CD">
            <w:pPr>
              <w:jc w:val="center"/>
              <w:rPr>
                <w:rFonts w:ascii="Arial" w:hAnsi="Arial" w:cs="Arial"/>
                <w:b/>
                <w:bCs/>
                <w:color w:val="808080"/>
                <w:sz w:val="28"/>
                <w:szCs w:val="28"/>
              </w:rPr>
            </w:pPr>
            <w:r w:rsidRPr="005858CD">
              <w:rPr>
                <w:b/>
                <w:bCs/>
                <w:color w:val="000000"/>
                <w:sz w:val="28"/>
                <w:szCs w:val="28"/>
              </w:rPr>
              <w:t>|__|</w:t>
            </w:r>
          </w:p>
        </w:tc>
      </w:tr>
    </w:tbl>
    <w:p w14:paraId="75D980BA" w14:textId="77777777" w:rsidR="005858CD" w:rsidRPr="005858CD" w:rsidRDefault="005858CD" w:rsidP="008C041F">
      <w:pPr>
        <w:rPr>
          <w:rFonts w:ascii="Arial" w:hAnsi="Arial" w:cs="Arial"/>
          <w:i/>
          <w:color w:val="000000"/>
          <w:sz w:val="16"/>
          <w:szCs w:val="16"/>
        </w:rPr>
      </w:pPr>
      <w:r w:rsidRPr="005858CD">
        <w:rPr>
          <w:rFonts w:ascii="Arial" w:hAnsi="Arial" w:cs="Arial"/>
          <w:i/>
          <w:color w:val="000000"/>
          <w:sz w:val="18"/>
          <w:szCs w:val="18"/>
        </w:rPr>
        <w:t xml:space="preserve"> </w:t>
      </w:r>
    </w:p>
    <w:tbl>
      <w:tblPr>
        <w:tblW w:w="513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50"/>
        <w:gridCol w:w="16"/>
        <w:gridCol w:w="1334"/>
        <w:gridCol w:w="2070"/>
        <w:gridCol w:w="1260"/>
      </w:tblGrid>
      <w:tr w:rsidR="005858CD" w:rsidRPr="005858CD" w14:paraId="13DFE5AE" w14:textId="77777777" w:rsidTr="00873A6E">
        <w:trPr>
          <w:trHeight w:val="247"/>
        </w:trPr>
        <w:tc>
          <w:tcPr>
            <w:tcW w:w="466" w:type="dxa"/>
            <w:gridSpan w:val="2"/>
            <w:tcBorders>
              <w:top w:val="single" w:sz="12" w:space="0" w:color="auto"/>
              <w:left w:val="single" w:sz="12" w:space="0" w:color="000000"/>
              <w:right w:val="single" w:sz="4" w:space="0" w:color="000000"/>
            </w:tcBorders>
          </w:tcPr>
          <w:p w14:paraId="342C55CF" w14:textId="77777777" w:rsidR="005858CD" w:rsidRPr="005858CD" w:rsidRDefault="005858CD" w:rsidP="008C041F">
            <w:pPr>
              <w:rPr>
                <w:rFonts w:ascii="Book Antiqua" w:hAnsi="Book Antiqua" w:cs="Arial"/>
                <w:bCs/>
                <w:color w:val="000000"/>
                <w:sz w:val="16"/>
                <w:szCs w:val="16"/>
              </w:rPr>
            </w:pPr>
            <w:r w:rsidRPr="005858CD">
              <w:rPr>
                <w:rFonts w:ascii="Book Antiqua" w:hAnsi="Book Antiqua" w:cs="Arial"/>
                <w:bCs/>
                <w:color w:val="000000"/>
                <w:sz w:val="16"/>
                <w:szCs w:val="16"/>
              </w:rPr>
              <w:t>No.</w:t>
            </w:r>
          </w:p>
        </w:tc>
        <w:tc>
          <w:tcPr>
            <w:tcW w:w="1334" w:type="dxa"/>
            <w:tcBorders>
              <w:top w:val="single" w:sz="12" w:space="0" w:color="auto"/>
              <w:left w:val="single" w:sz="4" w:space="0" w:color="000000"/>
              <w:bottom w:val="single" w:sz="4" w:space="0" w:color="000000"/>
              <w:right w:val="single" w:sz="8" w:space="0" w:color="000000"/>
            </w:tcBorders>
            <w:vAlign w:val="center"/>
          </w:tcPr>
          <w:p w14:paraId="23E4B1F4" w14:textId="77777777" w:rsidR="005858CD" w:rsidRPr="005858CD" w:rsidRDefault="005858CD" w:rsidP="008C041F">
            <w:pPr>
              <w:rPr>
                <w:rFonts w:ascii="Book Antiqua" w:hAnsi="Book Antiqua" w:cs="Arial"/>
                <w:sz w:val="16"/>
                <w:szCs w:val="16"/>
              </w:rPr>
            </w:pPr>
            <w:r w:rsidRPr="005858CD">
              <w:rPr>
                <w:rFonts w:ascii="Book Antiqua" w:eastAsia="Arial Unicode MS" w:hAnsi="Book Antiqua" w:cs="Arial"/>
                <w:bCs/>
                <w:sz w:val="16"/>
                <w:szCs w:val="16"/>
              </w:rPr>
              <w:t xml:space="preserve">10.2           </w:t>
            </w:r>
          </w:p>
        </w:tc>
        <w:tc>
          <w:tcPr>
            <w:tcW w:w="2070" w:type="dxa"/>
            <w:tcBorders>
              <w:top w:val="single" w:sz="12" w:space="0" w:color="auto"/>
              <w:left w:val="single" w:sz="8" w:space="0" w:color="000000"/>
              <w:bottom w:val="single" w:sz="4" w:space="0" w:color="000000"/>
              <w:right w:val="single" w:sz="8" w:space="0" w:color="000000"/>
            </w:tcBorders>
          </w:tcPr>
          <w:p w14:paraId="178BA99F" w14:textId="77777777" w:rsidR="005858CD" w:rsidRPr="005858CD" w:rsidRDefault="005858CD" w:rsidP="008C041F">
            <w:pPr>
              <w:tabs>
                <w:tab w:val="left" w:leader="dot" w:pos="576"/>
              </w:tabs>
              <w:rPr>
                <w:rFonts w:ascii="Book Antiqua" w:hAnsi="Book Antiqua" w:cs="Arial"/>
                <w:color w:val="000000"/>
                <w:sz w:val="16"/>
                <w:szCs w:val="16"/>
              </w:rPr>
            </w:pPr>
            <w:r w:rsidRPr="005858CD">
              <w:rPr>
                <w:rFonts w:ascii="Book Antiqua" w:hAnsi="Book Antiqua" w:cs="Arial"/>
                <w:color w:val="000000"/>
                <w:sz w:val="16"/>
                <w:szCs w:val="16"/>
              </w:rPr>
              <w:t xml:space="preserve">10.3                                  </w:t>
            </w:r>
          </w:p>
        </w:tc>
        <w:tc>
          <w:tcPr>
            <w:tcW w:w="1260" w:type="dxa"/>
            <w:tcBorders>
              <w:top w:val="single" w:sz="12" w:space="0" w:color="auto"/>
              <w:left w:val="single" w:sz="8" w:space="0" w:color="000000"/>
              <w:bottom w:val="single" w:sz="4" w:space="0" w:color="000000"/>
              <w:right w:val="single" w:sz="4" w:space="0" w:color="000000"/>
            </w:tcBorders>
          </w:tcPr>
          <w:p w14:paraId="63F6F347" w14:textId="77777777" w:rsidR="005858CD" w:rsidRPr="005858CD" w:rsidRDefault="005858CD" w:rsidP="008C041F">
            <w:pPr>
              <w:rPr>
                <w:rFonts w:ascii="Book Antiqua" w:hAnsi="Book Antiqua" w:cs="Arial"/>
                <w:sz w:val="16"/>
                <w:szCs w:val="16"/>
                <w:lang w:val="es-NI"/>
              </w:rPr>
            </w:pPr>
            <w:r w:rsidRPr="005858CD">
              <w:rPr>
                <w:rFonts w:ascii="Book Antiqua" w:hAnsi="Book Antiqua" w:cs="Arial"/>
                <w:sz w:val="16"/>
                <w:szCs w:val="16"/>
                <w:lang w:val="es-NI"/>
              </w:rPr>
              <w:t>10.4</w:t>
            </w:r>
          </w:p>
        </w:tc>
      </w:tr>
      <w:tr w:rsidR="005858CD" w:rsidRPr="005858CD" w14:paraId="7A37BB12" w14:textId="77777777" w:rsidTr="00873A6E">
        <w:trPr>
          <w:trHeight w:val="1931"/>
        </w:trPr>
        <w:tc>
          <w:tcPr>
            <w:tcW w:w="466" w:type="dxa"/>
            <w:gridSpan w:val="2"/>
            <w:tcBorders>
              <w:left w:val="single" w:sz="12" w:space="0" w:color="000000"/>
              <w:right w:val="single" w:sz="4" w:space="0" w:color="000000"/>
            </w:tcBorders>
          </w:tcPr>
          <w:p w14:paraId="0F7AF37E" w14:textId="77777777" w:rsidR="005858CD" w:rsidRPr="005858CD" w:rsidRDefault="005858CD" w:rsidP="008C041F">
            <w:pPr>
              <w:rPr>
                <w:rFonts w:ascii="Arial" w:hAnsi="Arial" w:cs="Arial"/>
                <w:b/>
                <w:bCs/>
                <w:color w:val="000000"/>
                <w:sz w:val="18"/>
                <w:lang w:val="es-NI"/>
              </w:rPr>
            </w:pPr>
          </w:p>
        </w:tc>
        <w:tc>
          <w:tcPr>
            <w:tcW w:w="1334" w:type="dxa"/>
            <w:tcBorders>
              <w:top w:val="single" w:sz="4" w:space="0" w:color="000000"/>
              <w:left w:val="single" w:sz="4" w:space="0" w:color="000000"/>
              <w:bottom w:val="single" w:sz="4" w:space="0" w:color="000000"/>
              <w:right w:val="single" w:sz="8" w:space="0" w:color="000000"/>
            </w:tcBorders>
            <w:vAlign w:val="center"/>
          </w:tcPr>
          <w:p w14:paraId="7ADBF3D9" w14:textId="77777777" w:rsidR="005858CD" w:rsidRPr="005858CD" w:rsidRDefault="005858CD" w:rsidP="008C041F">
            <w:pPr>
              <w:rPr>
                <w:rFonts w:ascii="Book Antiqua" w:hAnsi="Book Antiqua" w:cs="Arial"/>
                <w:i/>
                <w:sz w:val="16"/>
                <w:szCs w:val="16"/>
                <w:lang w:val="es-NI"/>
              </w:rPr>
            </w:pPr>
            <w:r w:rsidRPr="005858CD">
              <w:rPr>
                <w:rFonts w:ascii="Book Antiqua" w:hAnsi="Book Antiqua" w:cs="Arial"/>
                <w:b/>
                <w:sz w:val="16"/>
                <w:szCs w:val="16"/>
                <w:lang w:val="es-NI"/>
              </w:rPr>
              <w:t xml:space="preserve">Nombres de los grupos </w:t>
            </w:r>
            <w:r w:rsidRPr="005858CD">
              <w:rPr>
                <w:rFonts w:ascii="Book Antiqua" w:hAnsi="Book Antiqua" w:cs="Arial"/>
                <w:i/>
                <w:sz w:val="16"/>
                <w:szCs w:val="16"/>
                <w:lang w:val="es-NI"/>
              </w:rPr>
              <w:t>(partiendo de los grupos de los que actualmente es miembra)</w:t>
            </w:r>
          </w:p>
          <w:p w14:paraId="6326CC2F" w14:textId="77777777" w:rsidR="005858CD" w:rsidRPr="005858CD" w:rsidRDefault="005858CD" w:rsidP="008C041F">
            <w:pPr>
              <w:rPr>
                <w:rFonts w:ascii="Arial" w:hAnsi="Arial" w:cs="Arial"/>
                <w:i/>
                <w:sz w:val="14"/>
                <w:szCs w:val="14"/>
                <w:lang w:val="es-NI"/>
              </w:rPr>
            </w:pPr>
          </w:p>
        </w:tc>
        <w:tc>
          <w:tcPr>
            <w:tcW w:w="2070" w:type="dxa"/>
            <w:tcBorders>
              <w:top w:val="single" w:sz="4" w:space="0" w:color="000000"/>
              <w:left w:val="single" w:sz="8" w:space="0" w:color="000000"/>
              <w:bottom w:val="single" w:sz="4" w:space="0" w:color="000000"/>
              <w:right w:val="single" w:sz="8" w:space="0" w:color="000000"/>
            </w:tcBorders>
          </w:tcPr>
          <w:p w14:paraId="627406C2" w14:textId="77777777" w:rsidR="005858CD" w:rsidRPr="005858CD" w:rsidRDefault="005858CD" w:rsidP="008C041F">
            <w:pPr>
              <w:rPr>
                <w:rFonts w:ascii="Book Antiqua" w:hAnsi="Book Antiqua" w:cs="Arial"/>
                <w:b/>
                <w:bCs/>
                <w:color w:val="000000"/>
                <w:sz w:val="16"/>
                <w:szCs w:val="16"/>
                <w:lang w:val="es-NI"/>
              </w:rPr>
            </w:pPr>
            <w:r w:rsidRPr="005858CD">
              <w:rPr>
                <w:rFonts w:ascii="Book Antiqua" w:hAnsi="Book Antiqua" w:cs="Arial"/>
                <w:b/>
                <w:color w:val="212121"/>
                <w:sz w:val="16"/>
                <w:szCs w:val="16"/>
                <w:lang w:val="es-NI"/>
              </w:rPr>
              <w:t>¿Qué tipo de grupo es?</w:t>
            </w:r>
          </w:p>
          <w:p w14:paraId="18341898" w14:textId="77777777" w:rsidR="005858CD" w:rsidRPr="005858CD" w:rsidRDefault="005858CD" w:rsidP="008C041F">
            <w:pPr>
              <w:rPr>
                <w:rFonts w:ascii="Book Antiqua" w:hAnsi="Book Antiqua" w:cs="Arial"/>
                <w:bCs/>
                <w:color w:val="000000"/>
                <w:sz w:val="14"/>
                <w:szCs w:val="14"/>
                <w:lang w:val="es-NI"/>
              </w:rPr>
            </w:pPr>
            <w:r w:rsidRPr="005858CD">
              <w:rPr>
                <w:rFonts w:ascii="Book Antiqua" w:hAnsi="Book Antiqua" w:cs="Arial"/>
                <w:bCs/>
                <w:color w:val="000000"/>
                <w:sz w:val="14"/>
                <w:szCs w:val="14"/>
                <w:lang w:val="es-NI"/>
              </w:rPr>
              <w:t>(hasta dos opciones)</w:t>
            </w:r>
          </w:p>
          <w:p w14:paraId="21A04A13" w14:textId="77777777" w:rsidR="005858CD" w:rsidRPr="005858CD" w:rsidRDefault="005858CD" w:rsidP="008C041F">
            <w:pPr>
              <w:autoSpaceDE w:val="0"/>
              <w:autoSpaceDN w:val="0"/>
              <w:adjustRightInd w:val="0"/>
              <w:rPr>
                <w:rFonts w:ascii="Book Antiqua" w:hAnsi="Book Antiqua" w:cs="Arial"/>
                <w:bCs/>
                <w:sz w:val="14"/>
                <w:szCs w:val="14"/>
                <w:lang w:val="es-NI"/>
              </w:rPr>
            </w:pPr>
          </w:p>
          <w:p w14:paraId="1D467FFD" w14:textId="77777777" w:rsidR="005858CD" w:rsidRPr="005858CD" w:rsidRDefault="005858CD">
            <w:pPr>
              <w:autoSpaceDE w:val="0"/>
              <w:autoSpaceDN w:val="0"/>
              <w:adjustRightInd w:val="0"/>
              <w:rPr>
                <w:rFonts w:ascii="Book Antiqua" w:hAnsi="Book Antiqua" w:cs="Arial"/>
                <w:bCs/>
                <w:sz w:val="14"/>
                <w:szCs w:val="14"/>
                <w:lang w:val="es-NI"/>
              </w:rPr>
            </w:pPr>
            <w:r w:rsidRPr="005858CD">
              <w:rPr>
                <w:rFonts w:ascii="Book Antiqua" w:hAnsi="Book Antiqua" w:cs="Arial"/>
                <w:bCs/>
                <w:sz w:val="14"/>
                <w:szCs w:val="14"/>
                <w:lang w:val="es-NI"/>
              </w:rPr>
              <w:t xml:space="preserve">1 = Económico/productive </w:t>
            </w:r>
          </w:p>
          <w:p w14:paraId="34A8D285" w14:textId="77777777" w:rsidR="005858CD" w:rsidRPr="005858CD" w:rsidRDefault="005858CD">
            <w:pPr>
              <w:autoSpaceDE w:val="0"/>
              <w:autoSpaceDN w:val="0"/>
              <w:adjustRightInd w:val="0"/>
              <w:rPr>
                <w:rFonts w:ascii="Book Antiqua" w:hAnsi="Book Antiqua" w:cs="Arial"/>
                <w:bCs/>
                <w:sz w:val="14"/>
                <w:szCs w:val="14"/>
                <w:lang w:val="es-NI"/>
              </w:rPr>
            </w:pPr>
            <w:r w:rsidRPr="005858CD">
              <w:rPr>
                <w:rFonts w:ascii="Book Antiqua" w:hAnsi="Book Antiqua" w:cs="Arial"/>
                <w:bCs/>
                <w:sz w:val="14"/>
                <w:szCs w:val="14"/>
                <w:lang w:val="es-NI"/>
              </w:rPr>
              <w:t>2 = Religioso</w:t>
            </w:r>
          </w:p>
          <w:p w14:paraId="4BA10857" w14:textId="77777777" w:rsidR="005858CD" w:rsidRPr="005858CD" w:rsidRDefault="005858CD">
            <w:pPr>
              <w:autoSpaceDE w:val="0"/>
              <w:autoSpaceDN w:val="0"/>
              <w:adjustRightInd w:val="0"/>
              <w:rPr>
                <w:rFonts w:ascii="Book Antiqua" w:hAnsi="Book Antiqua" w:cs="Arial"/>
                <w:b/>
                <w:color w:val="000000"/>
                <w:sz w:val="14"/>
                <w:szCs w:val="14"/>
                <w:lang w:val="es-NI"/>
              </w:rPr>
            </w:pPr>
            <w:r w:rsidRPr="005858CD">
              <w:rPr>
                <w:rFonts w:ascii="Book Antiqua" w:hAnsi="Book Antiqua" w:cs="Arial"/>
                <w:bCs/>
                <w:sz w:val="14"/>
                <w:szCs w:val="14"/>
                <w:lang w:val="es-NI"/>
              </w:rPr>
              <w:t>3 = Ahorro y crédito</w:t>
            </w:r>
          </w:p>
          <w:p w14:paraId="7BC9CB24" w14:textId="77777777" w:rsidR="005858CD" w:rsidRPr="005858CD" w:rsidRDefault="005858CD">
            <w:pPr>
              <w:rPr>
                <w:rFonts w:ascii="Book Antiqua" w:hAnsi="Book Antiqua" w:cs="Arial"/>
                <w:bCs/>
                <w:sz w:val="14"/>
                <w:szCs w:val="14"/>
                <w:lang w:val="es-NI"/>
              </w:rPr>
            </w:pPr>
            <w:r w:rsidRPr="005858CD">
              <w:rPr>
                <w:rFonts w:ascii="Book Antiqua" w:hAnsi="Book Antiqua" w:cs="Arial"/>
                <w:bCs/>
                <w:sz w:val="14"/>
                <w:szCs w:val="14"/>
                <w:lang w:val="es-NI"/>
              </w:rPr>
              <w:t xml:space="preserve">4 = Grupo voluntario para actividades comunitarias </w:t>
            </w:r>
          </w:p>
          <w:p w14:paraId="0783269B" w14:textId="77777777" w:rsidR="005858CD" w:rsidRPr="005858CD" w:rsidRDefault="005858CD">
            <w:pPr>
              <w:rPr>
                <w:rFonts w:ascii="Book Antiqua" w:hAnsi="Book Antiqua" w:cs="Arial"/>
                <w:sz w:val="14"/>
                <w:szCs w:val="14"/>
                <w:lang w:val="es-NI"/>
              </w:rPr>
            </w:pPr>
            <w:r w:rsidRPr="005858CD">
              <w:rPr>
                <w:rFonts w:ascii="Book Antiqua" w:hAnsi="Book Antiqua" w:cs="Arial"/>
                <w:sz w:val="14"/>
                <w:szCs w:val="14"/>
                <w:lang w:val="es-NI"/>
              </w:rPr>
              <w:t>5 = Grupo político</w:t>
            </w:r>
          </w:p>
          <w:p w14:paraId="4D6CCBF8" w14:textId="77777777" w:rsidR="005858CD" w:rsidRPr="005858CD" w:rsidRDefault="005858CD">
            <w:r w:rsidRPr="005858CD">
              <w:rPr>
                <w:rFonts w:ascii="Book Antiqua" w:hAnsi="Book Antiqua" w:cs="Arial"/>
                <w:sz w:val="14"/>
                <w:szCs w:val="14"/>
              </w:rPr>
              <w:t xml:space="preserve">6 = </w:t>
            </w:r>
            <w:r w:rsidRPr="005858CD">
              <w:rPr>
                <w:rFonts w:ascii="Book Antiqua" w:hAnsi="Book Antiqua" w:cs="Arial"/>
                <w:bCs/>
                <w:sz w:val="14"/>
                <w:szCs w:val="14"/>
              </w:rPr>
              <w:t>Other</w:t>
            </w:r>
          </w:p>
        </w:tc>
        <w:tc>
          <w:tcPr>
            <w:tcW w:w="1260" w:type="dxa"/>
            <w:tcBorders>
              <w:top w:val="single" w:sz="4" w:space="0" w:color="000000"/>
              <w:left w:val="single" w:sz="8" w:space="0" w:color="000000"/>
              <w:bottom w:val="single" w:sz="4" w:space="0" w:color="000000"/>
              <w:right w:val="single" w:sz="4" w:space="0" w:color="000000"/>
            </w:tcBorders>
            <w:vAlign w:val="center"/>
          </w:tcPr>
          <w:p w14:paraId="61D9C3C1" w14:textId="77777777" w:rsidR="005858CD" w:rsidRPr="005858CD" w:rsidRDefault="005858CD">
            <w:pPr>
              <w:tabs>
                <w:tab w:val="left" w:leader="dot" w:pos="576"/>
              </w:tabs>
              <w:rPr>
                <w:rFonts w:ascii="Book Antiqua" w:hAnsi="Book Antiqua" w:cs="Arial"/>
                <w:b/>
                <w:bCs/>
                <w:color w:val="808080"/>
                <w:sz w:val="28"/>
                <w:szCs w:val="28"/>
              </w:rPr>
            </w:pPr>
            <w:r w:rsidRPr="005858CD">
              <w:rPr>
                <w:rFonts w:ascii="Book Antiqua" w:hAnsi="Book Antiqua" w:cs="Arial"/>
                <w:b/>
                <w:color w:val="212121"/>
                <w:sz w:val="16"/>
                <w:szCs w:val="16"/>
                <w:lang w:val="es-NI"/>
              </w:rPr>
              <w:t>¿Hace cuánto tiempo es miembra de este grupo?</w:t>
            </w:r>
            <w:r w:rsidRPr="005858CD">
              <w:rPr>
                <w:rFonts w:ascii="Book Antiqua" w:hAnsi="Book Antiqua" w:cs="Arial"/>
                <w:bCs/>
                <w:color w:val="000000"/>
                <w:sz w:val="14"/>
                <w:szCs w:val="14"/>
                <w:lang w:val="es-NI"/>
              </w:rPr>
              <w:t xml:space="preserve"> </w:t>
            </w:r>
            <w:r w:rsidRPr="005858CD">
              <w:rPr>
                <w:rFonts w:ascii="Book Antiqua" w:hAnsi="Book Antiqua" w:cs="Arial"/>
                <w:bCs/>
                <w:color w:val="000000"/>
                <w:sz w:val="14"/>
                <w:szCs w:val="14"/>
              </w:rPr>
              <w:t>Número de años</w:t>
            </w:r>
          </w:p>
        </w:tc>
      </w:tr>
      <w:tr w:rsidR="005858CD" w:rsidRPr="005858CD" w14:paraId="2C888349" w14:textId="77777777" w:rsidTr="00873A6E">
        <w:trPr>
          <w:trHeight w:val="288"/>
        </w:trPr>
        <w:tc>
          <w:tcPr>
            <w:tcW w:w="466" w:type="dxa"/>
            <w:gridSpan w:val="2"/>
            <w:tcBorders>
              <w:left w:val="single" w:sz="12" w:space="0" w:color="000000"/>
              <w:right w:val="single" w:sz="4" w:space="0" w:color="000000"/>
            </w:tcBorders>
          </w:tcPr>
          <w:p w14:paraId="47109A53" w14:textId="77777777" w:rsidR="005858CD" w:rsidRPr="005858CD" w:rsidRDefault="005858CD" w:rsidP="008C041F">
            <w:pPr>
              <w:rPr>
                <w:rFonts w:ascii="Arial" w:hAnsi="Arial" w:cs="Arial"/>
                <w:bCs/>
                <w:color w:val="000000"/>
                <w:sz w:val="18"/>
              </w:rPr>
            </w:pPr>
            <w:r w:rsidRPr="005858CD">
              <w:rPr>
                <w:rFonts w:ascii="Arial" w:hAnsi="Arial" w:cs="Arial"/>
                <w:bCs/>
                <w:color w:val="000000"/>
                <w:sz w:val="18"/>
              </w:rPr>
              <w:t>A</w:t>
            </w:r>
          </w:p>
        </w:tc>
        <w:tc>
          <w:tcPr>
            <w:tcW w:w="1334" w:type="dxa"/>
            <w:tcBorders>
              <w:top w:val="single" w:sz="4" w:space="0" w:color="000000"/>
              <w:left w:val="single" w:sz="4" w:space="0" w:color="000000"/>
              <w:bottom w:val="single" w:sz="4" w:space="0" w:color="000000"/>
              <w:right w:val="single" w:sz="8" w:space="0" w:color="000000"/>
            </w:tcBorders>
            <w:vAlign w:val="center"/>
          </w:tcPr>
          <w:p w14:paraId="62FD347F" w14:textId="77777777" w:rsidR="005858CD" w:rsidRPr="005858CD" w:rsidRDefault="005858CD" w:rsidP="008C041F">
            <w:pPr>
              <w:rPr>
                <w:rFonts w:ascii="Arial" w:hAnsi="Arial" w:cs="Arial"/>
                <w:strike/>
                <w:color w:val="000000"/>
                <w:sz w:val="18"/>
                <w:szCs w:val="18"/>
                <w:highlight w:val="yellow"/>
              </w:rPr>
            </w:pPr>
          </w:p>
        </w:tc>
        <w:tc>
          <w:tcPr>
            <w:tcW w:w="2070" w:type="dxa"/>
            <w:tcBorders>
              <w:top w:val="single" w:sz="4" w:space="0" w:color="000000"/>
              <w:left w:val="single" w:sz="8" w:space="0" w:color="000000"/>
              <w:bottom w:val="single" w:sz="4" w:space="0" w:color="000000"/>
              <w:right w:val="single" w:sz="8" w:space="0" w:color="000000"/>
            </w:tcBorders>
            <w:vAlign w:val="center"/>
          </w:tcPr>
          <w:p w14:paraId="26D3DDE1" w14:textId="77777777" w:rsidR="005858CD" w:rsidRPr="005858CD" w:rsidRDefault="005858CD" w:rsidP="008C041F">
            <w:pPr>
              <w:autoSpaceDE w:val="0"/>
              <w:autoSpaceDN w:val="0"/>
              <w:adjustRightInd w:val="0"/>
              <w:rPr>
                <w:b/>
                <w:bCs/>
                <w:sz w:val="28"/>
                <w:szCs w:val="28"/>
                <w:lang w:val="es-HN"/>
              </w:rPr>
            </w:pPr>
            <w:r w:rsidRPr="005858CD">
              <w:rPr>
                <w:b/>
                <w:bCs/>
                <w:sz w:val="28"/>
                <w:szCs w:val="28"/>
                <w:lang w:val="es-HN"/>
              </w:rPr>
              <w:t>|__|  |__| _____</w:t>
            </w:r>
          </w:p>
        </w:tc>
        <w:tc>
          <w:tcPr>
            <w:tcW w:w="1260" w:type="dxa"/>
            <w:tcBorders>
              <w:top w:val="single" w:sz="4" w:space="0" w:color="000000"/>
              <w:left w:val="single" w:sz="8" w:space="0" w:color="000000"/>
              <w:bottom w:val="single" w:sz="4" w:space="0" w:color="000000"/>
              <w:right w:val="single" w:sz="4" w:space="0" w:color="000000"/>
            </w:tcBorders>
          </w:tcPr>
          <w:p w14:paraId="28F3D03D"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72F2EB40" w14:textId="77777777" w:rsidTr="00873A6E">
        <w:trPr>
          <w:trHeight w:val="288"/>
        </w:trPr>
        <w:tc>
          <w:tcPr>
            <w:tcW w:w="466" w:type="dxa"/>
            <w:gridSpan w:val="2"/>
            <w:tcBorders>
              <w:left w:val="single" w:sz="12" w:space="0" w:color="000000"/>
              <w:right w:val="single" w:sz="4" w:space="0" w:color="000000"/>
            </w:tcBorders>
          </w:tcPr>
          <w:p w14:paraId="0C215A2B" w14:textId="77777777" w:rsidR="005858CD" w:rsidRPr="005858CD" w:rsidRDefault="005858CD" w:rsidP="008C041F">
            <w:pPr>
              <w:rPr>
                <w:rFonts w:ascii="Arial" w:hAnsi="Arial" w:cs="Arial"/>
                <w:bCs/>
                <w:color w:val="000000"/>
                <w:sz w:val="18"/>
              </w:rPr>
            </w:pPr>
            <w:r w:rsidRPr="005858CD">
              <w:rPr>
                <w:rFonts w:ascii="Arial" w:hAnsi="Arial" w:cs="Arial"/>
                <w:bCs/>
                <w:color w:val="000000"/>
                <w:sz w:val="18"/>
              </w:rPr>
              <w:t>B</w:t>
            </w:r>
          </w:p>
        </w:tc>
        <w:tc>
          <w:tcPr>
            <w:tcW w:w="1334" w:type="dxa"/>
            <w:tcBorders>
              <w:top w:val="single" w:sz="4" w:space="0" w:color="000000"/>
              <w:left w:val="single" w:sz="4" w:space="0" w:color="000000"/>
              <w:bottom w:val="single" w:sz="4" w:space="0" w:color="000000"/>
              <w:right w:val="single" w:sz="8" w:space="0" w:color="000000"/>
            </w:tcBorders>
            <w:vAlign w:val="center"/>
          </w:tcPr>
          <w:p w14:paraId="768CE482" w14:textId="77777777" w:rsidR="005858CD" w:rsidRPr="005858CD" w:rsidRDefault="005858CD" w:rsidP="008C041F">
            <w:pPr>
              <w:rPr>
                <w:rFonts w:ascii="Arial" w:hAnsi="Arial" w:cs="Arial"/>
                <w:color w:val="000000"/>
                <w:sz w:val="18"/>
                <w:szCs w:val="18"/>
                <w:highlight w:val="yellow"/>
              </w:rPr>
            </w:pPr>
          </w:p>
        </w:tc>
        <w:tc>
          <w:tcPr>
            <w:tcW w:w="2070" w:type="dxa"/>
            <w:tcBorders>
              <w:top w:val="single" w:sz="4" w:space="0" w:color="000000"/>
              <w:left w:val="single" w:sz="8" w:space="0" w:color="000000"/>
              <w:bottom w:val="single" w:sz="4" w:space="0" w:color="000000"/>
              <w:right w:val="single" w:sz="8" w:space="0" w:color="000000"/>
            </w:tcBorders>
          </w:tcPr>
          <w:p w14:paraId="1627349C" w14:textId="77777777" w:rsidR="005858CD" w:rsidRPr="005858CD" w:rsidRDefault="005858CD" w:rsidP="008C041F">
            <w:r w:rsidRPr="005858CD">
              <w:rPr>
                <w:b/>
                <w:bCs/>
                <w:sz w:val="28"/>
                <w:szCs w:val="28"/>
                <w:lang w:val="es-HN"/>
              </w:rPr>
              <w:t>|__|  |__| _____</w:t>
            </w:r>
          </w:p>
        </w:tc>
        <w:tc>
          <w:tcPr>
            <w:tcW w:w="1260" w:type="dxa"/>
            <w:tcBorders>
              <w:top w:val="single" w:sz="4" w:space="0" w:color="000000"/>
              <w:left w:val="single" w:sz="8" w:space="0" w:color="000000"/>
              <w:bottom w:val="single" w:sz="4" w:space="0" w:color="000000"/>
              <w:right w:val="single" w:sz="4" w:space="0" w:color="000000"/>
            </w:tcBorders>
          </w:tcPr>
          <w:p w14:paraId="7919EF01"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16684B5C" w14:textId="77777777" w:rsidTr="00873A6E">
        <w:trPr>
          <w:trHeight w:val="288"/>
        </w:trPr>
        <w:tc>
          <w:tcPr>
            <w:tcW w:w="466" w:type="dxa"/>
            <w:gridSpan w:val="2"/>
            <w:tcBorders>
              <w:left w:val="single" w:sz="12" w:space="0" w:color="000000"/>
              <w:right w:val="single" w:sz="4" w:space="0" w:color="000000"/>
            </w:tcBorders>
          </w:tcPr>
          <w:p w14:paraId="6C37FA0C" w14:textId="77777777" w:rsidR="005858CD" w:rsidRPr="005858CD" w:rsidRDefault="005858CD" w:rsidP="008C041F">
            <w:pPr>
              <w:rPr>
                <w:rFonts w:ascii="Arial" w:hAnsi="Arial" w:cs="Arial"/>
                <w:bCs/>
                <w:color w:val="000000"/>
                <w:sz w:val="18"/>
              </w:rPr>
            </w:pPr>
            <w:r w:rsidRPr="005858CD">
              <w:rPr>
                <w:rFonts w:ascii="Arial" w:hAnsi="Arial" w:cs="Arial"/>
                <w:bCs/>
                <w:color w:val="000000"/>
                <w:sz w:val="18"/>
              </w:rPr>
              <w:t>C</w:t>
            </w:r>
          </w:p>
        </w:tc>
        <w:tc>
          <w:tcPr>
            <w:tcW w:w="1334" w:type="dxa"/>
            <w:tcBorders>
              <w:top w:val="single" w:sz="4" w:space="0" w:color="000000"/>
              <w:left w:val="single" w:sz="4" w:space="0" w:color="000000"/>
              <w:bottom w:val="single" w:sz="4" w:space="0" w:color="000000"/>
              <w:right w:val="single" w:sz="8" w:space="0" w:color="000000"/>
            </w:tcBorders>
            <w:vAlign w:val="center"/>
          </w:tcPr>
          <w:p w14:paraId="3A808BAE" w14:textId="77777777" w:rsidR="005858CD" w:rsidRPr="005858CD" w:rsidRDefault="005858CD" w:rsidP="008C041F">
            <w:pPr>
              <w:rPr>
                <w:rFonts w:ascii="Arial" w:hAnsi="Arial" w:cs="Arial"/>
                <w:color w:val="000000"/>
                <w:sz w:val="18"/>
                <w:szCs w:val="18"/>
                <w:highlight w:val="yellow"/>
              </w:rPr>
            </w:pPr>
          </w:p>
        </w:tc>
        <w:tc>
          <w:tcPr>
            <w:tcW w:w="2070" w:type="dxa"/>
            <w:tcBorders>
              <w:top w:val="single" w:sz="4" w:space="0" w:color="000000"/>
              <w:left w:val="single" w:sz="8" w:space="0" w:color="000000"/>
              <w:bottom w:val="single" w:sz="4" w:space="0" w:color="000000"/>
              <w:right w:val="single" w:sz="8" w:space="0" w:color="000000"/>
            </w:tcBorders>
          </w:tcPr>
          <w:p w14:paraId="707B6CA6" w14:textId="77777777" w:rsidR="005858CD" w:rsidRPr="005858CD" w:rsidRDefault="005858CD" w:rsidP="008C041F">
            <w:r w:rsidRPr="005858CD">
              <w:rPr>
                <w:b/>
                <w:bCs/>
                <w:sz w:val="28"/>
                <w:szCs w:val="28"/>
                <w:lang w:val="es-HN"/>
              </w:rPr>
              <w:t>|__|  |__| _____</w:t>
            </w:r>
          </w:p>
        </w:tc>
        <w:tc>
          <w:tcPr>
            <w:tcW w:w="1260" w:type="dxa"/>
            <w:tcBorders>
              <w:top w:val="single" w:sz="4" w:space="0" w:color="000000"/>
              <w:left w:val="single" w:sz="8" w:space="0" w:color="000000"/>
              <w:bottom w:val="single" w:sz="4" w:space="0" w:color="000000"/>
              <w:right w:val="single" w:sz="4" w:space="0" w:color="000000"/>
            </w:tcBorders>
          </w:tcPr>
          <w:p w14:paraId="4A03FF5C"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2F31FAAC" w14:textId="77777777" w:rsidTr="00873A6E">
        <w:trPr>
          <w:trHeight w:val="288"/>
        </w:trPr>
        <w:tc>
          <w:tcPr>
            <w:tcW w:w="466" w:type="dxa"/>
            <w:gridSpan w:val="2"/>
            <w:tcBorders>
              <w:left w:val="single" w:sz="12" w:space="0" w:color="000000"/>
              <w:right w:val="single" w:sz="4" w:space="0" w:color="000000"/>
            </w:tcBorders>
          </w:tcPr>
          <w:p w14:paraId="3A1FC138" w14:textId="77777777" w:rsidR="005858CD" w:rsidRPr="005858CD" w:rsidRDefault="005858CD" w:rsidP="008C041F">
            <w:pPr>
              <w:rPr>
                <w:rFonts w:ascii="Arial" w:hAnsi="Arial" w:cs="Arial"/>
                <w:bCs/>
                <w:color w:val="000000"/>
                <w:sz w:val="18"/>
              </w:rPr>
            </w:pPr>
            <w:r w:rsidRPr="005858CD">
              <w:rPr>
                <w:rFonts w:ascii="Arial" w:hAnsi="Arial" w:cs="Arial"/>
                <w:bCs/>
                <w:color w:val="000000"/>
                <w:sz w:val="18"/>
              </w:rPr>
              <w:t>D</w:t>
            </w:r>
          </w:p>
        </w:tc>
        <w:tc>
          <w:tcPr>
            <w:tcW w:w="1334" w:type="dxa"/>
            <w:tcBorders>
              <w:top w:val="single" w:sz="4" w:space="0" w:color="000000"/>
              <w:left w:val="single" w:sz="4" w:space="0" w:color="000000"/>
              <w:bottom w:val="single" w:sz="4" w:space="0" w:color="000000"/>
              <w:right w:val="single" w:sz="8" w:space="0" w:color="000000"/>
            </w:tcBorders>
            <w:vAlign w:val="center"/>
          </w:tcPr>
          <w:p w14:paraId="6F444F0B" w14:textId="77777777" w:rsidR="005858CD" w:rsidRPr="005858CD" w:rsidRDefault="005858CD" w:rsidP="008C041F">
            <w:pPr>
              <w:rPr>
                <w:rFonts w:ascii="Arial" w:hAnsi="Arial" w:cs="Arial"/>
                <w:color w:val="000000"/>
                <w:sz w:val="18"/>
                <w:szCs w:val="18"/>
                <w:highlight w:val="yellow"/>
              </w:rPr>
            </w:pPr>
          </w:p>
        </w:tc>
        <w:tc>
          <w:tcPr>
            <w:tcW w:w="2070" w:type="dxa"/>
            <w:tcBorders>
              <w:top w:val="single" w:sz="4" w:space="0" w:color="000000"/>
              <w:left w:val="single" w:sz="8" w:space="0" w:color="000000"/>
              <w:bottom w:val="single" w:sz="4" w:space="0" w:color="000000"/>
              <w:right w:val="single" w:sz="8" w:space="0" w:color="000000"/>
            </w:tcBorders>
          </w:tcPr>
          <w:p w14:paraId="2A9940B3" w14:textId="77777777" w:rsidR="005858CD" w:rsidRPr="005858CD" w:rsidRDefault="005858CD" w:rsidP="008C041F">
            <w:r w:rsidRPr="005858CD">
              <w:rPr>
                <w:b/>
                <w:bCs/>
                <w:sz w:val="28"/>
                <w:szCs w:val="28"/>
                <w:lang w:val="es-HN"/>
              </w:rPr>
              <w:t>|__|  |__| _____</w:t>
            </w:r>
          </w:p>
        </w:tc>
        <w:tc>
          <w:tcPr>
            <w:tcW w:w="1260" w:type="dxa"/>
            <w:tcBorders>
              <w:top w:val="single" w:sz="4" w:space="0" w:color="000000"/>
              <w:left w:val="single" w:sz="8" w:space="0" w:color="000000"/>
              <w:bottom w:val="single" w:sz="4" w:space="0" w:color="000000"/>
              <w:right w:val="single" w:sz="4" w:space="0" w:color="000000"/>
            </w:tcBorders>
          </w:tcPr>
          <w:p w14:paraId="5453D57D"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r w:rsidR="005858CD" w:rsidRPr="005858CD" w14:paraId="0E8559BD" w14:textId="77777777" w:rsidTr="00873A6E">
        <w:trPr>
          <w:trHeight w:val="288"/>
        </w:trPr>
        <w:tc>
          <w:tcPr>
            <w:tcW w:w="450" w:type="dxa"/>
            <w:tcBorders>
              <w:left w:val="single" w:sz="12" w:space="0" w:color="000000"/>
              <w:right w:val="single" w:sz="4" w:space="0" w:color="000000"/>
            </w:tcBorders>
          </w:tcPr>
          <w:p w14:paraId="2B6A5F4B" w14:textId="77777777" w:rsidR="005858CD" w:rsidRPr="005858CD" w:rsidRDefault="005858CD" w:rsidP="008C041F">
            <w:pPr>
              <w:rPr>
                <w:rFonts w:ascii="Arial" w:hAnsi="Arial" w:cs="Arial"/>
                <w:bCs/>
                <w:color w:val="000000"/>
                <w:sz w:val="18"/>
              </w:rPr>
            </w:pPr>
            <w:r w:rsidRPr="005858CD">
              <w:rPr>
                <w:rFonts w:ascii="Arial" w:hAnsi="Arial" w:cs="Arial"/>
                <w:bCs/>
                <w:color w:val="000000"/>
                <w:sz w:val="18"/>
              </w:rPr>
              <w:t>E</w:t>
            </w:r>
          </w:p>
        </w:tc>
        <w:tc>
          <w:tcPr>
            <w:tcW w:w="1350" w:type="dxa"/>
            <w:gridSpan w:val="2"/>
            <w:tcBorders>
              <w:top w:val="single" w:sz="4" w:space="0" w:color="000000"/>
              <w:left w:val="single" w:sz="4" w:space="0" w:color="000000"/>
              <w:bottom w:val="single" w:sz="4" w:space="0" w:color="000000"/>
              <w:right w:val="single" w:sz="8" w:space="0" w:color="000000"/>
            </w:tcBorders>
            <w:vAlign w:val="center"/>
          </w:tcPr>
          <w:p w14:paraId="2AD68CAD" w14:textId="77777777" w:rsidR="005858CD" w:rsidRPr="005858CD" w:rsidRDefault="005858CD" w:rsidP="008C041F">
            <w:pPr>
              <w:rPr>
                <w:rFonts w:ascii="Arial" w:hAnsi="Arial" w:cs="Arial"/>
                <w:color w:val="000000"/>
                <w:sz w:val="18"/>
                <w:szCs w:val="18"/>
                <w:highlight w:val="yellow"/>
              </w:rPr>
            </w:pPr>
          </w:p>
        </w:tc>
        <w:tc>
          <w:tcPr>
            <w:tcW w:w="2070" w:type="dxa"/>
            <w:tcBorders>
              <w:top w:val="single" w:sz="4" w:space="0" w:color="000000"/>
              <w:left w:val="single" w:sz="8" w:space="0" w:color="000000"/>
              <w:bottom w:val="single" w:sz="4" w:space="0" w:color="000000"/>
              <w:right w:val="single" w:sz="8" w:space="0" w:color="000000"/>
            </w:tcBorders>
          </w:tcPr>
          <w:p w14:paraId="03DF86D1" w14:textId="77777777" w:rsidR="005858CD" w:rsidRPr="005858CD" w:rsidRDefault="005858CD" w:rsidP="008C041F">
            <w:r w:rsidRPr="005858CD">
              <w:rPr>
                <w:b/>
                <w:bCs/>
                <w:sz w:val="28"/>
                <w:szCs w:val="28"/>
                <w:lang w:val="es-HN"/>
              </w:rPr>
              <w:t>|__|  |__| _____</w:t>
            </w:r>
          </w:p>
        </w:tc>
        <w:tc>
          <w:tcPr>
            <w:tcW w:w="1260" w:type="dxa"/>
            <w:tcBorders>
              <w:top w:val="single" w:sz="4" w:space="0" w:color="000000"/>
              <w:left w:val="single" w:sz="8" w:space="0" w:color="000000"/>
              <w:bottom w:val="single" w:sz="4" w:space="0" w:color="000000"/>
              <w:right w:val="single" w:sz="4" w:space="0" w:color="000000"/>
            </w:tcBorders>
          </w:tcPr>
          <w:p w14:paraId="3143BBB8" w14:textId="77777777" w:rsidR="005858CD" w:rsidRPr="005858CD" w:rsidRDefault="005858CD" w:rsidP="008C041F">
            <w:pPr>
              <w:jc w:val="center"/>
            </w:pPr>
            <w:r w:rsidRPr="005858CD">
              <w:rPr>
                <w:b/>
                <w:bCs/>
                <w:color w:val="000000"/>
                <w:sz w:val="28"/>
                <w:szCs w:val="28"/>
              </w:rPr>
              <w:t>|__</w:t>
            </w:r>
            <w:r w:rsidRPr="005858CD">
              <w:rPr>
                <w:b/>
                <w:bCs/>
                <w:color w:val="000000"/>
                <w:sz w:val="16"/>
                <w:szCs w:val="16"/>
              </w:rPr>
              <w:t>|</w:t>
            </w:r>
            <w:r w:rsidRPr="005858CD">
              <w:rPr>
                <w:b/>
                <w:bCs/>
                <w:color w:val="000000"/>
                <w:sz w:val="28"/>
                <w:szCs w:val="28"/>
              </w:rPr>
              <w:t>__|</w:t>
            </w:r>
          </w:p>
        </w:tc>
      </w:tr>
    </w:tbl>
    <w:p w14:paraId="2CD05D9C" w14:textId="77777777" w:rsidR="005858CD" w:rsidRPr="005858CD" w:rsidRDefault="005858CD" w:rsidP="008C041F">
      <w:pPr>
        <w:rPr>
          <w:vanish/>
        </w:rPr>
      </w:pPr>
    </w:p>
    <w:p w14:paraId="50A3FB1E" w14:textId="77777777" w:rsidR="005858CD" w:rsidRPr="005858CD" w:rsidRDefault="005858CD" w:rsidP="008C041F">
      <w:pPr>
        <w:rPr>
          <w:rFonts w:ascii="Book Antiqua" w:hAnsi="Book Antiqua" w:cs="Arial"/>
          <w:sz w:val="16"/>
          <w:szCs w:val="16"/>
        </w:rPr>
      </w:pPr>
    </w:p>
    <w:p w14:paraId="3DE598BF" w14:textId="77777777" w:rsidR="005858CD" w:rsidRPr="005858CD" w:rsidRDefault="005858CD" w:rsidP="008C041F">
      <w:pPr>
        <w:rPr>
          <w:rFonts w:ascii="Book Antiqua" w:hAnsi="Book Antiqua" w:cs="Arial"/>
          <w:sz w:val="16"/>
          <w:szCs w:val="16"/>
        </w:rPr>
      </w:pPr>
    </w:p>
    <w:p w14:paraId="2C21B1FA" w14:textId="77777777" w:rsidR="005858CD" w:rsidRPr="005858CD" w:rsidRDefault="005858CD" w:rsidP="008C041F">
      <w:pPr>
        <w:rPr>
          <w:rFonts w:ascii="Book Antiqua" w:hAnsi="Book Antiqua" w:cs="Arial"/>
          <w:b/>
          <w:bCs/>
          <w:noProof/>
          <w:sz w:val="22"/>
          <w:szCs w:val="22"/>
        </w:rPr>
      </w:pPr>
    </w:p>
    <w:p w14:paraId="23B58E73" w14:textId="77777777" w:rsidR="005858CD" w:rsidRPr="005858CD" w:rsidRDefault="005858CD" w:rsidP="008C041F">
      <w:pPr>
        <w:rPr>
          <w:rFonts w:ascii="Book Antiqua" w:hAnsi="Book Antiqua" w:cs="Arial"/>
          <w:b/>
          <w:bCs/>
          <w:noProof/>
          <w:sz w:val="22"/>
          <w:szCs w:val="22"/>
        </w:rPr>
      </w:pPr>
      <w:r w:rsidRPr="005858CD">
        <w:rPr>
          <w:rFonts w:ascii="Book Antiqua" w:hAnsi="Book Antiqua" w:cs="Arial"/>
          <w:b/>
          <w:bCs/>
          <w:noProof/>
          <w:sz w:val="22"/>
          <w:szCs w:val="22"/>
        </w:rPr>
        <w:t>Al finalizar la entrevista:</w:t>
      </w:r>
    </w:p>
    <w:tbl>
      <w:tblPr>
        <w:tblpPr w:leftFromText="180" w:rightFromText="180" w:vertAnchor="text" w:horzAnchor="margin" w:tblpY="160"/>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2453"/>
        <w:gridCol w:w="3127"/>
      </w:tblGrid>
      <w:tr w:rsidR="005858CD" w:rsidRPr="005858CD" w14:paraId="2247C84A" w14:textId="77777777" w:rsidTr="00873A6E">
        <w:tc>
          <w:tcPr>
            <w:tcW w:w="5508" w:type="dxa"/>
            <w:tcBorders>
              <w:top w:val="single" w:sz="8" w:space="0" w:color="auto"/>
              <w:left w:val="single" w:sz="12" w:space="0" w:color="auto"/>
              <w:bottom w:val="single" w:sz="12" w:space="0" w:color="auto"/>
              <w:right w:val="single" w:sz="8" w:space="0" w:color="auto"/>
            </w:tcBorders>
          </w:tcPr>
          <w:p w14:paraId="0726A853" w14:textId="77777777" w:rsidR="005858CD" w:rsidRPr="005858CD" w:rsidRDefault="005858CD" w:rsidP="008C041F">
            <w:pPr>
              <w:ind w:right="-11"/>
              <w:rPr>
                <w:rFonts w:ascii="Book Antiqua" w:eastAsia="Arial Unicode MS" w:hAnsi="Book Antiqua" w:cs="Arial"/>
                <w:b/>
                <w:color w:val="000000"/>
                <w:sz w:val="20"/>
                <w:szCs w:val="20"/>
              </w:rPr>
            </w:pPr>
            <w:r w:rsidRPr="005858CD">
              <w:rPr>
                <w:rFonts w:ascii="Book Antiqua" w:eastAsia="Arial Unicode MS" w:hAnsi="Book Antiqua" w:cs="Arial"/>
                <w:b/>
                <w:color w:val="212121"/>
                <w:sz w:val="20"/>
                <w:szCs w:val="20"/>
                <w:lang w:val="es-NI"/>
              </w:rPr>
              <w:t>(Para entrevistador/a) ¿En algún momento tuvo que interrumpir la entrevista porque alguien intentaba escuchar o interfería de alguna manera?</w:t>
            </w:r>
            <w:r w:rsidRPr="005858CD">
              <w:rPr>
                <w:rFonts w:ascii="Book Antiqua" w:eastAsia="Arial Unicode MS" w:hAnsi="Book Antiqua" w:cs="Arial"/>
                <w:b/>
                <w:color w:val="212121"/>
                <w:sz w:val="16"/>
                <w:szCs w:val="16"/>
                <w:lang w:val="es-NI"/>
              </w:rPr>
              <w:t xml:space="preserve">  </w:t>
            </w:r>
          </w:p>
        </w:tc>
        <w:tc>
          <w:tcPr>
            <w:tcW w:w="2453" w:type="dxa"/>
            <w:tcBorders>
              <w:top w:val="single" w:sz="8" w:space="0" w:color="auto"/>
              <w:left w:val="single" w:sz="8" w:space="0" w:color="auto"/>
              <w:bottom w:val="single" w:sz="12" w:space="0" w:color="auto"/>
              <w:right w:val="single" w:sz="8" w:space="0" w:color="auto"/>
            </w:tcBorders>
          </w:tcPr>
          <w:p w14:paraId="711423C2" w14:textId="77777777" w:rsidR="005858CD" w:rsidRPr="005858CD" w:rsidRDefault="005858CD" w:rsidP="00293176">
            <w:pPr>
              <w:ind w:right="-11"/>
              <w:rPr>
                <w:rFonts w:ascii="Book Antiqua" w:eastAsia="Arial Unicode MS" w:hAnsi="Book Antiqua" w:cs="Arial"/>
                <w:color w:val="000000"/>
                <w:sz w:val="16"/>
                <w:szCs w:val="16"/>
                <w:lang w:val="es-NI"/>
              </w:rPr>
            </w:pPr>
            <w:r w:rsidRPr="005858CD">
              <w:rPr>
                <w:rFonts w:ascii="Book Antiqua" w:eastAsia="Arial Unicode MS" w:hAnsi="Book Antiqua" w:cs="Arial"/>
                <w:color w:val="000000"/>
                <w:sz w:val="16"/>
                <w:szCs w:val="16"/>
                <w:lang w:val="es-NI"/>
              </w:rPr>
              <w:t>1=  Si, una vez</w:t>
            </w:r>
          </w:p>
          <w:p w14:paraId="2CACBEBE" w14:textId="77777777" w:rsidR="005858CD" w:rsidRPr="005858CD" w:rsidRDefault="005858CD" w:rsidP="00293176">
            <w:pPr>
              <w:ind w:right="-11"/>
              <w:rPr>
                <w:rFonts w:ascii="Book Antiqua" w:eastAsia="Arial Unicode MS" w:hAnsi="Book Antiqua" w:cs="Arial"/>
                <w:color w:val="000000"/>
                <w:sz w:val="16"/>
                <w:szCs w:val="16"/>
                <w:lang w:val="es-NI"/>
              </w:rPr>
            </w:pPr>
            <w:r w:rsidRPr="005858CD">
              <w:rPr>
                <w:rFonts w:ascii="Book Antiqua" w:eastAsia="Arial Unicode MS" w:hAnsi="Book Antiqua" w:cs="Arial"/>
                <w:color w:val="000000"/>
                <w:sz w:val="16"/>
                <w:szCs w:val="16"/>
                <w:lang w:val="es-NI"/>
              </w:rPr>
              <w:t>2 = Si, más de una vez</w:t>
            </w:r>
          </w:p>
          <w:p w14:paraId="7A1E3CD6" w14:textId="77777777" w:rsidR="005858CD" w:rsidRPr="005858CD" w:rsidRDefault="005858CD" w:rsidP="00293176">
            <w:pPr>
              <w:ind w:right="-11"/>
              <w:rPr>
                <w:rFonts w:ascii="Book Antiqua" w:eastAsia="Arial Unicode MS" w:hAnsi="Book Antiqua" w:cs="Arial"/>
                <w:iCs/>
                <w:color w:val="000000"/>
                <w:sz w:val="20"/>
                <w:szCs w:val="20"/>
              </w:rPr>
            </w:pPr>
            <w:r w:rsidRPr="005858CD">
              <w:rPr>
                <w:rFonts w:ascii="Book Antiqua" w:eastAsia="Arial Unicode MS" w:hAnsi="Book Antiqua" w:cs="Arial"/>
                <w:color w:val="000000"/>
                <w:sz w:val="16"/>
                <w:szCs w:val="16"/>
              </w:rPr>
              <w:t>3 = No</w:t>
            </w:r>
          </w:p>
        </w:tc>
        <w:tc>
          <w:tcPr>
            <w:tcW w:w="3127" w:type="dxa"/>
            <w:tcBorders>
              <w:left w:val="single" w:sz="8" w:space="0" w:color="auto"/>
              <w:bottom w:val="single" w:sz="12" w:space="0" w:color="auto"/>
              <w:right w:val="single" w:sz="12" w:space="0" w:color="auto"/>
            </w:tcBorders>
            <w:vAlign w:val="center"/>
          </w:tcPr>
          <w:p w14:paraId="7510D852" w14:textId="77777777" w:rsidR="005858CD" w:rsidRPr="005858CD" w:rsidRDefault="005858CD" w:rsidP="00293176">
            <w:pPr>
              <w:ind w:right="-11"/>
              <w:jc w:val="center"/>
              <w:rPr>
                <w:rFonts w:ascii="Book Antiqua" w:eastAsia="Arial Unicode MS" w:hAnsi="Book Antiqua"/>
                <w:color w:val="000000"/>
                <w:sz w:val="20"/>
                <w:szCs w:val="20"/>
              </w:rPr>
            </w:pPr>
            <w:r w:rsidRPr="005858CD">
              <w:rPr>
                <w:rFonts w:ascii="Book Antiqua" w:eastAsia="Arial Unicode MS" w:hAnsi="Book Antiqua"/>
                <w:b/>
                <w:bCs/>
                <w:sz w:val="20"/>
                <w:szCs w:val="20"/>
              </w:rPr>
              <w:t xml:space="preserve">|__|  </w:t>
            </w:r>
          </w:p>
        </w:tc>
      </w:tr>
    </w:tbl>
    <w:p w14:paraId="2A09AE33" w14:textId="77777777" w:rsidR="008C041F" w:rsidRDefault="008C041F" w:rsidP="008C041F">
      <w:pPr>
        <w:rPr>
          <w:rFonts w:ascii="Arial" w:hAnsi="Arial" w:cs="Arial"/>
          <w:b/>
          <w:bCs/>
          <w:noProof/>
          <w:sz w:val="28"/>
          <w:szCs w:val="20"/>
        </w:rPr>
        <w:sectPr w:rsidR="008C041F" w:rsidSect="00E8452E">
          <w:footerReference w:type="default" r:id="rId115"/>
          <w:pgSz w:w="16840" w:h="11900" w:orient="landscape"/>
          <w:pgMar w:top="2160" w:right="1440" w:bottom="1440" w:left="1440" w:header="720" w:footer="720" w:gutter="0"/>
          <w:cols w:space="720"/>
          <w:docGrid w:linePitch="360"/>
        </w:sectPr>
      </w:pPr>
    </w:p>
    <w:p w14:paraId="3AC9DC44" w14:textId="6F4699CF" w:rsidR="005858CD" w:rsidRPr="005858CD" w:rsidRDefault="005858CD" w:rsidP="00293176">
      <w:pPr>
        <w:pStyle w:val="Heading1"/>
      </w:pPr>
      <w:bookmarkStart w:id="191" w:name="_Toc526819388"/>
      <w:r w:rsidRPr="005858CD">
        <w:lastRenderedPageBreak/>
        <w:t xml:space="preserve">APPENDIX </w:t>
      </w:r>
      <w:r w:rsidR="008C041F">
        <w:t>F</w:t>
      </w:r>
      <w:r w:rsidRPr="005858CD">
        <w:t>: TUVI 1: VISUAL ICONS AND PHOTO OF CLOCK FACE</w:t>
      </w:r>
      <w:bookmarkEnd w:id="191"/>
    </w:p>
    <w:p w14:paraId="6D13E0A9" w14:textId="77777777" w:rsidR="005858CD" w:rsidRPr="005858CD" w:rsidRDefault="005858CD" w:rsidP="008C041F">
      <w:pPr>
        <w:rPr>
          <w:rFonts w:eastAsiaTheme="minorHAnsi"/>
        </w:rPr>
      </w:pPr>
    </w:p>
    <w:p w14:paraId="2E9EA9EF" w14:textId="77777777" w:rsidR="005858CD" w:rsidRPr="005858CD" w:rsidRDefault="005858CD" w:rsidP="008C041F">
      <w:pPr>
        <w:rPr>
          <w:rFonts w:eastAsiaTheme="minorHAnsi"/>
        </w:rPr>
      </w:pPr>
    </w:p>
    <w:p w14:paraId="17E9F717" w14:textId="77777777" w:rsidR="005858CD" w:rsidRPr="005858CD" w:rsidRDefault="00446307" w:rsidP="008C041F">
      <w:pPr>
        <w:rPr>
          <w:rFonts w:eastAsiaTheme="minorHAnsi"/>
        </w:rPr>
      </w:pPr>
      <w:r w:rsidRPr="00570458">
        <w:rPr>
          <w:rFonts w:eastAsiaTheme="minorHAnsi"/>
          <w:noProof/>
        </w:rPr>
        <w:object w:dxaOrig="21900" w:dyaOrig="27140" w14:anchorId="1734B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1.25pt;height:575.25pt;mso-width-percent:0;mso-height-percent:0;mso-width-percent:0;mso-height-percent:0" o:ole="">
            <v:imagedata r:id="rId116" o:title=""/>
          </v:shape>
          <o:OLEObject Type="Embed" ProgID="Excel.Sheet.12" ShapeID="_x0000_i1025" DrawAspect="Content" ObjectID="_1603614937" r:id="rId117"/>
        </w:object>
      </w:r>
    </w:p>
    <w:p w14:paraId="05B8E8DA" w14:textId="77777777" w:rsidR="005858CD" w:rsidRPr="005858CD" w:rsidRDefault="005858CD">
      <w:pPr>
        <w:rPr>
          <w:rFonts w:eastAsiaTheme="minorHAnsi"/>
        </w:rPr>
      </w:pPr>
    </w:p>
    <w:p w14:paraId="21C9AF37" w14:textId="77777777" w:rsidR="005858CD" w:rsidRPr="005858CD" w:rsidRDefault="005858CD">
      <w:pPr>
        <w:rPr>
          <w:rFonts w:eastAsiaTheme="minorHAnsi"/>
        </w:rPr>
      </w:pPr>
      <w:r w:rsidRPr="005858CD">
        <w:rPr>
          <w:rFonts w:eastAsiaTheme="minorHAnsi"/>
          <w:b/>
          <w:noProof/>
          <w:u w:val="single"/>
          <w:lang w:eastAsia="en-GB"/>
        </w:rPr>
        <w:lastRenderedPageBreak/>
        <w:drawing>
          <wp:inline distT="0" distB="0" distL="0" distR="0" wp14:anchorId="27C427D2" wp14:editId="2B387C3B">
            <wp:extent cx="5156835" cy="3641240"/>
            <wp:effectExtent l="0" t="0" r="0" b="0"/>
            <wp:docPr id="43" name="Picture 43" descr="../FullSizeRende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ender%20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93312" cy="3666996"/>
                    </a:xfrm>
                    <a:prstGeom prst="rect">
                      <a:avLst/>
                    </a:prstGeom>
                    <a:noFill/>
                    <a:ln>
                      <a:noFill/>
                    </a:ln>
                  </pic:spPr>
                </pic:pic>
              </a:graphicData>
            </a:graphic>
          </wp:inline>
        </w:drawing>
      </w:r>
    </w:p>
    <w:p w14:paraId="5153976A" w14:textId="77777777" w:rsidR="005858CD" w:rsidRPr="005858CD" w:rsidRDefault="005858CD">
      <w:pPr>
        <w:rPr>
          <w:rFonts w:eastAsiaTheme="minorHAnsi"/>
        </w:rPr>
      </w:pPr>
    </w:p>
    <w:p w14:paraId="0EE48D76" w14:textId="77777777" w:rsidR="005858CD" w:rsidRPr="005858CD" w:rsidRDefault="005858CD">
      <w:pPr>
        <w:rPr>
          <w:rFonts w:eastAsiaTheme="minorHAnsi"/>
        </w:rPr>
      </w:pPr>
    </w:p>
    <w:p w14:paraId="71139412" w14:textId="77777777" w:rsidR="005858CD" w:rsidRPr="005858CD" w:rsidRDefault="005858CD">
      <w:pPr>
        <w:rPr>
          <w:rFonts w:eastAsiaTheme="minorHAnsi"/>
          <w:b/>
          <w:u w:val="single"/>
        </w:rPr>
      </w:pPr>
    </w:p>
    <w:p w14:paraId="17247D30" w14:textId="77777777" w:rsidR="005858CD" w:rsidRPr="005858CD" w:rsidRDefault="005858CD">
      <w:pPr>
        <w:rPr>
          <w:rFonts w:eastAsiaTheme="minorHAnsi"/>
        </w:rPr>
      </w:pPr>
    </w:p>
    <w:p w14:paraId="6DE35DA5" w14:textId="77777777" w:rsidR="005858CD" w:rsidRPr="005858CD" w:rsidRDefault="005858CD">
      <w:pPr>
        <w:rPr>
          <w:rFonts w:eastAsiaTheme="minorHAnsi"/>
        </w:rPr>
      </w:pPr>
    </w:p>
    <w:p w14:paraId="468C8085" w14:textId="77777777" w:rsidR="005858CD" w:rsidRPr="005858CD" w:rsidRDefault="005858CD">
      <w:pPr>
        <w:rPr>
          <w:rFonts w:eastAsiaTheme="minorHAnsi"/>
        </w:rPr>
      </w:pPr>
    </w:p>
    <w:p w14:paraId="172B58A4" w14:textId="77777777" w:rsidR="005858CD" w:rsidRPr="005858CD" w:rsidRDefault="005858CD">
      <w:pPr>
        <w:rPr>
          <w:rFonts w:eastAsiaTheme="minorHAnsi"/>
        </w:rPr>
      </w:pPr>
    </w:p>
    <w:p w14:paraId="06F9B963" w14:textId="77777777" w:rsidR="008C041F" w:rsidRDefault="008C041F" w:rsidP="00FE246F">
      <w:pPr>
        <w:rPr>
          <w:rFonts w:eastAsiaTheme="minorHAnsi"/>
          <w:b/>
          <w:u w:val="single"/>
        </w:rPr>
        <w:sectPr w:rsidR="008C041F" w:rsidSect="008C041F">
          <w:pgSz w:w="11900" w:h="16840"/>
          <w:pgMar w:top="1440" w:right="1440" w:bottom="1440" w:left="2160" w:header="720" w:footer="720" w:gutter="0"/>
          <w:cols w:space="720"/>
          <w:docGrid w:linePitch="360"/>
        </w:sectPr>
      </w:pPr>
    </w:p>
    <w:p w14:paraId="2B919099" w14:textId="2B7EA06C" w:rsidR="008C041F" w:rsidRPr="005858CD" w:rsidRDefault="008C041F" w:rsidP="00293176">
      <w:pPr>
        <w:pStyle w:val="Heading1"/>
      </w:pPr>
      <w:bookmarkStart w:id="192" w:name="_Toc526819389"/>
      <w:r>
        <w:lastRenderedPageBreak/>
        <w:t>APPENDIX G: FOCUS GROUP SCHEDULE, WORKSHOP PLAN, AND QUESTIONS</w:t>
      </w:r>
      <w:bookmarkEnd w:id="192"/>
    </w:p>
    <w:p w14:paraId="5B7B6763" w14:textId="278990F0" w:rsidR="005858CD" w:rsidRPr="005858CD" w:rsidRDefault="005858CD" w:rsidP="00293176">
      <w:pPr>
        <w:pStyle w:val="Heading1"/>
      </w:pPr>
    </w:p>
    <w:p w14:paraId="283A38F7" w14:textId="77777777" w:rsidR="005858CD" w:rsidRPr="005858CD" w:rsidRDefault="005858CD">
      <w:pPr>
        <w:rPr>
          <w:rFonts w:eastAsiaTheme="minorHAnsi"/>
        </w:rPr>
      </w:pPr>
    </w:p>
    <w:p w14:paraId="5CA81E6A" w14:textId="77777777" w:rsidR="005858CD" w:rsidRPr="005858CD" w:rsidRDefault="005858CD">
      <w:pPr>
        <w:contextualSpacing/>
        <w:rPr>
          <w:rFonts w:asciiTheme="majorHAnsi" w:eastAsiaTheme="majorEastAsia" w:hAnsiTheme="majorHAnsi" w:cstheme="majorBidi"/>
          <w:spacing w:val="-10"/>
          <w:kern w:val="28"/>
          <w:sz w:val="56"/>
          <w:szCs w:val="50"/>
          <w:lang w:val="es-AR" w:bidi="sd-Deva-IN"/>
        </w:rPr>
      </w:pPr>
      <w:r w:rsidRPr="005858CD">
        <w:rPr>
          <w:rFonts w:asciiTheme="majorHAnsi" w:eastAsiaTheme="majorEastAsia" w:hAnsiTheme="majorHAnsi" w:cstheme="majorBidi"/>
          <w:spacing w:val="-10"/>
          <w:kern w:val="28"/>
          <w:sz w:val="56"/>
          <w:szCs w:val="50"/>
          <w:lang w:val="es-AR" w:bidi="sd-Deva-IN"/>
        </w:rPr>
        <w:t>Grupo Focal:</w:t>
      </w:r>
    </w:p>
    <w:p w14:paraId="38A3BBAC" w14:textId="77777777" w:rsidR="005858CD" w:rsidRPr="005858CD" w:rsidRDefault="005858CD">
      <w:pPr>
        <w:rPr>
          <w:rFonts w:asciiTheme="minorHAnsi" w:eastAsiaTheme="minorHAnsi" w:hAnsiTheme="minorHAnsi" w:cstheme="minorBidi"/>
          <w:lang w:val="es-AR"/>
        </w:rPr>
      </w:pPr>
    </w:p>
    <w:p w14:paraId="7C63964A"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b/>
          <w:bCs/>
          <w:lang w:val="es-AR"/>
        </w:rPr>
        <w:t>Fecha</w:t>
      </w:r>
      <w:r w:rsidRPr="005858CD">
        <w:rPr>
          <w:rFonts w:asciiTheme="minorHAnsi" w:eastAsiaTheme="minorHAnsi" w:hAnsiTheme="minorHAnsi" w:cstheme="minorBidi"/>
          <w:lang w:val="es-AR"/>
        </w:rPr>
        <w:t>: 6 de febrero</w:t>
      </w:r>
    </w:p>
    <w:p w14:paraId="138988CD"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b/>
          <w:bCs/>
          <w:lang w:val="es-AR"/>
        </w:rPr>
        <w:t>Hora:</w:t>
      </w:r>
      <w:r w:rsidRPr="005858CD">
        <w:rPr>
          <w:rFonts w:asciiTheme="minorHAnsi" w:eastAsiaTheme="minorHAnsi" w:hAnsiTheme="minorHAnsi" w:cstheme="minorBidi"/>
          <w:lang w:val="es-AR"/>
        </w:rPr>
        <w:t xml:space="preserve"> 10-12pm</w:t>
      </w:r>
    </w:p>
    <w:p w14:paraId="1E51D3F3"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b/>
          <w:bCs/>
          <w:lang w:val="es-AR"/>
        </w:rPr>
        <w:t>No. personas:</w:t>
      </w:r>
      <w:r w:rsidRPr="005858CD">
        <w:rPr>
          <w:rFonts w:asciiTheme="minorHAnsi" w:eastAsiaTheme="minorHAnsi" w:hAnsiTheme="minorHAnsi" w:cstheme="minorBidi"/>
          <w:lang w:val="es-AR"/>
        </w:rPr>
        <w:t xml:space="preserve"> 15 parejas</w:t>
      </w:r>
    </w:p>
    <w:p w14:paraId="443CE2F3" w14:textId="77777777" w:rsidR="005858CD" w:rsidRPr="005858CD" w:rsidRDefault="005858CD">
      <w:pPr>
        <w:rPr>
          <w:rFonts w:asciiTheme="minorHAnsi" w:eastAsiaTheme="minorHAnsi" w:hAnsiTheme="minorHAnsi" w:cstheme="minorBidi"/>
          <w:lang w:val="es-AR"/>
        </w:rPr>
      </w:pPr>
    </w:p>
    <w:p w14:paraId="6EDB5DAA" w14:textId="77777777" w:rsidR="005858CD" w:rsidRPr="005858CD" w:rsidRDefault="005858CD">
      <w:pPr>
        <w:rPr>
          <w:rFonts w:asciiTheme="minorHAnsi" w:eastAsiaTheme="minorHAnsi" w:hAnsiTheme="minorHAnsi" w:cstheme="minorBidi"/>
          <w:b/>
          <w:bCs/>
          <w:u w:val="single"/>
          <w:lang w:val="es-AR"/>
        </w:rPr>
      </w:pPr>
      <w:r w:rsidRPr="005858CD">
        <w:rPr>
          <w:rFonts w:asciiTheme="minorHAnsi" w:eastAsiaTheme="minorHAnsi" w:hAnsiTheme="minorHAnsi" w:cstheme="minorBidi"/>
          <w:b/>
          <w:bCs/>
          <w:u w:val="single"/>
          <w:lang w:val="es-AR"/>
        </w:rPr>
        <w:t>Plan de grupo focal:</w:t>
      </w:r>
    </w:p>
    <w:p w14:paraId="70A53758"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10am:</w:t>
      </w:r>
      <w:r w:rsidRPr="005858CD">
        <w:rPr>
          <w:rFonts w:asciiTheme="minorHAnsi" w:eastAsiaTheme="minorHAnsi" w:hAnsiTheme="minorHAnsi" w:cstheme="minorBidi"/>
          <w:lang w:val="es-AR"/>
        </w:rPr>
        <w:tab/>
        <w:t>Gia (calentamiento)</w:t>
      </w:r>
      <w:r w:rsidRPr="005858CD">
        <w:rPr>
          <w:rFonts w:asciiTheme="minorHAnsi" w:eastAsiaTheme="minorHAnsi" w:hAnsiTheme="minorHAnsi" w:cstheme="minorBidi"/>
          <w:lang w:val="es-AR"/>
        </w:rPr>
        <w:tab/>
      </w:r>
    </w:p>
    <w:p w14:paraId="0D491D17"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 xml:space="preserve">10.15am: </w:t>
      </w:r>
      <w:r w:rsidRPr="005858CD">
        <w:rPr>
          <w:rFonts w:asciiTheme="minorHAnsi" w:eastAsiaTheme="minorHAnsi" w:hAnsiTheme="minorHAnsi" w:cstheme="minorBidi"/>
          <w:b/>
          <w:bCs/>
          <w:lang w:val="es-AR"/>
        </w:rPr>
        <w:t>Imagen de la hora</w:t>
      </w:r>
      <w:r w:rsidRPr="005858CD">
        <w:rPr>
          <w:rFonts w:asciiTheme="minorHAnsi" w:eastAsiaTheme="minorHAnsi" w:hAnsiTheme="minorHAnsi" w:cstheme="minorBidi"/>
          <w:lang w:val="es-AR"/>
        </w:rPr>
        <w:t xml:space="preserve"> (30mins) y como se siente al final del día en pareja con una palabra.  Cosecha y un día en Junio (¿?)</w:t>
      </w:r>
    </w:p>
    <w:p w14:paraId="48EDA10B"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10.450am: Hombres // ACTIVIDAD 1 &amp; 2.</w:t>
      </w:r>
    </w:p>
    <w:p w14:paraId="5F480AD8"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11.45am: Mujeres // ACTIVIDAD 1 &amp; 2.</w:t>
      </w:r>
    </w:p>
    <w:p w14:paraId="69D4F73A" w14:textId="77777777" w:rsidR="005858CD" w:rsidRPr="005858CD" w:rsidRDefault="005858CD">
      <w:pPr>
        <w:rPr>
          <w:rFonts w:asciiTheme="minorHAnsi" w:eastAsiaTheme="minorHAnsi" w:hAnsiTheme="minorHAnsi" w:cstheme="minorBidi"/>
          <w:i/>
          <w:iCs/>
          <w:lang w:val="es-AR"/>
        </w:rPr>
      </w:pPr>
      <w:r w:rsidRPr="005858CD">
        <w:rPr>
          <w:rFonts w:asciiTheme="minorHAnsi" w:eastAsiaTheme="minorHAnsi" w:hAnsiTheme="minorHAnsi" w:cstheme="minorBidi"/>
          <w:lang w:val="es-AR"/>
        </w:rPr>
        <w:t>--</w:t>
      </w:r>
      <w:r w:rsidRPr="005858CD">
        <w:rPr>
          <w:rFonts w:asciiTheme="minorHAnsi" w:eastAsiaTheme="minorHAnsi" w:hAnsiTheme="minorHAnsi" w:cstheme="minorBidi"/>
          <w:i/>
          <w:iCs/>
          <w:lang w:val="es-AR"/>
        </w:rPr>
        <w:t xml:space="preserve">OPCIONES actividades mientras que hacemos el grupo focal: </w:t>
      </w:r>
    </w:p>
    <w:p w14:paraId="2A1D6874" w14:textId="77777777" w:rsidR="005858CD" w:rsidRPr="005858CD" w:rsidRDefault="005858CD">
      <w:pPr>
        <w:rPr>
          <w:rFonts w:asciiTheme="minorHAnsi" w:eastAsiaTheme="minorHAnsi" w:hAnsiTheme="minorHAnsi" w:cstheme="minorBidi"/>
          <w:i/>
          <w:iCs/>
          <w:lang w:val="es-AR"/>
        </w:rPr>
      </w:pPr>
      <w:r w:rsidRPr="005858CD">
        <w:rPr>
          <w:rFonts w:asciiTheme="minorHAnsi" w:eastAsiaTheme="minorHAnsi" w:hAnsiTheme="minorHAnsi" w:cstheme="minorBidi"/>
          <w:i/>
          <w:iCs/>
          <w:lang w:val="es-AR"/>
        </w:rPr>
        <w:t>ACTIVIDAD 1: Relacionado al ajonjolí (directo o indirecto) cuales son los trabajos que haces y cuánto tiempo toma cada uno (40mins). Ritual de la cosecha: Actuación (imagen) y levantar información a la vez.</w:t>
      </w:r>
    </w:p>
    <w:p w14:paraId="453CF1B2" w14:textId="77777777" w:rsidR="005858CD" w:rsidRPr="005858CD" w:rsidRDefault="005858CD">
      <w:pPr>
        <w:rPr>
          <w:rFonts w:asciiTheme="minorHAnsi" w:eastAsiaTheme="minorHAnsi" w:hAnsiTheme="minorHAnsi" w:cstheme="minorBidi"/>
          <w:i/>
          <w:iCs/>
          <w:lang w:val="es-AR"/>
        </w:rPr>
      </w:pPr>
      <w:r w:rsidRPr="005858CD">
        <w:rPr>
          <w:rFonts w:asciiTheme="minorHAnsi" w:eastAsiaTheme="minorHAnsi" w:hAnsiTheme="minorHAnsi" w:cstheme="minorBidi"/>
          <w:i/>
          <w:iCs/>
          <w:lang w:val="es-AR"/>
        </w:rPr>
        <w:t>ACTIVIDAD 2: Construir el ciclo agrícola = Mes por mes lo que hacen y cuales mes son lo más pesados. (20mins)</w:t>
      </w:r>
    </w:p>
    <w:p w14:paraId="4E112569"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12.45pm Presentar los días y el ciclo y discutir las diferencias</w:t>
      </w:r>
    </w:p>
    <w:p w14:paraId="02D50EA1"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1:00pm Dinámica para terminar</w:t>
      </w:r>
    </w:p>
    <w:p w14:paraId="429EF607"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1.15pm</w:t>
      </w:r>
    </w:p>
    <w:p w14:paraId="67514595" w14:textId="77777777" w:rsidR="005858CD" w:rsidRPr="005858CD" w:rsidRDefault="005858CD">
      <w:pPr>
        <w:rPr>
          <w:rFonts w:asciiTheme="minorHAnsi" w:eastAsiaTheme="minorHAnsi" w:hAnsiTheme="minorHAnsi" w:cstheme="minorBidi"/>
          <w:b/>
          <w:bCs/>
          <w:lang w:val="es-AR"/>
        </w:rPr>
      </w:pPr>
    </w:p>
    <w:p w14:paraId="33E74A35" w14:textId="77777777" w:rsidR="005858CD" w:rsidRPr="005858CD" w:rsidRDefault="005858CD">
      <w:pPr>
        <w:rPr>
          <w:rFonts w:asciiTheme="minorHAnsi" w:eastAsiaTheme="minorHAnsi" w:hAnsiTheme="minorHAnsi" w:cstheme="minorBidi"/>
          <w:b/>
          <w:bCs/>
          <w:lang w:val="es-AR"/>
        </w:rPr>
      </w:pPr>
      <w:r w:rsidRPr="005858CD">
        <w:rPr>
          <w:rFonts w:asciiTheme="minorHAnsi" w:eastAsiaTheme="minorHAnsi" w:hAnsiTheme="minorHAnsi" w:cstheme="minorBidi"/>
          <w:b/>
          <w:bCs/>
          <w:lang w:val="es-AR"/>
        </w:rPr>
        <w:t>GRUPO FOCAL (60 mins Max). 8-10 preguntas máxima.</w:t>
      </w:r>
    </w:p>
    <w:p w14:paraId="4B16AE5E" w14:textId="77777777" w:rsidR="005858CD" w:rsidRPr="005858CD" w:rsidRDefault="005858CD">
      <w:pPr>
        <w:rPr>
          <w:rFonts w:asciiTheme="minorHAnsi" w:eastAsiaTheme="minorHAnsi" w:hAnsiTheme="minorHAnsi" w:cstheme="minorBidi"/>
          <w:lang w:val="es-AR"/>
        </w:rPr>
      </w:pPr>
      <w:r w:rsidRPr="005858CD">
        <w:rPr>
          <w:rFonts w:asciiTheme="minorHAnsi" w:eastAsiaTheme="minorHAnsi" w:hAnsiTheme="minorHAnsi" w:cstheme="minorBidi"/>
          <w:lang w:val="es-AR"/>
        </w:rPr>
        <w:t>Mujeres:</w:t>
      </w:r>
    </w:p>
    <w:p w14:paraId="402C2131"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¿De todo lo que se hace en el día que es lo que se considera trabajo?  ¿Y si todo este trabajo se paga? ¿Y porque no?</w:t>
      </w:r>
    </w:p>
    <w:p w14:paraId="780234DB"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¿Cuánto horas trabajas diario?</w:t>
      </w:r>
    </w:p>
    <w:p w14:paraId="07B2B085"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¿Cuál actividad se ocupa más tiempo?</w:t>
      </w:r>
    </w:p>
    <w:p w14:paraId="6D2A94A3"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¿Qué es lo que más le cansa?</w:t>
      </w:r>
    </w:p>
    <w:p w14:paraId="15952582"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¿Cuánto tiempo descansas en el día?</w:t>
      </w:r>
    </w:p>
    <w:p w14:paraId="15CC9C1C"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¿Y lo que haces con las mujeres se considera trabajo?</w:t>
      </w:r>
    </w:p>
    <w:p w14:paraId="658D9445"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¿Cuáles de estos trabajos se contribuyen a la producción de ajonjolí?</w:t>
      </w:r>
    </w:p>
    <w:p w14:paraId="037DFA74"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¿Qué es diferente en tu rutina cuando es cosecha?</w:t>
      </w:r>
    </w:p>
    <w:p w14:paraId="12FDF063"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¿Se siente que su aporte/trabajo es valorado? ¿y cómo?</w:t>
      </w:r>
    </w:p>
    <w:p w14:paraId="32FBBAF1"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¿Qué obligaciones tiene cada miembro de la familia? ¿Cómo se decide quien hace que? Y como lo ven cada uno?</w:t>
      </w:r>
    </w:p>
    <w:p w14:paraId="7E3F7322" w14:textId="77777777" w:rsidR="005858CD" w:rsidRPr="005858CD" w:rsidRDefault="005858CD" w:rsidP="00293176">
      <w:pPr>
        <w:numPr>
          <w:ilvl w:val="0"/>
          <w:numId w:val="12"/>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¿Quién decide sobre los ingresos que vos recibes y quien decide sobre los ingresos que tu marido reciba?</w:t>
      </w:r>
    </w:p>
    <w:p w14:paraId="6330D968" w14:textId="77777777" w:rsidR="005858CD" w:rsidRPr="005858CD" w:rsidRDefault="005858CD" w:rsidP="00293176">
      <w:pPr>
        <w:rPr>
          <w:rFonts w:asciiTheme="minorHAnsi" w:eastAsiaTheme="minorHAnsi" w:hAnsiTheme="minorHAnsi" w:cstheme="minorBidi"/>
          <w:lang w:val="es-AR"/>
        </w:rPr>
      </w:pPr>
    </w:p>
    <w:p w14:paraId="641166F0" w14:textId="77777777" w:rsidR="005858CD" w:rsidRPr="005858CD" w:rsidRDefault="005858CD" w:rsidP="00293176">
      <w:pPr>
        <w:spacing w:after="160" w:line="259" w:lineRule="auto"/>
        <w:contextualSpacing/>
        <w:rPr>
          <w:rFonts w:asciiTheme="minorHAnsi" w:eastAsiaTheme="minorHAnsi" w:hAnsiTheme="minorHAnsi" w:cstheme="minorBidi"/>
          <w:sz w:val="22"/>
          <w:szCs w:val="20"/>
          <w:lang w:val="es-AR" w:bidi="sd-Deva-IN"/>
        </w:rPr>
      </w:pPr>
    </w:p>
    <w:p w14:paraId="0AA6DE35" w14:textId="77777777" w:rsidR="005858CD" w:rsidRPr="005858CD" w:rsidRDefault="005858CD" w:rsidP="008C041F">
      <w:pPr>
        <w:rPr>
          <w:rFonts w:asciiTheme="minorHAnsi" w:eastAsiaTheme="minorHAnsi" w:hAnsiTheme="minorHAnsi" w:cstheme="minorBidi"/>
          <w:lang w:val="es-AR"/>
        </w:rPr>
      </w:pPr>
    </w:p>
    <w:p w14:paraId="3EA742A3" w14:textId="77777777" w:rsidR="005858CD" w:rsidRPr="005858CD" w:rsidRDefault="005858CD" w:rsidP="008C041F">
      <w:pPr>
        <w:rPr>
          <w:rFonts w:asciiTheme="minorHAnsi" w:eastAsiaTheme="minorHAnsi" w:hAnsiTheme="minorHAnsi" w:cstheme="minorBidi"/>
          <w:lang w:val="es-AR"/>
        </w:rPr>
      </w:pPr>
      <w:r w:rsidRPr="005858CD">
        <w:rPr>
          <w:rFonts w:asciiTheme="minorHAnsi" w:eastAsiaTheme="minorHAnsi" w:hAnsiTheme="minorHAnsi" w:cstheme="minorBidi"/>
          <w:lang w:val="es-AR"/>
        </w:rPr>
        <w:t>Hombres:</w:t>
      </w:r>
    </w:p>
    <w:p w14:paraId="31B44793"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lastRenderedPageBreak/>
        <w:t>¿Qué se entiende de trabajo no renumerado?</w:t>
      </w:r>
    </w:p>
    <w:p w14:paraId="6C2A9C81"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 xml:space="preserve">¿Qué labores domésticos son tus responsabilidades? </w:t>
      </w:r>
    </w:p>
    <w:p w14:paraId="39C2F35B"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 xml:space="preserve">¿De todo lo que se hacen en la casa se considera trabajo? </w:t>
      </w:r>
    </w:p>
    <w:p w14:paraId="06FEB285"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¿Alguien paga por esto trabajo? ¿y porque crean que no?</w:t>
      </w:r>
    </w:p>
    <w:p w14:paraId="74133E3A"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¿Cuánto horas trabajas diario? Y cuántos de estos trabajas en la casa?</w:t>
      </w:r>
    </w:p>
    <w:p w14:paraId="214733D4"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¿Cuánto tiempo descansas en el día?</w:t>
      </w:r>
    </w:p>
    <w:p w14:paraId="439C1020"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¿Cuáles de los trabajos domesticas se contribuyen a la producción?</w:t>
      </w:r>
    </w:p>
    <w:p w14:paraId="552379BC"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¿Qué obligaciones tiene cada miembro de la familia y porque?</w:t>
      </w:r>
    </w:p>
    <w:p w14:paraId="4D020088"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¿Por qué se dividen así? ¿Podría dividirlas de otra manera?</w:t>
      </w:r>
    </w:p>
    <w:p w14:paraId="60DB3613"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¿Si podría ponerle un valor al trabajo a su compañera, cuanto seria y quien pagaría?</w:t>
      </w:r>
    </w:p>
    <w:p w14:paraId="54B65A7B" w14:textId="77777777" w:rsidR="005858CD" w:rsidRPr="005858CD" w:rsidRDefault="005858CD" w:rsidP="00293176">
      <w:pPr>
        <w:numPr>
          <w:ilvl w:val="0"/>
          <w:numId w:val="13"/>
        </w:numPr>
        <w:spacing w:after="160" w:line="259" w:lineRule="auto"/>
        <w:ind w:left="0"/>
        <w:contextualSpacing/>
        <w:rPr>
          <w:rFonts w:asciiTheme="minorHAnsi" w:eastAsiaTheme="minorHAnsi" w:hAnsiTheme="minorHAnsi" w:cstheme="minorBidi"/>
          <w:sz w:val="22"/>
          <w:szCs w:val="20"/>
          <w:lang w:val="es-AR" w:bidi="sd-Deva-IN"/>
        </w:rPr>
      </w:pPr>
      <w:r w:rsidRPr="005858CD">
        <w:rPr>
          <w:rFonts w:asciiTheme="minorHAnsi" w:eastAsiaTheme="minorHAnsi" w:hAnsiTheme="minorHAnsi" w:cstheme="minorBidi"/>
          <w:sz w:val="22"/>
          <w:szCs w:val="20"/>
          <w:lang w:val="es-AR" w:bidi="sd-Deva-IN"/>
        </w:rPr>
        <w:t>¿Quién decide sobre los ingresos que vos recibes y quien decide sobre los ingresos que tu esposa reciba?</w:t>
      </w:r>
    </w:p>
    <w:p w14:paraId="72BA09E1" w14:textId="77777777" w:rsidR="005858CD" w:rsidRPr="005858CD" w:rsidRDefault="005858CD" w:rsidP="008C041F">
      <w:pPr>
        <w:rPr>
          <w:rFonts w:eastAsiaTheme="minorHAnsi"/>
        </w:rPr>
      </w:pPr>
    </w:p>
    <w:p w14:paraId="6619FDD6" w14:textId="77777777" w:rsidR="005858CD" w:rsidRPr="005858CD" w:rsidRDefault="005858CD" w:rsidP="008C041F">
      <w:pPr>
        <w:rPr>
          <w:rFonts w:eastAsiaTheme="minorHAnsi"/>
        </w:rPr>
      </w:pPr>
    </w:p>
    <w:p w14:paraId="0E2BF9C0" w14:textId="77777777" w:rsidR="005858CD" w:rsidRPr="005858CD" w:rsidRDefault="005858CD" w:rsidP="008C041F">
      <w:pPr>
        <w:rPr>
          <w:rFonts w:eastAsiaTheme="minorHAnsi"/>
        </w:rPr>
      </w:pPr>
    </w:p>
    <w:p w14:paraId="4818E9A8" w14:textId="77777777" w:rsidR="005858CD" w:rsidRPr="005858CD" w:rsidRDefault="005858CD" w:rsidP="008C041F">
      <w:pPr>
        <w:rPr>
          <w:rFonts w:eastAsiaTheme="minorHAnsi"/>
        </w:rPr>
      </w:pPr>
      <w:r w:rsidRPr="005858CD">
        <w:rPr>
          <w:rFonts w:eastAsiaTheme="minorHAnsi"/>
        </w:rPr>
        <w:t>Appendix 8: Interview guide in Spanish for expert interviews and expert interview list.</w:t>
      </w:r>
    </w:p>
    <w:p w14:paraId="7EC8A0A1" w14:textId="77777777" w:rsidR="005858CD" w:rsidRPr="005858CD" w:rsidRDefault="005858CD" w:rsidP="008C041F">
      <w:pPr>
        <w:rPr>
          <w:rFonts w:eastAsiaTheme="minorHAnsi"/>
        </w:rPr>
      </w:pPr>
    </w:p>
    <w:p w14:paraId="71C72F14" w14:textId="77777777" w:rsidR="005858CD" w:rsidRPr="005858CD" w:rsidRDefault="005858CD" w:rsidP="008C041F">
      <w:pPr>
        <w:rPr>
          <w:rFonts w:eastAsiaTheme="minorHAnsi"/>
        </w:rPr>
      </w:pPr>
    </w:p>
    <w:p w14:paraId="0166165E" w14:textId="77777777" w:rsidR="005858CD" w:rsidRPr="005858CD" w:rsidRDefault="005858CD">
      <w:pPr>
        <w:rPr>
          <w:rFonts w:eastAsiaTheme="minorHAnsi"/>
          <w:lang w:val="es-NI"/>
        </w:rPr>
      </w:pPr>
      <w:r w:rsidRPr="005858CD">
        <w:rPr>
          <w:rFonts w:eastAsiaTheme="minorHAnsi"/>
        </w:rPr>
        <w:t>Interview guide in Spanish for expert interviews</w:t>
      </w:r>
    </w:p>
    <w:p w14:paraId="4474D09E" w14:textId="77777777" w:rsidR="005858CD" w:rsidRPr="005858CD" w:rsidRDefault="005858CD">
      <w:pPr>
        <w:rPr>
          <w:rFonts w:eastAsiaTheme="minorHAnsi"/>
          <w:lang w:val="es-NI"/>
        </w:rPr>
      </w:pPr>
    </w:p>
    <w:p w14:paraId="50740747" w14:textId="77777777" w:rsidR="005858CD" w:rsidRPr="005858CD" w:rsidRDefault="005858CD">
      <w:pPr>
        <w:rPr>
          <w:rFonts w:eastAsiaTheme="minorHAnsi"/>
          <w:lang w:val="es-NI"/>
        </w:rPr>
      </w:pPr>
      <w:r w:rsidRPr="005858CD">
        <w:rPr>
          <w:rFonts w:eastAsiaTheme="minorHAnsi"/>
          <w:lang w:val="es-NI"/>
        </w:rPr>
        <w:t>PREGUNTAS PARA EXPERTOS:</w:t>
      </w:r>
    </w:p>
    <w:p w14:paraId="0E4817D9"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¿Qué entiende el trabajo como no remunerado?</w:t>
      </w:r>
    </w:p>
    <w:p w14:paraId="7EC78644"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¿A quiénes y qué incluiría en esta definición del trabajo no remunerado?</w:t>
      </w:r>
    </w:p>
    <w:p w14:paraId="4776E5E0"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¿Cómo puede medirse?</w:t>
      </w:r>
    </w:p>
    <w:p w14:paraId="375D8FED"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¿Cree usted que debe ser incluido en los precios de productos como café, ajonjolí etc.?</w:t>
      </w:r>
    </w:p>
    <w:p w14:paraId="1B6750DD"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¿Por qué o por qué no?</w:t>
      </w:r>
    </w:p>
    <w:p w14:paraId="6595F8FD"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¿Crees que puede tener un precio y si es así cómo  se debe calcularse?</w:t>
      </w:r>
    </w:p>
    <w:p w14:paraId="457DDF6C"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¿Qué conoce de  las encuestas del uso del tiempo? ¿Ha tenido algunas experiencias con este instrumento?</w:t>
      </w:r>
    </w:p>
    <w:p w14:paraId="08F10017"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¿Cuáles cree usted que son los puntos fuertes?</w:t>
      </w:r>
    </w:p>
    <w:p w14:paraId="209D1B45"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¿Cuáles cree usted que son las debilidades?</w:t>
      </w:r>
    </w:p>
    <w:p w14:paraId="462BE049"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¡Describa algún ejemplo de los modelos de precios que conoces que reconoce el trabajo no remunerado?</w:t>
      </w:r>
    </w:p>
    <w:p w14:paraId="1C482F88"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¿Cómo cree que el reconocimiento del trabajo no remunerado (realizado principalmente por las mujeres) puede contribuir a los objetivos del Comercio Ético o Comercio Justo? ¿Y a los del movimiento feminista?</w:t>
      </w:r>
    </w:p>
    <w:p w14:paraId="1854342C"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¿Qué otras iniciativas conoce que promuevan el reconocimiento del trabajo no remunerado que realizan las mujeres?</w:t>
      </w:r>
    </w:p>
    <w:p w14:paraId="71624590"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¿Cómo define el empoderamiento?</w:t>
      </w:r>
    </w:p>
    <w:p w14:paraId="62138D63"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¿Y el empoderamiento de las mujeres?</w:t>
      </w:r>
    </w:p>
    <w:p w14:paraId="2323F458"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¿Cual seria la importancia de reconocer el trabajo no renumerado en terminos del empoderamiento de las mujeres? (voz, autonomia de su tiempo, tener las opciones para decidir, movilidad)</w:t>
      </w:r>
    </w:p>
    <w:p w14:paraId="3561A498"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 xml:space="preserve">¿Considera que es principalmente colectivo o individual? ¿Qué trabajaría primero? </w:t>
      </w:r>
    </w:p>
    <w:p w14:paraId="7DF41FC6"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 xml:space="preserve">¿Qué responsabilidades tiene el colectivo sobre las realidades de cada individuo/a que impiden su empoderamiento? </w:t>
      </w:r>
    </w:p>
    <w:p w14:paraId="1973F6DA"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 xml:space="preserve">¿Qué papel juegan las mujeres en las familias rurales? </w:t>
      </w:r>
    </w:p>
    <w:p w14:paraId="10D1CFDB"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lastRenderedPageBreak/>
        <w:t>¿Cuál es tu opinión sobre proyectos de micro finanzas- fondo revolvente?</w:t>
      </w:r>
    </w:p>
    <w:p w14:paraId="5C1FC30C" w14:textId="77777777" w:rsidR="005858CD" w:rsidRPr="005858CD" w:rsidRDefault="005858CD" w:rsidP="00293176">
      <w:pPr>
        <w:numPr>
          <w:ilvl w:val="0"/>
          <w:numId w:val="11"/>
        </w:numPr>
        <w:ind w:left="0"/>
        <w:rPr>
          <w:rFonts w:eastAsiaTheme="minorHAnsi"/>
          <w:lang w:val="es-NI"/>
        </w:rPr>
      </w:pPr>
      <w:r w:rsidRPr="005858CD">
        <w:rPr>
          <w:rFonts w:eastAsiaTheme="minorHAnsi"/>
          <w:lang w:val="es-NI"/>
        </w:rPr>
        <w:t>¿Cómo ves los proyectos que priorizan a las mujeres como actores principales en el cambio de la realidad familiar?</w:t>
      </w:r>
    </w:p>
    <w:p w14:paraId="498A8FEE" w14:textId="77777777" w:rsidR="005858CD" w:rsidRPr="005858CD" w:rsidRDefault="005858CD" w:rsidP="008C041F">
      <w:pPr>
        <w:outlineLvl w:val="0"/>
        <w:rPr>
          <w:rFonts w:eastAsiaTheme="minorHAnsi"/>
          <w:b/>
          <w:u w:val="single"/>
        </w:rPr>
      </w:pPr>
    </w:p>
    <w:p w14:paraId="63C07EDE" w14:textId="77777777" w:rsidR="005858CD" w:rsidRPr="005858CD" w:rsidRDefault="005858CD" w:rsidP="008C041F">
      <w:pPr>
        <w:outlineLvl w:val="0"/>
        <w:rPr>
          <w:rFonts w:eastAsiaTheme="minorHAnsi"/>
          <w:b/>
          <w:u w:val="single"/>
        </w:rPr>
      </w:pPr>
    </w:p>
    <w:p w14:paraId="6ACFE995" w14:textId="77777777" w:rsidR="005858CD" w:rsidRPr="005858CD" w:rsidRDefault="005858CD" w:rsidP="008C041F">
      <w:pPr>
        <w:rPr>
          <w:rFonts w:eastAsiaTheme="minorHAnsi"/>
        </w:rPr>
      </w:pPr>
      <w:r w:rsidRPr="005858CD">
        <w:rPr>
          <w:rFonts w:eastAsiaTheme="minorHAnsi"/>
        </w:rPr>
        <w:t>List of expert interviews</w:t>
      </w:r>
    </w:p>
    <w:p w14:paraId="4540D84A" w14:textId="77777777" w:rsidR="005858CD" w:rsidRPr="005858CD" w:rsidRDefault="005858CD" w:rsidP="008C041F">
      <w:pPr>
        <w:rPr>
          <w:rFonts w:eastAsiaTheme="minorHAnsi"/>
        </w:rPr>
      </w:pPr>
    </w:p>
    <w:p w14:paraId="63B65CBB" w14:textId="77777777" w:rsidR="005858CD" w:rsidRPr="005858CD" w:rsidRDefault="005858CD" w:rsidP="008C041F">
      <w:pPr>
        <w:rPr>
          <w:rFonts w:eastAsiaTheme="minorHAnsi"/>
        </w:rPr>
      </w:pPr>
    </w:p>
    <w:tbl>
      <w:tblPr>
        <w:tblStyle w:val="TableGrid3"/>
        <w:tblW w:w="5000" w:type="pct"/>
        <w:tblLook w:val="04A0" w:firstRow="1" w:lastRow="0" w:firstColumn="1" w:lastColumn="0" w:noHBand="0" w:noVBand="1"/>
      </w:tblPr>
      <w:tblGrid>
        <w:gridCol w:w="479"/>
        <w:gridCol w:w="2056"/>
        <w:gridCol w:w="2946"/>
        <w:gridCol w:w="2809"/>
      </w:tblGrid>
      <w:tr w:rsidR="005858CD" w:rsidRPr="005858CD" w14:paraId="08F6F33F" w14:textId="77777777" w:rsidTr="00E8452E">
        <w:tc>
          <w:tcPr>
            <w:tcW w:w="289" w:type="pct"/>
          </w:tcPr>
          <w:p w14:paraId="66106792" w14:textId="77777777" w:rsidR="005858CD" w:rsidRPr="005858CD" w:rsidRDefault="005858CD" w:rsidP="008C041F">
            <w:pPr>
              <w:rPr>
                <w:rFonts w:eastAsia="Calibri"/>
              </w:rPr>
            </w:pPr>
            <w:r w:rsidRPr="005858CD">
              <w:rPr>
                <w:rFonts w:eastAsia="Calibri"/>
              </w:rPr>
              <w:t>1</w:t>
            </w:r>
          </w:p>
        </w:tc>
        <w:tc>
          <w:tcPr>
            <w:tcW w:w="1240" w:type="pct"/>
          </w:tcPr>
          <w:p w14:paraId="1E622CA0" w14:textId="77777777" w:rsidR="005858CD" w:rsidRPr="005858CD" w:rsidRDefault="005858CD">
            <w:pPr>
              <w:rPr>
                <w:rFonts w:eastAsia="Calibri"/>
                <w:lang w:val="es-ES"/>
              </w:rPr>
            </w:pPr>
            <w:r w:rsidRPr="005858CD">
              <w:rPr>
                <w:rFonts w:eastAsia="Calibri"/>
                <w:lang w:val="es-ES"/>
              </w:rPr>
              <w:t>Ana Victoria Portocarrero</w:t>
            </w:r>
          </w:p>
        </w:tc>
        <w:tc>
          <w:tcPr>
            <w:tcW w:w="1777" w:type="pct"/>
          </w:tcPr>
          <w:p w14:paraId="3756AEC6" w14:textId="77777777" w:rsidR="005858CD" w:rsidRPr="005858CD" w:rsidRDefault="005858CD">
            <w:pPr>
              <w:rPr>
                <w:rFonts w:eastAsia="Calibri"/>
              </w:rPr>
            </w:pPr>
            <w:r w:rsidRPr="005858CD">
              <w:rPr>
                <w:rFonts w:eastAsia="Calibri"/>
              </w:rPr>
              <w:t>Academic Coordinator, for Master’s Gender Program</w:t>
            </w:r>
          </w:p>
        </w:tc>
        <w:tc>
          <w:tcPr>
            <w:tcW w:w="1694" w:type="pct"/>
          </w:tcPr>
          <w:p w14:paraId="137BA1B2" w14:textId="77777777" w:rsidR="005858CD" w:rsidRPr="005858CD" w:rsidRDefault="005858CD">
            <w:pPr>
              <w:rPr>
                <w:rFonts w:eastAsia="Calibri"/>
              </w:rPr>
            </w:pPr>
            <w:r w:rsidRPr="005858CD">
              <w:rPr>
                <w:rFonts w:eastAsia="Calibri"/>
              </w:rPr>
              <w:t>Universidad de Centroamérica</w:t>
            </w:r>
          </w:p>
        </w:tc>
      </w:tr>
      <w:tr w:rsidR="005858CD" w:rsidRPr="005858CD" w14:paraId="08394E68" w14:textId="77777777" w:rsidTr="00E8452E">
        <w:trPr>
          <w:trHeight w:val="629"/>
        </w:trPr>
        <w:tc>
          <w:tcPr>
            <w:tcW w:w="289" w:type="pct"/>
          </w:tcPr>
          <w:p w14:paraId="04DE799A" w14:textId="77777777" w:rsidR="005858CD" w:rsidRPr="005858CD" w:rsidRDefault="005858CD" w:rsidP="008C041F">
            <w:pPr>
              <w:rPr>
                <w:rFonts w:eastAsia="Calibri"/>
              </w:rPr>
            </w:pPr>
            <w:r w:rsidRPr="005858CD">
              <w:rPr>
                <w:rFonts w:eastAsia="Calibri"/>
              </w:rPr>
              <w:t>2</w:t>
            </w:r>
          </w:p>
        </w:tc>
        <w:tc>
          <w:tcPr>
            <w:tcW w:w="1240" w:type="pct"/>
          </w:tcPr>
          <w:p w14:paraId="65EBC7E2" w14:textId="77777777" w:rsidR="005858CD" w:rsidRPr="005858CD" w:rsidRDefault="005858CD" w:rsidP="008C041F">
            <w:pPr>
              <w:rPr>
                <w:rFonts w:eastAsia="Calibri"/>
                <w:lang w:val="es-ES"/>
              </w:rPr>
            </w:pPr>
            <w:r w:rsidRPr="005858CD">
              <w:rPr>
                <w:rFonts w:eastAsia="Calibri"/>
                <w:lang w:val="es-ES"/>
              </w:rPr>
              <w:t>Azahalea Solís</w:t>
            </w:r>
            <w:r w:rsidRPr="005858CD">
              <w:rPr>
                <w:rFonts w:eastAsia="Calibri"/>
                <w:lang w:val="es-ES"/>
              </w:rPr>
              <w:tab/>
            </w:r>
          </w:p>
          <w:p w14:paraId="2160191F" w14:textId="77777777" w:rsidR="005858CD" w:rsidRPr="005858CD" w:rsidRDefault="005858CD" w:rsidP="008C041F">
            <w:pPr>
              <w:rPr>
                <w:rFonts w:eastAsia="Calibri"/>
                <w:lang w:val="es-ES"/>
              </w:rPr>
            </w:pPr>
          </w:p>
        </w:tc>
        <w:tc>
          <w:tcPr>
            <w:tcW w:w="1777" w:type="pct"/>
          </w:tcPr>
          <w:p w14:paraId="7EB082F0" w14:textId="77777777" w:rsidR="005858CD" w:rsidRPr="005858CD" w:rsidRDefault="005858CD" w:rsidP="008C041F">
            <w:pPr>
              <w:rPr>
                <w:rFonts w:eastAsia="Calibri"/>
              </w:rPr>
            </w:pPr>
            <w:r w:rsidRPr="005858CD">
              <w:rPr>
                <w:color w:val="000000" w:themeColor="text1"/>
                <w:lang w:eastAsia="en-GB"/>
              </w:rPr>
              <w:t>Prominent Nicaraguan Feminist, attorney and member of MAM.</w:t>
            </w:r>
          </w:p>
        </w:tc>
        <w:tc>
          <w:tcPr>
            <w:tcW w:w="1694" w:type="pct"/>
          </w:tcPr>
          <w:p w14:paraId="549C38BB" w14:textId="77777777" w:rsidR="005858CD" w:rsidRPr="005858CD" w:rsidRDefault="005858CD" w:rsidP="008C041F">
            <w:pPr>
              <w:rPr>
                <w:rFonts w:eastAsia="Calibri"/>
              </w:rPr>
            </w:pPr>
            <w:r w:rsidRPr="005858CD">
              <w:rPr>
                <w:rFonts w:eastAsia="Calibri"/>
                <w:lang w:eastAsia="en-GB"/>
              </w:rPr>
              <w:t>Women’s Autonomous Movement Managua (MAM)</w:t>
            </w:r>
          </w:p>
        </w:tc>
      </w:tr>
      <w:tr w:rsidR="005858CD" w:rsidRPr="005858CD" w14:paraId="1680ED0F" w14:textId="77777777" w:rsidTr="00E8452E">
        <w:tc>
          <w:tcPr>
            <w:tcW w:w="289" w:type="pct"/>
          </w:tcPr>
          <w:p w14:paraId="1981918C" w14:textId="77777777" w:rsidR="005858CD" w:rsidRPr="005858CD" w:rsidRDefault="005858CD" w:rsidP="008C041F">
            <w:pPr>
              <w:rPr>
                <w:rFonts w:eastAsia="Calibri"/>
              </w:rPr>
            </w:pPr>
            <w:r w:rsidRPr="005858CD">
              <w:rPr>
                <w:rFonts w:eastAsia="Calibri"/>
              </w:rPr>
              <w:t>3</w:t>
            </w:r>
          </w:p>
        </w:tc>
        <w:tc>
          <w:tcPr>
            <w:tcW w:w="1240" w:type="pct"/>
          </w:tcPr>
          <w:p w14:paraId="1AB97051" w14:textId="77777777" w:rsidR="005858CD" w:rsidRPr="005858CD" w:rsidRDefault="005858CD" w:rsidP="008C041F">
            <w:pPr>
              <w:rPr>
                <w:rFonts w:eastAsia="Calibri"/>
                <w:lang w:val="es-ES"/>
              </w:rPr>
            </w:pPr>
            <w:r w:rsidRPr="005858CD">
              <w:rPr>
                <w:rFonts w:eastAsia="Calibri"/>
                <w:lang w:val="es-ES"/>
              </w:rPr>
              <w:t>Blanca Rosa Molina</w:t>
            </w:r>
          </w:p>
        </w:tc>
        <w:tc>
          <w:tcPr>
            <w:tcW w:w="1777" w:type="pct"/>
          </w:tcPr>
          <w:p w14:paraId="57169FB4" w14:textId="77777777" w:rsidR="005858CD" w:rsidRPr="005858CD" w:rsidRDefault="005858CD" w:rsidP="008C041F">
            <w:pPr>
              <w:rPr>
                <w:rFonts w:eastAsia="Calibri"/>
              </w:rPr>
            </w:pPr>
            <w:r w:rsidRPr="005858CD">
              <w:rPr>
                <w:rFonts w:eastAsia="Calibri"/>
              </w:rPr>
              <w:t>Manager</w:t>
            </w:r>
          </w:p>
        </w:tc>
        <w:tc>
          <w:tcPr>
            <w:tcW w:w="1694" w:type="pct"/>
          </w:tcPr>
          <w:p w14:paraId="19F992C9" w14:textId="77777777" w:rsidR="005858CD" w:rsidRPr="005858CD" w:rsidRDefault="005858CD" w:rsidP="008C041F">
            <w:pPr>
              <w:rPr>
                <w:rFonts w:eastAsia="Calibri"/>
              </w:rPr>
            </w:pPr>
            <w:r w:rsidRPr="005858CD">
              <w:rPr>
                <w:rFonts w:eastAsia="Calibri"/>
              </w:rPr>
              <w:t>UCA San Ramon</w:t>
            </w:r>
          </w:p>
        </w:tc>
      </w:tr>
      <w:tr w:rsidR="005858CD" w:rsidRPr="005858CD" w14:paraId="4EBBF0D5" w14:textId="77777777" w:rsidTr="00E8452E">
        <w:tc>
          <w:tcPr>
            <w:tcW w:w="289" w:type="pct"/>
          </w:tcPr>
          <w:p w14:paraId="6B13093A" w14:textId="77777777" w:rsidR="005858CD" w:rsidRPr="005858CD" w:rsidRDefault="005858CD" w:rsidP="008C041F">
            <w:pPr>
              <w:rPr>
                <w:rFonts w:eastAsia="Calibri"/>
              </w:rPr>
            </w:pPr>
            <w:r w:rsidRPr="005858CD">
              <w:rPr>
                <w:rFonts w:eastAsia="Calibri"/>
              </w:rPr>
              <w:t>4</w:t>
            </w:r>
          </w:p>
        </w:tc>
        <w:tc>
          <w:tcPr>
            <w:tcW w:w="1240" w:type="pct"/>
          </w:tcPr>
          <w:p w14:paraId="5455D96D" w14:textId="77777777" w:rsidR="005858CD" w:rsidRPr="005858CD" w:rsidRDefault="005858CD" w:rsidP="008C041F">
            <w:pPr>
              <w:rPr>
                <w:rFonts w:eastAsia="Calibri"/>
                <w:lang w:val="es-ES"/>
              </w:rPr>
            </w:pPr>
            <w:r w:rsidRPr="005858CD">
              <w:rPr>
                <w:rFonts w:eastAsia="Calibri"/>
                <w:lang w:val="es-ES"/>
              </w:rPr>
              <w:t>Carelia Soriano</w:t>
            </w:r>
          </w:p>
        </w:tc>
        <w:tc>
          <w:tcPr>
            <w:tcW w:w="1777" w:type="pct"/>
          </w:tcPr>
          <w:p w14:paraId="7C82FF0A" w14:textId="77777777" w:rsidR="005858CD" w:rsidRPr="005858CD" w:rsidRDefault="005858CD" w:rsidP="008C041F">
            <w:pPr>
              <w:rPr>
                <w:rFonts w:eastAsia="Calibri"/>
              </w:rPr>
            </w:pPr>
            <w:r w:rsidRPr="005858CD">
              <w:rPr>
                <w:rFonts w:eastAsia="Calibri"/>
              </w:rPr>
              <w:t>Gender Coordinator</w:t>
            </w:r>
          </w:p>
        </w:tc>
        <w:tc>
          <w:tcPr>
            <w:tcW w:w="1694" w:type="pct"/>
          </w:tcPr>
          <w:p w14:paraId="487F17AC" w14:textId="77777777" w:rsidR="005858CD" w:rsidRPr="005858CD" w:rsidRDefault="005858CD" w:rsidP="008C041F">
            <w:pPr>
              <w:rPr>
                <w:rFonts w:eastAsia="Calibri"/>
              </w:rPr>
            </w:pPr>
            <w:r w:rsidRPr="005858CD">
              <w:rPr>
                <w:rFonts w:eastAsia="Calibri"/>
              </w:rPr>
              <w:t>CJPS</w:t>
            </w:r>
          </w:p>
        </w:tc>
      </w:tr>
      <w:tr w:rsidR="005858CD" w:rsidRPr="005858CD" w14:paraId="1B71FE05" w14:textId="77777777" w:rsidTr="00E8452E">
        <w:tc>
          <w:tcPr>
            <w:tcW w:w="289" w:type="pct"/>
          </w:tcPr>
          <w:p w14:paraId="1B1302EF" w14:textId="77777777" w:rsidR="005858CD" w:rsidRPr="005858CD" w:rsidRDefault="005858CD" w:rsidP="008C041F">
            <w:pPr>
              <w:rPr>
                <w:rFonts w:eastAsia="Calibri"/>
              </w:rPr>
            </w:pPr>
            <w:r w:rsidRPr="005858CD">
              <w:rPr>
                <w:rFonts w:eastAsia="Calibri"/>
              </w:rPr>
              <w:t>5</w:t>
            </w:r>
          </w:p>
        </w:tc>
        <w:tc>
          <w:tcPr>
            <w:tcW w:w="1240" w:type="pct"/>
          </w:tcPr>
          <w:p w14:paraId="43643F59" w14:textId="77777777" w:rsidR="005858CD" w:rsidRPr="005858CD" w:rsidRDefault="005858CD" w:rsidP="008C041F">
            <w:pPr>
              <w:rPr>
                <w:rFonts w:eastAsia="Calibri"/>
                <w:lang w:val="es-ES"/>
              </w:rPr>
            </w:pPr>
            <w:r w:rsidRPr="005858CD">
              <w:rPr>
                <w:rFonts w:eastAsia="Calibri"/>
                <w:lang w:val="es-ES"/>
              </w:rPr>
              <w:t>Christina Archer</w:t>
            </w:r>
          </w:p>
        </w:tc>
        <w:tc>
          <w:tcPr>
            <w:tcW w:w="1777" w:type="pct"/>
          </w:tcPr>
          <w:p w14:paraId="77DF1FD5" w14:textId="77777777" w:rsidR="005858CD" w:rsidRPr="005858CD" w:rsidRDefault="005858CD" w:rsidP="008C041F">
            <w:pPr>
              <w:rPr>
                <w:rFonts w:eastAsia="Calibri"/>
              </w:rPr>
            </w:pPr>
            <w:r w:rsidRPr="005858CD">
              <w:rPr>
                <w:rFonts w:eastAsia="Calibri"/>
              </w:rPr>
              <w:t>Ex Senior Buyer</w:t>
            </w:r>
          </w:p>
        </w:tc>
        <w:tc>
          <w:tcPr>
            <w:tcW w:w="1694" w:type="pct"/>
          </w:tcPr>
          <w:p w14:paraId="45D51ACD" w14:textId="77777777" w:rsidR="005858CD" w:rsidRPr="005858CD" w:rsidRDefault="005858CD" w:rsidP="008C041F">
            <w:pPr>
              <w:rPr>
                <w:rFonts w:eastAsia="Calibri"/>
              </w:rPr>
            </w:pPr>
            <w:r w:rsidRPr="005858CD">
              <w:rPr>
                <w:rFonts w:eastAsia="Calibri"/>
              </w:rPr>
              <w:t>BSI</w:t>
            </w:r>
          </w:p>
        </w:tc>
      </w:tr>
      <w:tr w:rsidR="005858CD" w:rsidRPr="005858CD" w14:paraId="6C2D28D0" w14:textId="77777777" w:rsidTr="00E8452E">
        <w:tc>
          <w:tcPr>
            <w:tcW w:w="289" w:type="pct"/>
          </w:tcPr>
          <w:p w14:paraId="7F2ACD98" w14:textId="77777777" w:rsidR="005858CD" w:rsidRPr="005858CD" w:rsidRDefault="005858CD" w:rsidP="008C041F">
            <w:pPr>
              <w:rPr>
                <w:rFonts w:eastAsia="Calibri"/>
              </w:rPr>
            </w:pPr>
            <w:r w:rsidRPr="005858CD">
              <w:rPr>
                <w:rFonts w:eastAsia="Calibri"/>
              </w:rPr>
              <w:t>6</w:t>
            </w:r>
          </w:p>
        </w:tc>
        <w:tc>
          <w:tcPr>
            <w:tcW w:w="1240" w:type="pct"/>
          </w:tcPr>
          <w:p w14:paraId="281E40DF" w14:textId="77777777" w:rsidR="005858CD" w:rsidRPr="005858CD" w:rsidRDefault="005858CD" w:rsidP="008C041F">
            <w:pPr>
              <w:rPr>
                <w:rFonts w:eastAsia="Calibri"/>
                <w:lang w:val="es-ES"/>
              </w:rPr>
            </w:pPr>
            <w:r w:rsidRPr="005858CD">
              <w:rPr>
                <w:rFonts w:eastAsia="Calibri"/>
                <w:lang w:val="es-ES"/>
              </w:rPr>
              <w:t>Fátima Ismael</w:t>
            </w:r>
          </w:p>
        </w:tc>
        <w:tc>
          <w:tcPr>
            <w:tcW w:w="1777" w:type="pct"/>
          </w:tcPr>
          <w:p w14:paraId="2BAB8035" w14:textId="77777777" w:rsidR="005858CD" w:rsidRPr="005858CD" w:rsidRDefault="005858CD" w:rsidP="008C041F">
            <w:pPr>
              <w:rPr>
                <w:rFonts w:eastAsia="Calibri"/>
              </w:rPr>
            </w:pPr>
            <w:r w:rsidRPr="005858CD">
              <w:rPr>
                <w:rFonts w:eastAsia="Calibri"/>
              </w:rPr>
              <w:t>Manager</w:t>
            </w:r>
          </w:p>
        </w:tc>
        <w:tc>
          <w:tcPr>
            <w:tcW w:w="1694" w:type="pct"/>
          </w:tcPr>
          <w:p w14:paraId="6D6238E2" w14:textId="77777777" w:rsidR="005858CD" w:rsidRPr="005858CD" w:rsidRDefault="005858CD" w:rsidP="008C041F">
            <w:pPr>
              <w:rPr>
                <w:rFonts w:eastAsia="Calibri"/>
              </w:rPr>
            </w:pPr>
            <w:r w:rsidRPr="005858CD">
              <w:rPr>
                <w:rFonts w:eastAsia="Calibri"/>
              </w:rPr>
              <w:t>Soppexcca</w:t>
            </w:r>
          </w:p>
        </w:tc>
      </w:tr>
      <w:tr w:rsidR="005858CD" w:rsidRPr="005858CD" w14:paraId="10229FA2" w14:textId="77777777" w:rsidTr="00E8452E">
        <w:tc>
          <w:tcPr>
            <w:tcW w:w="289" w:type="pct"/>
          </w:tcPr>
          <w:p w14:paraId="1B83B75D" w14:textId="77777777" w:rsidR="005858CD" w:rsidRPr="005858CD" w:rsidRDefault="005858CD" w:rsidP="008C041F">
            <w:pPr>
              <w:rPr>
                <w:rFonts w:eastAsia="Calibri"/>
              </w:rPr>
            </w:pPr>
            <w:r w:rsidRPr="005858CD">
              <w:rPr>
                <w:rFonts w:eastAsia="Calibri"/>
              </w:rPr>
              <w:t>7</w:t>
            </w:r>
          </w:p>
        </w:tc>
        <w:tc>
          <w:tcPr>
            <w:tcW w:w="1240" w:type="pct"/>
          </w:tcPr>
          <w:p w14:paraId="271E31BE" w14:textId="77777777" w:rsidR="005858CD" w:rsidRPr="005858CD" w:rsidRDefault="005858CD" w:rsidP="008C041F">
            <w:pPr>
              <w:rPr>
                <w:rFonts w:eastAsia="Calibri"/>
                <w:lang w:val="es-ES"/>
              </w:rPr>
            </w:pPr>
            <w:r w:rsidRPr="005858CD">
              <w:rPr>
                <w:rFonts w:eastAsia="Calibri"/>
                <w:lang w:val="es-ES"/>
              </w:rPr>
              <w:t>Félix Pozo</w:t>
            </w:r>
          </w:p>
        </w:tc>
        <w:tc>
          <w:tcPr>
            <w:tcW w:w="1777" w:type="pct"/>
          </w:tcPr>
          <w:p w14:paraId="4C672063" w14:textId="77777777" w:rsidR="005858CD" w:rsidRPr="005858CD" w:rsidRDefault="005858CD" w:rsidP="008C041F">
            <w:pPr>
              <w:rPr>
                <w:rFonts w:eastAsia="Calibri"/>
              </w:rPr>
            </w:pPr>
            <w:r w:rsidRPr="005858CD">
              <w:rPr>
                <w:rFonts w:eastAsia="Calibri"/>
              </w:rPr>
              <w:t>Agricultural technician</w:t>
            </w:r>
          </w:p>
        </w:tc>
        <w:tc>
          <w:tcPr>
            <w:tcW w:w="1694" w:type="pct"/>
          </w:tcPr>
          <w:p w14:paraId="2B52520E" w14:textId="77777777" w:rsidR="005858CD" w:rsidRPr="005858CD" w:rsidRDefault="005858CD" w:rsidP="008C041F">
            <w:pPr>
              <w:rPr>
                <w:rFonts w:eastAsia="Calibri"/>
              </w:rPr>
            </w:pPr>
            <w:r w:rsidRPr="005858CD">
              <w:rPr>
                <w:rFonts w:eastAsia="Calibri"/>
              </w:rPr>
              <w:t>UCA San Ramon</w:t>
            </w:r>
          </w:p>
        </w:tc>
      </w:tr>
      <w:tr w:rsidR="005858CD" w:rsidRPr="005858CD" w14:paraId="7F278F12" w14:textId="77777777" w:rsidTr="00E8452E">
        <w:tc>
          <w:tcPr>
            <w:tcW w:w="289" w:type="pct"/>
          </w:tcPr>
          <w:p w14:paraId="1B52B457" w14:textId="77777777" w:rsidR="005858CD" w:rsidRPr="005858CD" w:rsidRDefault="005858CD" w:rsidP="008C041F">
            <w:pPr>
              <w:rPr>
                <w:rFonts w:eastAsia="Calibri"/>
              </w:rPr>
            </w:pPr>
            <w:r w:rsidRPr="005858CD">
              <w:rPr>
                <w:rFonts w:eastAsia="Calibri"/>
              </w:rPr>
              <w:t>8</w:t>
            </w:r>
          </w:p>
        </w:tc>
        <w:tc>
          <w:tcPr>
            <w:tcW w:w="1240" w:type="pct"/>
          </w:tcPr>
          <w:p w14:paraId="4EDD20B5" w14:textId="77777777" w:rsidR="005858CD" w:rsidRPr="005858CD" w:rsidRDefault="005858CD" w:rsidP="008C041F">
            <w:pPr>
              <w:rPr>
                <w:rFonts w:eastAsia="Calibri"/>
                <w:lang w:val="es-ES"/>
              </w:rPr>
            </w:pPr>
            <w:r w:rsidRPr="005858CD">
              <w:rPr>
                <w:rFonts w:eastAsia="Calibri"/>
                <w:lang w:val="es-ES"/>
              </w:rPr>
              <w:t>Edurne Larracoechea Bohigas</w:t>
            </w:r>
          </w:p>
        </w:tc>
        <w:tc>
          <w:tcPr>
            <w:tcW w:w="1777" w:type="pct"/>
          </w:tcPr>
          <w:p w14:paraId="143C94F3" w14:textId="77777777" w:rsidR="005858CD" w:rsidRPr="005858CD" w:rsidRDefault="005858CD" w:rsidP="008C041F">
            <w:pPr>
              <w:rPr>
                <w:rFonts w:eastAsia="Calibri"/>
              </w:rPr>
            </w:pPr>
            <w:r w:rsidRPr="005858CD">
              <w:rPr>
                <w:rFonts w:eastAsia="Calibri"/>
              </w:rPr>
              <w:t>Feminist researcher/ PhD Political Science</w:t>
            </w:r>
          </w:p>
          <w:p w14:paraId="732AF5E8" w14:textId="77777777" w:rsidR="005858CD" w:rsidRPr="005858CD" w:rsidRDefault="005858CD" w:rsidP="008C041F">
            <w:pPr>
              <w:rPr>
                <w:rFonts w:eastAsia="Calibri"/>
              </w:rPr>
            </w:pPr>
          </w:p>
        </w:tc>
        <w:tc>
          <w:tcPr>
            <w:tcW w:w="1694" w:type="pct"/>
          </w:tcPr>
          <w:p w14:paraId="5228B7FF" w14:textId="77777777" w:rsidR="005858CD" w:rsidRPr="005858CD" w:rsidRDefault="005858CD" w:rsidP="008C041F">
            <w:pPr>
              <w:rPr>
                <w:rFonts w:eastAsia="Calibri"/>
              </w:rPr>
            </w:pPr>
            <w:r w:rsidRPr="005858CD">
              <w:rPr>
                <w:rFonts w:eastAsia="Calibri"/>
              </w:rPr>
              <w:t>Independent</w:t>
            </w:r>
          </w:p>
        </w:tc>
      </w:tr>
      <w:tr w:rsidR="005858CD" w:rsidRPr="005858CD" w14:paraId="001C989D" w14:textId="77777777" w:rsidTr="00E8452E">
        <w:tc>
          <w:tcPr>
            <w:tcW w:w="289" w:type="pct"/>
          </w:tcPr>
          <w:p w14:paraId="2BA892C9" w14:textId="77777777" w:rsidR="005858CD" w:rsidRPr="005858CD" w:rsidRDefault="005858CD" w:rsidP="008C041F">
            <w:pPr>
              <w:rPr>
                <w:rFonts w:eastAsia="Calibri"/>
              </w:rPr>
            </w:pPr>
            <w:r w:rsidRPr="005858CD">
              <w:rPr>
                <w:rFonts w:eastAsia="Calibri"/>
              </w:rPr>
              <w:t>9</w:t>
            </w:r>
          </w:p>
        </w:tc>
        <w:tc>
          <w:tcPr>
            <w:tcW w:w="1240" w:type="pct"/>
          </w:tcPr>
          <w:p w14:paraId="7D13FC90" w14:textId="77777777" w:rsidR="005858CD" w:rsidRPr="005858CD" w:rsidRDefault="005858CD" w:rsidP="008C041F">
            <w:pPr>
              <w:rPr>
                <w:rFonts w:eastAsia="Calibri"/>
                <w:lang w:val="es-ES"/>
              </w:rPr>
            </w:pPr>
            <w:r w:rsidRPr="005858CD">
              <w:rPr>
                <w:rFonts w:eastAsia="Calibri"/>
                <w:lang w:val="es-ES"/>
              </w:rPr>
              <w:t>Geni Gómez</w:t>
            </w:r>
          </w:p>
        </w:tc>
        <w:tc>
          <w:tcPr>
            <w:tcW w:w="1777" w:type="pct"/>
          </w:tcPr>
          <w:p w14:paraId="02CD0E76" w14:textId="77777777" w:rsidR="005858CD" w:rsidRPr="005858CD" w:rsidRDefault="005858CD" w:rsidP="008C041F">
            <w:pPr>
              <w:rPr>
                <w:rFonts w:eastAsia="Calibri"/>
              </w:rPr>
            </w:pPr>
            <w:r w:rsidRPr="005858CD">
              <w:rPr>
                <w:rFonts w:eastAsia="Calibri"/>
              </w:rPr>
              <w:t>Feminist activist and educator</w:t>
            </w:r>
          </w:p>
        </w:tc>
        <w:tc>
          <w:tcPr>
            <w:tcW w:w="1694" w:type="pct"/>
          </w:tcPr>
          <w:p w14:paraId="0FB078F2" w14:textId="77777777" w:rsidR="005858CD" w:rsidRPr="005858CD" w:rsidRDefault="005858CD" w:rsidP="008C041F">
            <w:pPr>
              <w:rPr>
                <w:rFonts w:eastAsia="Calibri"/>
              </w:rPr>
            </w:pPr>
            <w:r w:rsidRPr="005858CD">
              <w:rPr>
                <w:rFonts w:eastAsia="Calibri"/>
              </w:rPr>
              <w:t>Grupo Venancia</w:t>
            </w:r>
          </w:p>
        </w:tc>
      </w:tr>
      <w:tr w:rsidR="005858CD" w:rsidRPr="005858CD" w14:paraId="3BEBBB1B" w14:textId="77777777" w:rsidTr="00E8452E">
        <w:trPr>
          <w:trHeight w:val="584"/>
        </w:trPr>
        <w:tc>
          <w:tcPr>
            <w:tcW w:w="289" w:type="pct"/>
          </w:tcPr>
          <w:p w14:paraId="64176818" w14:textId="77777777" w:rsidR="005858CD" w:rsidRPr="005858CD" w:rsidRDefault="005858CD" w:rsidP="008C041F">
            <w:pPr>
              <w:rPr>
                <w:rFonts w:eastAsia="Calibri"/>
              </w:rPr>
            </w:pPr>
            <w:r w:rsidRPr="005858CD">
              <w:rPr>
                <w:rFonts w:eastAsia="Calibri"/>
              </w:rPr>
              <w:t>10</w:t>
            </w:r>
          </w:p>
        </w:tc>
        <w:tc>
          <w:tcPr>
            <w:tcW w:w="1240" w:type="pct"/>
          </w:tcPr>
          <w:p w14:paraId="71014F3D" w14:textId="77777777" w:rsidR="005858CD" w:rsidRPr="005858CD" w:rsidRDefault="005858CD" w:rsidP="008C041F">
            <w:pPr>
              <w:rPr>
                <w:rFonts w:eastAsia="Calibri"/>
                <w:lang w:val="es-ES"/>
              </w:rPr>
            </w:pPr>
            <w:r w:rsidRPr="005858CD">
              <w:rPr>
                <w:rFonts w:eastAsia="Calibri"/>
                <w:lang w:val="es-ES"/>
              </w:rPr>
              <w:t>Heather Putnam</w:t>
            </w:r>
          </w:p>
        </w:tc>
        <w:tc>
          <w:tcPr>
            <w:tcW w:w="1777" w:type="pct"/>
          </w:tcPr>
          <w:p w14:paraId="5A49BC50" w14:textId="77777777" w:rsidR="005858CD" w:rsidRPr="005858CD" w:rsidRDefault="005858CD" w:rsidP="008C041F">
            <w:pPr>
              <w:rPr>
                <w:rFonts w:eastAsia="Calibri"/>
              </w:rPr>
            </w:pPr>
            <w:r w:rsidRPr="005858CD">
              <w:rPr>
                <w:rFonts w:eastAsia="Calibri"/>
              </w:rPr>
              <w:t>CAN Executive Director</w:t>
            </w:r>
          </w:p>
        </w:tc>
        <w:tc>
          <w:tcPr>
            <w:tcW w:w="1694" w:type="pct"/>
          </w:tcPr>
          <w:p w14:paraId="59CA2B4B" w14:textId="77777777" w:rsidR="005858CD" w:rsidRPr="005858CD" w:rsidRDefault="005858CD" w:rsidP="008C041F">
            <w:pPr>
              <w:rPr>
                <w:rFonts w:eastAsia="Calibri"/>
              </w:rPr>
            </w:pPr>
            <w:r w:rsidRPr="005858CD">
              <w:rPr>
                <w:rFonts w:eastAsia="Calibri"/>
              </w:rPr>
              <w:t>CAN</w:t>
            </w:r>
          </w:p>
        </w:tc>
      </w:tr>
      <w:tr w:rsidR="005858CD" w:rsidRPr="005858CD" w14:paraId="3C03321B" w14:textId="77777777" w:rsidTr="00E8452E">
        <w:tc>
          <w:tcPr>
            <w:tcW w:w="289" w:type="pct"/>
          </w:tcPr>
          <w:p w14:paraId="5D75D2FF" w14:textId="77777777" w:rsidR="005858CD" w:rsidRPr="005858CD" w:rsidRDefault="005858CD" w:rsidP="008C041F">
            <w:pPr>
              <w:rPr>
                <w:rFonts w:eastAsia="Calibri"/>
              </w:rPr>
            </w:pPr>
            <w:r w:rsidRPr="005858CD">
              <w:rPr>
                <w:rFonts w:eastAsia="Calibri"/>
              </w:rPr>
              <w:t>11</w:t>
            </w:r>
          </w:p>
        </w:tc>
        <w:tc>
          <w:tcPr>
            <w:tcW w:w="1240" w:type="pct"/>
          </w:tcPr>
          <w:p w14:paraId="0C2C78D3" w14:textId="77777777" w:rsidR="005858CD" w:rsidRPr="005858CD" w:rsidRDefault="005858CD" w:rsidP="008C041F">
            <w:pPr>
              <w:rPr>
                <w:rFonts w:eastAsia="Calibri"/>
                <w:lang w:val="es-ES"/>
              </w:rPr>
            </w:pPr>
            <w:r w:rsidRPr="005858CD">
              <w:rPr>
                <w:rFonts w:eastAsia="Calibri"/>
                <w:lang w:val="es-ES"/>
              </w:rPr>
              <w:t>Isolda Espinosa González</w:t>
            </w:r>
          </w:p>
        </w:tc>
        <w:tc>
          <w:tcPr>
            <w:tcW w:w="1777" w:type="pct"/>
          </w:tcPr>
          <w:p w14:paraId="2123F79E" w14:textId="77777777" w:rsidR="005858CD" w:rsidRPr="005858CD" w:rsidRDefault="005858CD" w:rsidP="008C041F">
            <w:pPr>
              <w:rPr>
                <w:rFonts w:eastAsia="Calibri"/>
              </w:rPr>
            </w:pPr>
            <w:r w:rsidRPr="005858CD">
              <w:rPr>
                <w:rFonts w:eastAsia="Calibri"/>
              </w:rPr>
              <w:t>Economist and Gender expert</w:t>
            </w:r>
          </w:p>
        </w:tc>
        <w:tc>
          <w:tcPr>
            <w:tcW w:w="1694" w:type="pct"/>
          </w:tcPr>
          <w:p w14:paraId="7BDF2E61" w14:textId="77777777" w:rsidR="005858CD" w:rsidRPr="005858CD" w:rsidRDefault="005858CD" w:rsidP="008C041F">
            <w:pPr>
              <w:rPr>
                <w:rFonts w:eastAsia="Calibri"/>
              </w:rPr>
            </w:pPr>
            <w:r w:rsidRPr="005858CD">
              <w:rPr>
                <w:rFonts w:eastAsia="Calibri"/>
              </w:rPr>
              <w:t>UNDP Consultant</w:t>
            </w:r>
          </w:p>
        </w:tc>
      </w:tr>
      <w:tr w:rsidR="005858CD" w:rsidRPr="005858CD" w14:paraId="4E48FEA4" w14:textId="77777777" w:rsidTr="00E8452E">
        <w:tc>
          <w:tcPr>
            <w:tcW w:w="289" w:type="pct"/>
          </w:tcPr>
          <w:p w14:paraId="61A5FAD1" w14:textId="77777777" w:rsidR="005858CD" w:rsidRPr="005858CD" w:rsidRDefault="005858CD" w:rsidP="008C041F">
            <w:pPr>
              <w:rPr>
                <w:rFonts w:eastAsia="Calibri"/>
              </w:rPr>
            </w:pPr>
            <w:r w:rsidRPr="005858CD">
              <w:rPr>
                <w:rFonts w:eastAsia="Calibri"/>
              </w:rPr>
              <w:t>12</w:t>
            </w:r>
          </w:p>
        </w:tc>
        <w:tc>
          <w:tcPr>
            <w:tcW w:w="1240" w:type="pct"/>
          </w:tcPr>
          <w:p w14:paraId="379408EE" w14:textId="77777777" w:rsidR="005858CD" w:rsidRPr="005858CD" w:rsidRDefault="005858CD" w:rsidP="008C041F">
            <w:pPr>
              <w:rPr>
                <w:rFonts w:eastAsia="Calibri"/>
                <w:lang w:val="es-ES"/>
              </w:rPr>
            </w:pPr>
            <w:r w:rsidRPr="005858CD">
              <w:rPr>
                <w:rFonts w:eastAsia="Calibri"/>
                <w:lang w:val="es-ES"/>
              </w:rPr>
              <w:t>Juan Bravo</w:t>
            </w:r>
          </w:p>
        </w:tc>
        <w:tc>
          <w:tcPr>
            <w:tcW w:w="1777" w:type="pct"/>
          </w:tcPr>
          <w:p w14:paraId="4527669B" w14:textId="77777777" w:rsidR="005858CD" w:rsidRPr="005858CD" w:rsidRDefault="005858CD" w:rsidP="008C041F">
            <w:pPr>
              <w:rPr>
                <w:rFonts w:eastAsia="Calibri"/>
              </w:rPr>
            </w:pPr>
            <w:r w:rsidRPr="005858CD">
              <w:rPr>
                <w:rFonts w:eastAsia="Calibri"/>
              </w:rPr>
              <w:t xml:space="preserve">Manager </w:t>
            </w:r>
          </w:p>
        </w:tc>
        <w:tc>
          <w:tcPr>
            <w:tcW w:w="1694" w:type="pct"/>
          </w:tcPr>
          <w:p w14:paraId="1398217A" w14:textId="77777777" w:rsidR="005858CD" w:rsidRPr="005858CD" w:rsidRDefault="005858CD" w:rsidP="008C041F">
            <w:pPr>
              <w:rPr>
                <w:rFonts w:eastAsia="Calibri"/>
              </w:rPr>
            </w:pPr>
            <w:r w:rsidRPr="005858CD">
              <w:rPr>
                <w:rFonts w:eastAsia="Calibri"/>
              </w:rPr>
              <w:t>CFPS</w:t>
            </w:r>
          </w:p>
        </w:tc>
      </w:tr>
      <w:tr w:rsidR="005858CD" w:rsidRPr="005858CD" w14:paraId="63707C91" w14:textId="77777777" w:rsidTr="00E8452E">
        <w:trPr>
          <w:trHeight w:val="629"/>
        </w:trPr>
        <w:tc>
          <w:tcPr>
            <w:tcW w:w="289" w:type="pct"/>
          </w:tcPr>
          <w:p w14:paraId="615DB1B1" w14:textId="77777777" w:rsidR="005858CD" w:rsidRPr="005858CD" w:rsidRDefault="005858CD" w:rsidP="008C041F">
            <w:pPr>
              <w:rPr>
                <w:rFonts w:eastAsia="Calibri"/>
              </w:rPr>
            </w:pPr>
            <w:r w:rsidRPr="005858CD">
              <w:rPr>
                <w:rFonts w:eastAsia="Calibri"/>
              </w:rPr>
              <w:t>13</w:t>
            </w:r>
          </w:p>
        </w:tc>
        <w:tc>
          <w:tcPr>
            <w:tcW w:w="1240" w:type="pct"/>
          </w:tcPr>
          <w:p w14:paraId="6276C484" w14:textId="77777777" w:rsidR="005858CD" w:rsidRPr="005858CD" w:rsidRDefault="005858CD" w:rsidP="008C041F">
            <w:pPr>
              <w:rPr>
                <w:rFonts w:eastAsia="Calibri"/>
                <w:lang w:val="es-ES"/>
              </w:rPr>
            </w:pPr>
            <w:r w:rsidRPr="005858CD">
              <w:rPr>
                <w:rFonts w:eastAsia="Calibri"/>
                <w:lang w:val="es-ES"/>
              </w:rPr>
              <w:t>Juana Villareyna</w:t>
            </w:r>
          </w:p>
        </w:tc>
        <w:tc>
          <w:tcPr>
            <w:tcW w:w="1777" w:type="pct"/>
          </w:tcPr>
          <w:p w14:paraId="015DE768" w14:textId="77777777" w:rsidR="005858CD" w:rsidRPr="005858CD" w:rsidRDefault="005858CD" w:rsidP="008C041F">
            <w:pPr>
              <w:rPr>
                <w:rFonts w:eastAsia="Calibri"/>
              </w:rPr>
            </w:pPr>
            <w:r w:rsidRPr="005858CD">
              <w:rPr>
                <w:rFonts w:eastAsia="Calibri"/>
              </w:rPr>
              <w:t>Agronomist and Director for La FEM</w:t>
            </w:r>
          </w:p>
        </w:tc>
        <w:tc>
          <w:tcPr>
            <w:tcW w:w="1694" w:type="pct"/>
          </w:tcPr>
          <w:p w14:paraId="0A832008" w14:textId="77777777" w:rsidR="005858CD" w:rsidRPr="005858CD" w:rsidRDefault="005858CD" w:rsidP="008C041F">
            <w:pPr>
              <w:rPr>
                <w:rFonts w:eastAsia="Calibri"/>
              </w:rPr>
            </w:pPr>
            <w:r w:rsidRPr="005858CD">
              <w:rPr>
                <w:rFonts w:eastAsia="Calibri"/>
              </w:rPr>
              <w:t>La FEM (Foundation among Women)</w:t>
            </w:r>
          </w:p>
        </w:tc>
      </w:tr>
      <w:tr w:rsidR="005858CD" w:rsidRPr="005858CD" w14:paraId="53243829" w14:textId="77777777" w:rsidTr="00E8452E">
        <w:tc>
          <w:tcPr>
            <w:tcW w:w="289" w:type="pct"/>
          </w:tcPr>
          <w:p w14:paraId="6D67ABB7" w14:textId="77777777" w:rsidR="005858CD" w:rsidRPr="005858CD" w:rsidRDefault="005858CD" w:rsidP="008C041F">
            <w:pPr>
              <w:rPr>
                <w:rFonts w:eastAsia="Calibri"/>
              </w:rPr>
            </w:pPr>
            <w:r w:rsidRPr="005858CD">
              <w:rPr>
                <w:rFonts w:eastAsia="Calibri"/>
              </w:rPr>
              <w:t>14</w:t>
            </w:r>
          </w:p>
        </w:tc>
        <w:tc>
          <w:tcPr>
            <w:tcW w:w="1240" w:type="pct"/>
          </w:tcPr>
          <w:p w14:paraId="3D337654" w14:textId="77777777" w:rsidR="005858CD" w:rsidRPr="005858CD" w:rsidRDefault="005858CD" w:rsidP="008C041F">
            <w:pPr>
              <w:rPr>
                <w:rFonts w:eastAsia="Calibri"/>
                <w:lang w:val="es-ES"/>
              </w:rPr>
            </w:pPr>
            <w:r w:rsidRPr="005858CD">
              <w:rPr>
                <w:rFonts w:eastAsia="Calibri"/>
                <w:lang w:val="es-ES"/>
              </w:rPr>
              <w:t>Margarita Arauz</w:t>
            </w:r>
          </w:p>
        </w:tc>
        <w:tc>
          <w:tcPr>
            <w:tcW w:w="1777" w:type="pct"/>
          </w:tcPr>
          <w:p w14:paraId="7A4F4F40" w14:textId="77777777" w:rsidR="005858CD" w:rsidRPr="005858CD" w:rsidRDefault="005858CD" w:rsidP="008C041F">
            <w:pPr>
              <w:rPr>
                <w:rFonts w:eastAsia="Calibri"/>
              </w:rPr>
            </w:pPr>
            <w:r w:rsidRPr="005858CD">
              <w:rPr>
                <w:rFonts w:eastAsia="Calibri"/>
              </w:rPr>
              <w:t>Gender coordinator</w:t>
            </w:r>
          </w:p>
        </w:tc>
        <w:tc>
          <w:tcPr>
            <w:tcW w:w="1694" w:type="pct"/>
          </w:tcPr>
          <w:p w14:paraId="4FA0492E" w14:textId="77777777" w:rsidR="005858CD" w:rsidRPr="005858CD" w:rsidRDefault="005858CD" w:rsidP="008C041F">
            <w:pPr>
              <w:rPr>
                <w:rFonts w:eastAsia="Calibri"/>
              </w:rPr>
            </w:pPr>
            <w:r w:rsidRPr="005858CD">
              <w:rPr>
                <w:rFonts w:eastAsia="Calibri"/>
              </w:rPr>
              <w:t>Soppexcca</w:t>
            </w:r>
          </w:p>
        </w:tc>
      </w:tr>
      <w:tr w:rsidR="005858CD" w:rsidRPr="005858CD" w14:paraId="31A850C3" w14:textId="77777777" w:rsidTr="00E8452E">
        <w:tc>
          <w:tcPr>
            <w:tcW w:w="289" w:type="pct"/>
          </w:tcPr>
          <w:p w14:paraId="2F8B5D8E" w14:textId="77777777" w:rsidR="005858CD" w:rsidRPr="005858CD" w:rsidRDefault="005858CD" w:rsidP="008C041F">
            <w:pPr>
              <w:rPr>
                <w:rFonts w:eastAsia="Calibri"/>
              </w:rPr>
            </w:pPr>
            <w:r w:rsidRPr="005858CD">
              <w:rPr>
                <w:rFonts w:eastAsia="Calibri"/>
              </w:rPr>
              <w:t>15</w:t>
            </w:r>
          </w:p>
        </w:tc>
        <w:tc>
          <w:tcPr>
            <w:tcW w:w="1240" w:type="pct"/>
          </w:tcPr>
          <w:p w14:paraId="1090D034" w14:textId="77777777" w:rsidR="005858CD" w:rsidRPr="005858CD" w:rsidRDefault="005858CD" w:rsidP="008C041F">
            <w:pPr>
              <w:rPr>
                <w:rFonts w:eastAsia="Calibri"/>
                <w:lang w:val="es-ES"/>
              </w:rPr>
            </w:pPr>
            <w:r w:rsidRPr="005858CD">
              <w:rPr>
                <w:rFonts w:eastAsia="Calibri"/>
                <w:lang w:val="es-ES"/>
              </w:rPr>
              <w:t>Patricia Orozco</w:t>
            </w:r>
          </w:p>
        </w:tc>
        <w:tc>
          <w:tcPr>
            <w:tcW w:w="1777" w:type="pct"/>
          </w:tcPr>
          <w:p w14:paraId="1E901689" w14:textId="77777777" w:rsidR="005858CD" w:rsidRPr="005858CD" w:rsidRDefault="005858CD" w:rsidP="008C041F">
            <w:pPr>
              <w:rPr>
                <w:rFonts w:eastAsia="Calibri"/>
              </w:rPr>
            </w:pPr>
            <w:r w:rsidRPr="005858CD">
              <w:rPr>
                <w:rFonts w:eastAsia="Calibri"/>
              </w:rPr>
              <w:t>Nicaraguan prominent feminist and Human Rights defender.</w:t>
            </w:r>
          </w:p>
        </w:tc>
        <w:tc>
          <w:tcPr>
            <w:tcW w:w="1694" w:type="pct"/>
          </w:tcPr>
          <w:p w14:paraId="18BD4FBA" w14:textId="77777777" w:rsidR="005858CD" w:rsidRPr="005858CD" w:rsidRDefault="005858CD" w:rsidP="008C041F">
            <w:pPr>
              <w:rPr>
                <w:rFonts w:eastAsia="Calibri"/>
              </w:rPr>
            </w:pPr>
            <w:r w:rsidRPr="005858CD">
              <w:rPr>
                <w:rFonts w:eastAsia="Calibri"/>
              </w:rPr>
              <w:t>La Onda local radio station</w:t>
            </w:r>
          </w:p>
        </w:tc>
      </w:tr>
      <w:tr w:rsidR="005858CD" w:rsidRPr="005858CD" w14:paraId="72FEF594" w14:textId="77777777" w:rsidTr="00E8452E">
        <w:trPr>
          <w:trHeight w:val="1979"/>
        </w:trPr>
        <w:tc>
          <w:tcPr>
            <w:tcW w:w="289" w:type="pct"/>
          </w:tcPr>
          <w:p w14:paraId="212F198A" w14:textId="77777777" w:rsidR="005858CD" w:rsidRPr="005858CD" w:rsidRDefault="005858CD" w:rsidP="008C041F">
            <w:pPr>
              <w:rPr>
                <w:rFonts w:eastAsia="Calibri"/>
              </w:rPr>
            </w:pPr>
            <w:r w:rsidRPr="005858CD">
              <w:rPr>
                <w:rFonts w:eastAsia="Calibri"/>
              </w:rPr>
              <w:t>16</w:t>
            </w:r>
          </w:p>
        </w:tc>
        <w:tc>
          <w:tcPr>
            <w:tcW w:w="1240" w:type="pct"/>
          </w:tcPr>
          <w:p w14:paraId="26F38EAA" w14:textId="77777777" w:rsidR="005858CD" w:rsidRPr="005858CD" w:rsidRDefault="005858CD" w:rsidP="008C041F">
            <w:pPr>
              <w:rPr>
                <w:rFonts w:eastAsia="Calibri"/>
                <w:lang w:val="es-ES"/>
              </w:rPr>
            </w:pPr>
            <w:r w:rsidRPr="005858CD">
              <w:rPr>
                <w:rFonts w:eastAsia="Calibri"/>
                <w:lang w:val="es-ES"/>
              </w:rPr>
              <w:t>Sandra Ramos</w:t>
            </w:r>
          </w:p>
        </w:tc>
        <w:tc>
          <w:tcPr>
            <w:tcW w:w="1777" w:type="pct"/>
          </w:tcPr>
          <w:p w14:paraId="68B4C6D4" w14:textId="77777777" w:rsidR="005858CD" w:rsidRPr="005858CD" w:rsidRDefault="005858CD" w:rsidP="008C041F">
            <w:pPr>
              <w:rPr>
                <w:rFonts w:eastAsia="Calibri"/>
              </w:rPr>
            </w:pPr>
            <w:r w:rsidRPr="005858CD">
              <w:rPr>
                <w:color w:val="000000"/>
                <w:lang w:eastAsia="en-GB"/>
              </w:rPr>
              <w:t>Co-founder and director of the MEC</w:t>
            </w:r>
          </w:p>
        </w:tc>
        <w:tc>
          <w:tcPr>
            <w:tcW w:w="1694" w:type="pct"/>
          </w:tcPr>
          <w:p w14:paraId="7A3CA042" w14:textId="77777777" w:rsidR="005858CD" w:rsidRPr="005858CD" w:rsidRDefault="005858CD" w:rsidP="008C041F">
            <w:pPr>
              <w:rPr>
                <w:color w:val="000000"/>
                <w:lang w:eastAsia="en-GB"/>
              </w:rPr>
            </w:pPr>
            <w:r w:rsidRPr="005858CD">
              <w:rPr>
                <w:color w:val="000000"/>
                <w:lang w:eastAsia="en-GB"/>
              </w:rPr>
              <w:t>The Movement of Working and Unemployed Women ‘Maria Elena Cuadra’ (MEC) </w:t>
            </w:r>
          </w:p>
          <w:p w14:paraId="02DCFDBD" w14:textId="77777777" w:rsidR="005858CD" w:rsidRPr="005858CD" w:rsidRDefault="005858CD" w:rsidP="008C041F">
            <w:pPr>
              <w:rPr>
                <w:rFonts w:eastAsia="Calibri"/>
              </w:rPr>
            </w:pPr>
          </w:p>
        </w:tc>
      </w:tr>
      <w:tr w:rsidR="005858CD" w:rsidRPr="005858CD" w14:paraId="593C5161" w14:textId="77777777" w:rsidTr="00E8452E">
        <w:trPr>
          <w:trHeight w:val="1142"/>
        </w:trPr>
        <w:tc>
          <w:tcPr>
            <w:tcW w:w="289" w:type="pct"/>
          </w:tcPr>
          <w:p w14:paraId="3A201845" w14:textId="77777777" w:rsidR="005858CD" w:rsidRPr="005858CD" w:rsidRDefault="005858CD" w:rsidP="008C041F">
            <w:pPr>
              <w:rPr>
                <w:rFonts w:eastAsia="Calibri"/>
              </w:rPr>
            </w:pPr>
            <w:r w:rsidRPr="005858CD">
              <w:rPr>
                <w:rFonts w:eastAsia="Calibri"/>
              </w:rPr>
              <w:t>17</w:t>
            </w:r>
          </w:p>
        </w:tc>
        <w:tc>
          <w:tcPr>
            <w:tcW w:w="1240" w:type="pct"/>
          </w:tcPr>
          <w:p w14:paraId="7C4FD007" w14:textId="77777777" w:rsidR="005858CD" w:rsidRPr="005858CD" w:rsidRDefault="005858CD" w:rsidP="008C041F">
            <w:pPr>
              <w:rPr>
                <w:rFonts w:eastAsia="Calibri"/>
                <w:lang w:val="es-ES"/>
              </w:rPr>
            </w:pPr>
            <w:r w:rsidRPr="005858CD">
              <w:rPr>
                <w:rFonts w:eastAsia="Calibri"/>
                <w:lang w:val="es-ES"/>
              </w:rPr>
              <w:t>Selmira Flores</w:t>
            </w:r>
          </w:p>
        </w:tc>
        <w:tc>
          <w:tcPr>
            <w:tcW w:w="1777" w:type="pct"/>
          </w:tcPr>
          <w:p w14:paraId="1CEC88E4" w14:textId="77777777" w:rsidR="005858CD" w:rsidRPr="005858CD" w:rsidRDefault="005858CD" w:rsidP="008C041F">
            <w:pPr>
              <w:rPr>
                <w:color w:val="2B2B2B"/>
                <w:lang w:eastAsia="en-GB"/>
              </w:rPr>
            </w:pPr>
            <w:r w:rsidRPr="005858CD">
              <w:rPr>
                <w:color w:val="2B2B2B"/>
                <w:lang w:eastAsia="en-GB"/>
              </w:rPr>
              <w:t> Director of the Nitlapan-UCA research program</w:t>
            </w:r>
          </w:p>
          <w:p w14:paraId="394C5F7B" w14:textId="77777777" w:rsidR="005858CD" w:rsidRPr="005858CD" w:rsidRDefault="005858CD" w:rsidP="008C041F">
            <w:pPr>
              <w:rPr>
                <w:rFonts w:eastAsia="Calibri"/>
              </w:rPr>
            </w:pPr>
          </w:p>
        </w:tc>
        <w:tc>
          <w:tcPr>
            <w:tcW w:w="1694" w:type="pct"/>
          </w:tcPr>
          <w:p w14:paraId="41F7C48E" w14:textId="77777777" w:rsidR="005858CD" w:rsidRPr="005858CD" w:rsidRDefault="005858CD" w:rsidP="008C041F">
            <w:pPr>
              <w:rPr>
                <w:rFonts w:eastAsia="Calibri"/>
              </w:rPr>
            </w:pPr>
            <w:r w:rsidRPr="005858CD">
              <w:rPr>
                <w:color w:val="2B2B2B"/>
                <w:lang w:eastAsia="en-GB"/>
              </w:rPr>
              <w:t>Nitlapan -</w:t>
            </w:r>
            <w:r w:rsidRPr="005858CD">
              <w:rPr>
                <w:rFonts w:eastAsia="Calibri"/>
              </w:rPr>
              <w:t xml:space="preserve"> Universidad de Centroamérica</w:t>
            </w:r>
          </w:p>
        </w:tc>
      </w:tr>
      <w:tr w:rsidR="005858CD" w:rsidRPr="005858CD" w14:paraId="32ACB7D4" w14:textId="77777777" w:rsidTr="00E8452E">
        <w:tc>
          <w:tcPr>
            <w:tcW w:w="289" w:type="pct"/>
          </w:tcPr>
          <w:p w14:paraId="7A0ACF40" w14:textId="77777777" w:rsidR="005858CD" w:rsidRPr="005858CD" w:rsidRDefault="005858CD" w:rsidP="008C041F">
            <w:pPr>
              <w:rPr>
                <w:rFonts w:eastAsia="Calibri"/>
              </w:rPr>
            </w:pPr>
            <w:r w:rsidRPr="005858CD">
              <w:rPr>
                <w:rFonts w:eastAsia="Calibri"/>
              </w:rPr>
              <w:t>18</w:t>
            </w:r>
          </w:p>
        </w:tc>
        <w:tc>
          <w:tcPr>
            <w:tcW w:w="1240" w:type="pct"/>
          </w:tcPr>
          <w:p w14:paraId="0BBDC25D" w14:textId="77777777" w:rsidR="005858CD" w:rsidRPr="005858CD" w:rsidRDefault="005858CD" w:rsidP="008C041F">
            <w:pPr>
              <w:rPr>
                <w:lang w:eastAsia="en-GB"/>
              </w:rPr>
            </w:pPr>
            <w:r w:rsidRPr="005858CD">
              <w:rPr>
                <w:lang w:eastAsia="en-GB"/>
              </w:rPr>
              <w:t>Yadira Montenegro</w:t>
            </w:r>
          </w:p>
          <w:p w14:paraId="09D623DC" w14:textId="77777777" w:rsidR="005858CD" w:rsidRPr="005858CD" w:rsidRDefault="005858CD" w:rsidP="008C041F">
            <w:pPr>
              <w:rPr>
                <w:rFonts w:eastAsia="Calibri"/>
                <w:lang w:val="es-ES"/>
              </w:rPr>
            </w:pPr>
          </w:p>
        </w:tc>
        <w:tc>
          <w:tcPr>
            <w:tcW w:w="1777" w:type="pct"/>
          </w:tcPr>
          <w:p w14:paraId="772A59A1" w14:textId="77777777" w:rsidR="005858CD" w:rsidRPr="005858CD" w:rsidRDefault="005858CD" w:rsidP="008C041F">
            <w:pPr>
              <w:rPr>
                <w:rFonts w:eastAsia="Calibri"/>
              </w:rPr>
            </w:pPr>
            <w:r w:rsidRPr="005858CD">
              <w:rPr>
                <w:rFonts w:eastAsia="Calibri"/>
              </w:rPr>
              <w:t>Gender coordinator</w:t>
            </w:r>
          </w:p>
        </w:tc>
        <w:tc>
          <w:tcPr>
            <w:tcW w:w="1694" w:type="pct"/>
          </w:tcPr>
          <w:p w14:paraId="2EBD63DC" w14:textId="77777777" w:rsidR="005858CD" w:rsidRPr="005858CD" w:rsidRDefault="005858CD" w:rsidP="008C041F">
            <w:pPr>
              <w:rPr>
                <w:rFonts w:eastAsia="Calibri"/>
              </w:rPr>
            </w:pPr>
            <w:r w:rsidRPr="005858CD">
              <w:rPr>
                <w:rFonts w:eastAsia="Calibri"/>
              </w:rPr>
              <w:t>UCA San Ramon</w:t>
            </w:r>
          </w:p>
        </w:tc>
      </w:tr>
      <w:tr w:rsidR="005858CD" w:rsidRPr="005858CD" w14:paraId="66B03345" w14:textId="77777777" w:rsidTr="00E8452E">
        <w:tc>
          <w:tcPr>
            <w:tcW w:w="289" w:type="pct"/>
          </w:tcPr>
          <w:p w14:paraId="27150FBE" w14:textId="77777777" w:rsidR="005858CD" w:rsidRPr="005858CD" w:rsidRDefault="005858CD" w:rsidP="008C041F">
            <w:pPr>
              <w:rPr>
                <w:rFonts w:eastAsia="Calibri"/>
              </w:rPr>
            </w:pPr>
            <w:r w:rsidRPr="005858CD">
              <w:rPr>
                <w:rFonts w:eastAsia="Calibri"/>
              </w:rPr>
              <w:t>19</w:t>
            </w:r>
          </w:p>
        </w:tc>
        <w:tc>
          <w:tcPr>
            <w:tcW w:w="1240" w:type="pct"/>
          </w:tcPr>
          <w:p w14:paraId="6E09A9B0" w14:textId="77777777" w:rsidR="005858CD" w:rsidRPr="005858CD" w:rsidRDefault="005858CD" w:rsidP="008C041F">
            <w:pPr>
              <w:rPr>
                <w:rFonts w:eastAsia="Calibri"/>
                <w:lang w:val="es-ES"/>
              </w:rPr>
            </w:pPr>
            <w:r w:rsidRPr="005858CD">
              <w:rPr>
                <w:rFonts w:eastAsia="Calibri"/>
                <w:lang w:val="es-ES"/>
              </w:rPr>
              <w:t>Yolanda Arias Blas</w:t>
            </w:r>
          </w:p>
        </w:tc>
        <w:tc>
          <w:tcPr>
            <w:tcW w:w="1777" w:type="pct"/>
          </w:tcPr>
          <w:p w14:paraId="03BFB196" w14:textId="77777777" w:rsidR="005858CD" w:rsidRPr="005858CD" w:rsidRDefault="005858CD" w:rsidP="008C041F">
            <w:pPr>
              <w:rPr>
                <w:rFonts w:eastAsia="Calibri"/>
                <w:lang w:val="es-ES"/>
              </w:rPr>
            </w:pPr>
            <w:r w:rsidRPr="005858CD">
              <w:rPr>
                <w:rFonts w:eastAsia="Calibri"/>
                <w:lang w:val="es-ES"/>
              </w:rPr>
              <w:t>Movimiento de mujeres de Campo de la ATC, Regional coordinator, Comisión de mujeres de la Vía Campesina.</w:t>
            </w:r>
          </w:p>
        </w:tc>
        <w:tc>
          <w:tcPr>
            <w:tcW w:w="1694" w:type="pct"/>
          </w:tcPr>
          <w:p w14:paraId="6C0C89A7" w14:textId="77777777" w:rsidR="005858CD" w:rsidRPr="005858CD" w:rsidRDefault="005858CD" w:rsidP="008C041F">
            <w:pPr>
              <w:rPr>
                <w:rFonts w:eastAsia="Calibri"/>
              </w:rPr>
            </w:pPr>
            <w:r w:rsidRPr="005858CD">
              <w:rPr>
                <w:rFonts w:eastAsia="Calibri"/>
              </w:rPr>
              <w:t>ATC</w:t>
            </w:r>
          </w:p>
          <w:p w14:paraId="3809B46B" w14:textId="77777777" w:rsidR="005858CD" w:rsidRPr="005858CD" w:rsidRDefault="005858CD" w:rsidP="008C041F">
            <w:pPr>
              <w:rPr>
                <w:rFonts w:eastAsia="Calibri"/>
              </w:rPr>
            </w:pPr>
          </w:p>
          <w:p w14:paraId="675B444F" w14:textId="77777777" w:rsidR="005858CD" w:rsidRPr="005858CD" w:rsidRDefault="005858CD" w:rsidP="008C041F">
            <w:pPr>
              <w:rPr>
                <w:rFonts w:eastAsia="Calibri"/>
              </w:rPr>
            </w:pPr>
          </w:p>
          <w:p w14:paraId="335889EE" w14:textId="77777777" w:rsidR="005858CD" w:rsidRPr="005858CD" w:rsidRDefault="005858CD">
            <w:pPr>
              <w:rPr>
                <w:rFonts w:eastAsia="Calibri"/>
              </w:rPr>
            </w:pPr>
          </w:p>
        </w:tc>
      </w:tr>
    </w:tbl>
    <w:p w14:paraId="10ABC6AB" w14:textId="77777777" w:rsidR="005858CD" w:rsidRPr="005858CD" w:rsidRDefault="005858CD" w:rsidP="008C041F">
      <w:pPr>
        <w:rPr>
          <w:rFonts w:asciiTheme="minorHAnsi" w:eastAsiaTheme="minorHAnsi" w:hAnsiTheme="minorHAnsi" w:cstheme="minorBidi"/>
        </w:rPr>
      </w:pPr>
    </w:p>
    <w:p w14:paraId="3AEF1206" w14:textId="77777777" w:rsidR="008C041F" w:rsidRDefault="008C041F" w:rsidP="008C041F">
      <w:pPr>
        <w:rPr>
          <w:rFonts w:asciiTheme="minorHAnsi" w:eastAsiaTheme="minorHAnsi" w:hAnsiTheme="minorHAnsi" w:cstheme="minorBidi"/>
        </w:rPr>
        <w:sectPr w:rsidR="008C041F" w:rsidSect="008C041F">
          <w:pgSz w:w="11900" w:h="16840"/>
          <w:pgMar w:top="1440" w:right="1440" w:bottom="1440" w:left="2160" w:header="720" w:footer="720" w:gutter="0"/>
          <w:cols w:space="720"/>
          <w:docGrid w:linePitch="360"/>
        </w:sectPr>
      </w:pPr>
    </w:p>
    <w:p w14:paraId="28F1577A" w14:textId="7E631A26" w:rsidR="005858CD" w:rsidRPr="005858CD" w:rsidRDefault="005858CD" w:rsidP="008C041F">
      <w:pPr>
        <w:rPr>
          <w:rFonts w:asciiTheme="minorHAnsi" w:eastAsiaTheme="minorHAnsi" w:hAnsiTheme="minorHAnsi" w:cstheme="minorBidi"/>
        </w:rPr>
      </w:pPr>
    </w:p>
    <w:p w14:paraId="4DB5B67D" w14:textId="77777777" w:rsidR="005858CD" w:rsidRPr="005858CD" w:rsidRDefault="005858CD" w:rsidP="008C041F">
      <w:pPr>
        <w:rPr>
          <w:rFonts w:asciiTheme="minorHAnsi" w:eastAsiaTheme="minorHAnsi" w:hAnsiTheme="minorHAnsi" w:cstheme="minorBidi"/>
        </w:rPr>
      </w:pPr>
    </w:p>
    <w:p w14:paraId="4F26CB13" w14:textId="77777777" w:rsidR="005858CD" w:rsidRPr="005858CD" w:rsidRDefault="005858CD" w:rsidP="008C041F">
      <w:pPr>
        <w:rPr>
          <w:rFonts w:asciiTheme="minorHAnsi" w:eastAsiaTheme="minorHAnsi" w:hAnsiTheme="minorHAnsi" w:cstheme="minorBidi"/>
        </w:rPr>
      </w:pPr>
    </w:p>
    <w:p w14:paraId="1E4986CC" w14:textId="77777777" w:rsidR="005858CD" w:rsidRPr="005858CD" w:rsidRDefault="005858CD" w:rsidP="008C041F">
      <w:pPr>
        <w:rPr>
          <w:rFonts w:asciiTheme="minorHAnsi" w:eastAsiaTheme="minorHAnsi" w:hAnsiTheme="minorHAnsi" w:cstheme="minorBidi"/>
        </w:rPr>
      </w:pPr>
    </w:p>
    <w:p w14:paraId="05C5135C" w14:textId="77777777" w:rsidR="005858CD" w:rsidRPr="005858CD" w:rsidRDefault="005858CD" w:rsidP="008C041F">
      <w:pPr>
        <w:rPr>
          <w:rFonts w:asciiTheme="minorHAnsi" w:eastAsiaTheme="minorHAnsi" w:hAnsiTheme="minorHAnsi" w:cstheme="minorBidi"/>
        </w:rPr>
      </w:pPr>
    </w:p>
    <w:p w14:paraId="74845C54" w14:textId="77777777" w:rsidR="005858CD" w:rsidRPr="005858CD" w:rsidRDefault="005858CD" w:rsidP="008C041F">
      <w:pPr>
        <w:outlineLvl w:val="0"/>
        <w:rPr>
          <w:rFonts w:eastAsiaTheme="minorHAnsi"/>
          <w:b/>
          <w:u w:val="single"/>
        </w:rPr>
      </w:pPr>
    </w:p>
    <w:p w14:paraId="14D6ED4B" w14:textId="77777777" w:rsidR="005858CD" w:rsidRPr="005858CD" w:rsidRDefault="005858CD">
      <w:pPr>
        <w:outlineLvl w:val="0"/>
        <w:rPr>
          <w:rFonts w:eastAsiaTheme="minorHAnsi"/>
          <w:b/>
          <w:u w:val="single"/>
        </w:rPr>
      </w:pPr>
    </w:p>
    <w:p w14:paraId="145A0395" w14:textId="77777777" w:rsidR="005858CD" w:rsidRPr="005858CD" w:rsidRDefault="005858CD">
      <w:pPr>
        <w:outlineLvl w:val="0"/>
        <w:rPr>
          <w:rFonts w:eastAsiaTheme="minorHAnsi"/>
          <w:b/>
          <w:u w:val="single"/>
        </w:rPr>
      </w:pPr>
    </w:p>
    <w:p w14:paraId="5C481A7B" w14:textId="77777777" w:rsidR="005858CD" w:rsidRPr="005858CD" w:rsidRDefault="005858CD">
      <w:pPr>
        <w:outlineLvl w:val="0"/>
        <w:rPr>
          <w:rFonts w:eastAsiaTheme="minorHAnsi"/>
          <w:b/>
        </w:rPr>
      </w:pPr>
    </w:p>
    <w:p w14:paraId="552CD918" w14:textId="77777777" w:rsidR="005858CD" w:rsidRPr="005858CD" w:rsidRDefault="005858CD">
      <w:pPr>
        <w:outlineLvl w:val="0"/>
        <w:rPr>
          <w:rFonts w:eastAsia="MS Mincho"/>
        </w:rPr>
      </w:pPr>
    </w:p>
    <w:p w14:paraId="34914396" w14:textId="77777777" w:rsidR="005858CD" w:rsidRPr="005858CD" w:rsidRDefault="005858CD">
      <w:pPr>
        <w:outlineLvl w:val="0"/>
        <w:rPr>
          <w:rFonts w:eastAsia="MS Mincho"/>
        </w:rPr>
      </w:pPr>
    </w:p>
    <w:p w14:paraId="43DAB17A" w14:textId="77777777" w:rsidR="005858CD" w:rsidRPr="005858CD" w:rsidRDefault="005858CD">
      <w:pPr>
        <w:outlineLvl w:val="0"/>
        <w:rPr>
          <w:rFonts w:eastAsia="MS Mincho"/>
        </w:rPr>
      </w:pPr>
    </w:p>
    <w:p w14:paraId="37D762F2" w14:textId="77777777" w:rsidR="005858CD" w:rsidRPr="005858CD" w:rsidRDefault="005858CD">
      <w:pPr>
        <w:rPr>
          <w:rFonts w:eastAsiaTheme="minorHAnsi"/>
        </w:rPr>
      </w:pPr>
    </w:p>
    <w:p w14:paraId="705FFA79" w14:textId="77777777" w:rsidR="00CE1976" w:rsidRDefault="00CE1976"/>
    <w:p w14:paraId="2D18E34D" w14:textId="77777777" w:rsidR="00CE1976" w:rsidRDefault="00CE1976"/>
    <w:p w14:paraId="2ED4D7D1" w14:textId="77777777" w:rsidR="00CE1976" w:rsidRDefault="00CE1976"/>
    <w:p w14:paraId="36683469" w14:textId="77777777" w:rsidR="00CE1976" w:rsidRDefault="00CE1976"/>
    <w:p w14:paraId="56AF5E8F" w14:textId="77777777" w:rsidR="00CE1976" w:rsidRDefault="00CE1976"/>
    <w:p w14:paraId="20CB798E" w14:textId="77777777" w:rsidR="00CE1976" w:rsidRDefault="00CE1976"/>
    <w:p w14:paraId="3902FBC0" w14:textId="77777777" w:rsidR="00CE1976" w:rsidRDefault="00CE1976">
      <w:pPr>
        <w:outlineLvl w:val="0"/>
        <w:rPr>
          <w:b/>
          <w:u w:val="single"/>
        </w:rPr>
      </w:pPr>
    </w:p>
    <w:p w14:paraId="4280D34F" w14:textId="77777777" w:rsidR="00CE1976" w:rsidRDefault="00CE1976">
      <w:pPr>
        <w:outlineLvl w:val="0"/>
        <w:rPr>
          <w:b/>
          <w:u w:val="single"/>
        </w:rPr>
      </w:pPr>
    </w:p>
    <w:p w14:paraId="63376061" w14:textId="77777777" w:rsidR="00CE1976" w:rsidRDefault="00CE1976">
      <w:pPr>
        <w:outlineLvl w:val="0"/>
        <w:rPr>
          <w:b/>
          <w:u w:val="single"/>
        </w:rPr>
      </w:pPr>
    </w:p>
    <w:p w14:paraId="5E794B8B" w14:textId="77777777" w:rsidR="00CE1976" w:rsidRDefault="00CE1976">
      <w:pPr>
        <w:outlineLvl w:val="0"/>
        <w:rPr>
          <w:b/>
        </w:rPr>
      </w:pPr>
    </w:p>
    <w:p w14:paraId="6E53F952" w14:textId="77777777" w:rsidR="00CE1976" w:rsidRDefault="00CE1976">
      <w:pPr>
        <w:outlineLvl w:val="0"/>
        <w:rPr>
          <w:rFonts w:eastAsia="MS Mincho"/>
        </w:rPr>
      </w:pPr>
    </w:p>
    <w:p w14:paraId="4091FAF3" w14:textId="4B3AF09E" w:rsidR="00C20FCD" w:rsidRDefault="00C20FCD">
      <w:pPr>
        <w:spacing w:line="360" w:lineRule="auto"/>
        <w:jc w:val="both"/>
        <w:rPr>
          <w:rFonts w:eastAsiaTheme="minorHAnsi"/>
          <w:lang w:eastAsia="en-GB"/>
        </w:rPr>
        <w:sectPr w:rsidR="00C20FCD" w:rsidSect="008C041F">
          <w:pgSz w:w="11900" w:h="16840"/>
          <w:pgMar w:top="1440" w:right="1440" w:bottom="1440" w:left="2160" w:header="720" w:footer="720" w:gutter="0"/>
          <w:cols w:space="720"/>
          <w:docGrid w:linePitch="360"/>
        </w:sectPr>
      </w:pPr>
    </w:p>
    <w:p w14:paraId="18C2B750" w14:textId="77777777" w:rsidR="001C443C" w:rsidRPr="002D7CA1" w:rsidRDefault="001C443C">
      <w:pPr>
        <w:spacing w:line="360" w:lineRule="auto"/>
        <w:jc w:val="both"/>
        <w:rPr>
          <w:color w:val="000000" w:themeColor="text1"/>
        </w:rPr>
      </w:pPr>
    </w:p>
    <w:sectPr w:rsidR="001C443C" w:rsidRPr="002D7CA1" w:rsidSect="00293176">
      <w:headerReference w:type="even" r:id="rId119"/>
      <w:headerReference w:type="default" r:id="rId120"/>
      <w:footerReference w:type="even" r:id="rId121"/>
      <w:footerReference w:type="default" r:id="rId122"/>
      <w:headerReference w:type="first" r:id="rId123"/>
      <w:footerReference w:type="first" r:id="rId124"/>
      <w:type w:val="continuous"/>
      <w:pgSz w:w="11900" w:h="16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05CA5" w14:textId="77777777" w:rsidR="0082537D" w:rsidRDefault="0082537D" w:rsidP="005F41B9">
      <w:r>
        <w:separator/>
      </w:r>
    </w:p>
  </w:endnote>
  <w:endnote w:type="continuationSeparator" w:id="0">
    <w:p w14:paraId="501DEFEA" w14:textId="77777777" w:rsidR="0082537D" w:rsidRDefault="0082537D" w:rsidP="005F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Droid Sans Fallback">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AdvPS6F00">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ITC Stone Serif Std Medium">
    <w:altName w:val="ITC Stone Serif Std Medium"/>
    <w:charset w:val="00"/>
    <w:family w:val="roman"/>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rebuchetMS">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32296834"/>
      <w:docPartObj>
        <w:docPartGallery w:val="Page Numbers (Bottom of Page)"/>
        <w:docPartUnique/>
      </w:docPartObj>
    </w:sdtPr>
    <w:sdtEndPr>
      <w:rPr>
        <w:noProof/>
      </w:rPr>
    </w:sdtEndPr>
    <w:sdtContent>
      <w:p w14:paraId="372AAAF9" w14:textId="6E84A878" w:rsidR="00A96CF7" w:rsidRPr="00293176" w:rsidRDefault="00A96CF7">
        <w:pPr>
          <w:pStyle w:val="Footer"/>
          <w:jc w:val="right"/>
          <w:rPr>
            <w:rFonts w:ascii="Times New Roman" w:hAnsi="Times New Roman" w:cs="Times New Roman"/>
          </w:rPr>
        </w:pPr>
        <w:r w:rsidRPr="00293176">
          <w:rPr>
            <w:rFonts w:ascii="Times New Roman" w:hAnsi="Times New Roman" w:cs="Times New Roman"/>
          </w:rPr>
          <w:fldChar w:fldCharType="begin"/>
        </w:r>
        <w:r w:rsidRPr="00293176">
          <w:rPr>
            <w:rFonts w:ascii="Times New Roman" w:hAnsi="Times New Roman" w:cs="Times New Roman"/>
          </w:rPr>
          <w:instrText xml:space="preserve"> PAGE   \* MERGEFORMAT </w:instrText>
        </w:r>
        <w:r w:rsidRPr="00293176">
          <w:rPr>
            <w:rFonts w:ascii="Times New Roman" w:hAnsi="Times New Roman" w:cs="Times New Roman"/>
          </w:rPr>
          <w:fldChar w:fldCharType="separate"/>
        </w:r>
        <w:r w:rsidR="00F94E7A">
          <w:rPr>
            <w:rFonts w:ascii="Times New Roman" w:hAnsi="Times New Roman" w:cs="Times New Roman"/>
            <w:noProof/>
          </w:rPr>
          <w:t>6</w:t>
        </w:r>
        <w:r w:rsidRPr="00293176">
          <w:rPr>
            <w:rFonts w:ascii="Times New Roman" w:hAnsi="Times New Roman" w:cs="Times New Roman"/>
            <w:noProof/>
          </w:rPr>
          <w:fldChar w:fldCharType="end"/>
        </w:r>
      </w:p>
    </w:sdtContent>
  </w:sdt>
  <w:p w14:paraId="564479C1" w14:textId="77777777" w:rsidR="00A96CF7" w:rsidRDefault="00A96C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AE37" w14:textId="77777777" w:rsidR="00A96CF7" w:rsidRDefault="00A96C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EE23218" w14:textId="77777777" w:rsidR="00A96CF7" w:rsidRDefault="00A96CF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0A537" w14:textId="02CAD246" w:rsidR="00A96CF7" w:rsidRPr="002B0E7C" w:rsidRDefault="00A96CF7">
    <w:pPr>
      <w:pStyle w:val="Footer"/>
      <w:framePr w:wrap="around" w:vAnchor="text" w:hAnchor="margin" w:xAlign="center" w:y="1"/>
      <w:jc w:val="center"/>
      <w:rPr>
        <w:rStyle w:val="PageNumber"/>
        <w:rFonts w:ascii="Arial" w:hAnsi="Arial" w:cs="Arial"/>
        <w:sz w:val="16"/>
        <w:szCs w:val="16"/>
      </w:rPr>
    </w:pPr>
    <w:r w:rsidRPr="002B0E7C">
      <w:rPr>
        <w:rStyle w:val="PageNumber"/>
        <w:rFonts w:ascii="Arial" w:hAnsi="Arial" w:cs="Arial"/>
        <w:sz w:val="16"/>
        <w:szCs w:val="16"/>
      </w:rPr>
      <w:fldChar w:fldCharType="begin"/>
    </w:r>
    <w:r w:rsidRPr="002B0E7C">
      <w:rPr>
        <w:rStyle w:val="PageNumber"/>
        <w:rFonts w:ascii="Arial" w:hAnsi="Arial" w:cs="Arial"/>
        <w:sz w:val="16"/>
        <w:szCs w:val="16"/>
      </w:rPr>
      <w:instrText xml:space="preserve">PAGE  </w:instrText>
    </w:r>
    <w:r w:rsidRPr="002B0E7C">
      <w:rPr>
        <w:rStyle w:val="PageNumber"/>
        <w:rFonts w:ascii="Arial" w:hAnsi="Arial" w:cs="Arial"/>
        <w:sz w:val="16"/>
        <w:szCs w:val="16"/>
      </w:rPr>
      <w:fldChar w:fldCharType="separate"/>
    </w:r>
    <w:r w:rsidR="00F94E7A">
      <w:rPr>
        <w:rStyle w:val="PageNumber"/>
        <w:rFonts w:ascii="Arial" w:hAnsi="Arial" w:cs="Arial"/>
        <w:noProof/>
        <w:sz w:val="16"/>
        <w:szCs w:val="16"/>
      </w:rPr>
      <w:t>349</w:t>
    </w:r>
    <w:r w:rsidRPr="002B0E7C">
      <w:rPr>
        <w:rStyle w:val="PageNumber"/>
        <w:rFonts w:ascii="Arial" w:hAnsi="Arial" w:cs="Arial"/>
        <w:sz w:val="16"/>
        <w:szCs w:val="16"/>
      </w:rPr>
      <w:fldChar w:fldCharType="end"/>
    </w:r>
  </w:p>
  <w:p w14:paraId="652EE5AD" w14:textId="77777777" w:rsidR="00A96CF7" w:rsidRDefault="00A96CF7">
    <w:pPr>
      <w:pStyle w:val="Footer"/>
      <w:tabs>
        <w:tab w:val="left" w:pos="4153"/>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3B522" w14:textId="1AB70769" w:rsidR="00A96CF7" w:rsidRPr="002B0E7C" w:rsidRDefault="00A96CF7">
    <w:pPr>
      <w:pStyle w:val="Footer"/>
      <w:framePr w:wrap="around" w:vAnchor="text" w:hAnchor="margin" w:xAlign="center" w:y="1"/>
      <w:jc w:val="center"/>
      <w:rPr>
        <w:rStyle w:val="PageNumber"/>
        <w:rFonts w:ascii="Arial" w:hAnsi="Arial" w:cs="Arial"/>
        <w:sz w:val="16"/>
        <w:szCs w:val="16"/>
      </w:rPr>
    </w:pPr>
    <w:r w:rsidRPr="002B0E7C">
      <w:rPr>
        <w:rStyle w:val="PageNumber"/>
        <w:rFonts w:ascii="Arial" w:hAnsi="Arial" w:cs="Arial"/>
        <w:sz w:val="16"/>
        <w:szCs w:val="16"/>
      </w:rPr>
      <w:fldChar w:fldCharType="begin"/>
    </w:r>
    <w:r w:rsidRPr="002B0E7C">
      <w:rPr>
        <w:rStyle w:val="PageNumber"/>
        <w:rFonts w:ascii="Arial" w:hAnsi="Arial" w:cs="Arial"/>
        <w:sz w:val="16"/>
        <w:szCs w:val="16"/>
      </w:rPr>
      <w:instrText xml:space="preserve">PAGE  </w:instrText>
    </w:r>
    <w:r w:rsidRPr="002B0E7C">
      <w:rPr>
        <w:rStyle w:val="PageNumber"/>
        <w:rFonts w:ascii="Arial" w:hAnsi="Arial" w:cs="Arial"/>
        <w:sz w:val="16"/>
        <w:szCs w:val="16"/>
      </w:rPr>
      <w:fldChar w:fldCharType="separate"/>
    </w:r>
    <w:r w:rsidR="00F94E7A">
      <w:rPr>
        <w:rStyle w:val="PageNumber"/>
        <w:rFonts w:ascii="Arial" w:hAnsi="Arial" w:cs="Arial"/>
        <w:noProof/>
        <w:sz w:val="16"/>
        <w:szCs w:val="16"/>
      </w:rPr>
      <w:t>369</w:t>
    </w:r>
    <w:r w:rsidRPr="002B0E7C">
      <w:rPr>
        <w:rStyle w:val="PageNumber"/>
        <w:rFonts w:ascii="Arial" w:hAnsi="Arial" w:cs="Arial"/>
        <w:sz w:val="16"/>
        <w:szCs w:val="16"/>
      </w:rPr>
      <w:fldChar w:fldCharType="end"/>
    </w:r>
  </w:p>
  <w:p w14:paraId="3138B31E" w14:textId="77777777" w:rsidR="00A96CF7" w:rsidRDefault="00A96CF7">
    <w:pPr>
      <w:pStyle w:val="Footer"/>
      <w:tabs>
        <w:tab w:val="left" w:pos="4153"/>
      </w:tabs>
      <w:ind w:right="360"/>
    </w:pPr>
  </w:p>
  <w:p w14:paraId="428BFFE8" w14:textId="77777777" w:rsidR="00A96CF7" w:rsidRDefault="00A96C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2F917" w14:textId="77777777" w:rsidR="00A96CF7" w:rsidRDefault="00A96CF7" w:rsidP="00CB493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0A97FC" w14:textId="77777777" w:rsidR="00A96CF7" w:rsidRDefault="00A96CF7">
    <w:pPr>
      <w:pStyle w:val="Footer"/>
    </w:pPr>
  </w:p>
  <w:p w14:paraId="2D0865BF" w14:textId="77777777" w:rsidR="00A96CF7" w:rsidRDefault="00A96CF7"/>
  <w:p w14:paraId="23DE665E" w14:textId="77777777" w:rsidR="00A96CF7" w:rsidRDefault="00A96CF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EA745" w14:textId="77777777" w:rsidR="00A96CF7" w:rsidRPr="00FA0050" w:rsidRDefault="00A96CF7" w:rsidP="00CB4937">
    <w:pPr>
      <w:pStyle w:val="Footer"/>
      <w:framePr w:wrap="none" w:vAnchor="text" w:hAnchor="margin" w:xAlign="center" w:y="1"/>
      <w:rPr>
        <w:rStyle w:val="PageNumber"/>
        <w:rFonts w:ascii="Times New Roman" w:hAnsi="Times New Roman" w:cs="Times New Roman"/>
      </w:rPr>
    </w:pPr>
    <w:r w:rsidRPr="00FA0050">
      <w:rPr>
        <w:rStyle w:val="PageNumber"/>
        <w:rFonts w:ascii="Times New Roman" w:hAnsi="Times New Roman" w:cs="Times New Roman"/>
      </w:rPr>
      <w:fldChar w:fldCharType="begin"/>
    </w:r>
    <w:r w:rsidRPr="00FA0050">
      <w:rPr>
        <w:rStyle w:val="PageNumber"/>
        <w:rFonts w:ascii="Times New Roman" w:hAnsi="Times New Roman" w:cs="Times New Roman"/>
      </w:rPr>
      <w:instrText xml:space="preserve">PAGE  </w:instrText>
    </w:r>
    <w:r w:rsidRPr="00FA0050">
      <w:rPr>
        <w:rStyle w:val="PageNumber"/>
        <w:rFonts w:ascii="Times New Roman" w:hAnsi="Times New Roman" w:cs="Times New Roman"/>
      </w:rPr>
      <w:fldChar w:fldCharType="separate"/>
    </w:r>
    <w:r>
      <w:rPr>
        <w:rStyle w:val="PageNumber"/>
        <w:rFonts w:ascii="Times New Roman" w:hAnsi="Times New Roman" w:cs="Times New Roman"/>
        <w:noProof/>
      </w:rPr>
      <w:t>248</w:t>
    </w:r>
    <w:r w:rsidRPr="00FA0050">
      <w:rPr>
        <w:rStyle w:val="PageNumber"/>
        <w:rFonts w:ascii="Times New Roman" w:hAnsi="Times New Roman" w:cs="Times New Roman"/>
      </w:rPr>
      <w:fldChar w:fldCharType="end"/>
    </w:r>
  </w:p>
  <w:p w14:paraId="5A93C20E" w14:textId="77777777" w:rsidR="00A96CF7" w:rsidRDefault="00A96CF7">
    <w:pPr>
      <w:pStyle w:val="Footer"/>
    </w:pPr>
  </w:p>
  <w:p w14:paraId="66FF1B19" w14:textId="77777777" w:rsidR="00A96CF7" w:rsidRDefault="00A96CF7"/>
  <w:p w14:paraId="0F32EBE8" w14:textId="77777777" w:rsidR="00A96CF7" w:rsidRDefault="00A96CF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9CAC2" w14:textId="77777777" w:rsidR="00A96CF7" w:rsidRDefault="00A96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1CEFD" w14:textId="77777777" w:rsidR="0082537D" w:rsidRDefault="0082537D" w:rsidP="005F41B9">
      <w:r>
        <w:separator/>
      </w:r>
    </w:p>
  </w:footnote>
  <w:footnote w:type="continuationSeparator" w:id="0">
    <w:p w14:paraId="20406977" w14:textId="77777777" w:rsidR="0082537D" w:rsidRDefault="0082537D" w:rsidP="005F41B9">
      <w:r>
        <w:continuationSeparator/>
      </w:r>
    </w:p>
  </w:footnote>
  <w:footnote w:id="1">
    <w:p w14:paraId="55569902" w14:textId="34E45544" w:rsidR="00A96CF7" w:rsidRPr="001F64C0" w:rsidRDefault="00A96CF7" w:rsidP="00D51F4A">
      <w:pPr>
        <w:pStyle w:val="FootnoteText"/>
        <w:rPr>
          <w:sz w:val="20"/>
          <w:szCs w:val="20"/>
          <w:lang w:val="en-GB"/>
        </w:rPr>
      </w:pPr>
      <w:r w:rsidRPr="001F64C0">
        <w:rPr>
          <w:rStyle w:val="FootnoteReference"/>
          <w:sz w:val="20"/>
          <w:szCs w:val="20"/>
        </w:rPr>
        <w:footnoteRef/>
      </w:r>
      <w:r w:rsidRPr="001F64C0">
        <w:rPr>
          <w:sz w:val="20"/>
          <w:szCs w:val="20"/>
        </w:rPr>
        <w:t xml:space="preserve"> </w:t>
      </w:r>
      <w:r w:rsidRPr="001F64C0">
        <w:rPr>
          <w:sz w:val="20"/>
          <w:szCs w:val="20"/>
          <w:lang w:val="en-GB"/>
        </w:rPr>
        <w:t>In this thesis, I am following the practice of the Fairtrade Labelling Organizations International (FLO) in using ‘Fair Trade’ as a generic term to refer to the movement as a whole and ‘Fairtrade’ to refer to the system of pricing, certification, and labelling established by FLO. BSI’s Community Trade is thus a part of Fair Trade, but it does not follow Fairtrade prices or use the Fairtrade label.</w:t>
      </w:r>
    </w:p>
  </w:footnote>
  <w:footnote w:id="2">
    <w:p w14:paraId="25E96A62" w14:textId="792EBEC4" w:rsidR="00A96CF7" w:rsidRPr="00293176" w:rsidRDefault="00A96CF7" w:rsidP="008654BF">
      <w:pPr>
        <w:pStyle w:val="FootnoteText"/>
        <w:rPr>
          <w:sz w:val="20"/>
          <w:szCs w:val="20"/>
          <w:lang w:val="en-GB"/>
        </w:rPr>
      </w:pPr>
      <w:r w:rsidRPr="001F64C0">
        <w:rPr>
          <w:rStyle w:val="FootnoteReference"/>
          <w:sz w:val="20"/>
          <w:szCs w:val="20"/>
        </w:rPr>
        <w:footnoteRef/>
      </w:r>
      <w:r w:rsidRPr="001F64C0">
        <w:rPr>
          <w:sz w:val="20"/>
          <w:szCs w:val="20"/>
        </w:rPr>
        <w:t xml:space="preserve"> </w:t>
      </w:r>
      <w:r w:rsidRPr="001F64C0">
        <w:rPr>
          <w:sz w:val="20"/>
          <w:szCs w:val="20"/>
          <w:lang w:val="en-GB"/>
        </w:rPr>
        <w:t xml:space="preserve">See more about Ético here: </w:t>
      </w:r>
      <w:hyperlink r:id="rId1" w:history="1">
        <w:r w:rsidRPr="00B44AC2">
          <w:rPr>
            <w:rStyle w:val="Hyperlink"/>
            <w:sz w:val="20"/>
            <w:szCs w:val="20"/>
            <w:lang w:val="en-GB"/>
          </w:rPr>
          <w:t>https://www.etico.net/Development.php</w:t>
        </w:r>
      </w:hyperlink>
    </w:p>
  </w:footnote>
  <w:footnote w:id="3">
    <w:p w14:paraId="5BC0BC37" w14:textId="170F15EE" w:rsidR="00A96CF7" w:rsidRPr="00E101A3" w:rsidRDefault="00A96CF7" w:rsidP="004F74EB">
      <w:pPr>
        <w:pStyle w:val="FootnoteText"/>
        <w:rPr>
          <w:lang w:val="en-GB"/>
        </w:rPr>
      </w:pPr>
      <w:r w:rsidRPr="00B44AC2">
        <w:rPr>
          <w:rStyle w:val="FootnoteReference"/>
          <w:sz w:val="20"/>
          <w:szCs w:val="20"/>
        </w:rPr>
        <w:footnoteRef/>
      </w:r>
      <w:r w:rsidRPr="00B44AC2">
        <w:rPr>
          <w:sz w:val="20"/>
          <w:szCs w:val="20"/>
        </w:rPr>
        <w:t xml:space="preserve"> This thesis is funded by a </w:t>
      </w:r>
      <w:r w:rsidRPr="00B44AC2">
        <w:rPr>
          <w:sz w:val="20"/>
          <w:szCs w:val="20"/>
          <w:lang w:val="en-GB"/>
        </w:rPr>
        <w:t xml:space="preserve">Economic and Social Research Council (ESRC) 1+3 CASE Studentship (which funds a one year masters and three year PhD program; see </w:t>
      </w:r>
      <w:hyperlink r:id="rId2" w:history="1">
        <w:r w:rsidRPr="00B44AC2">
          <w:rPr>
            <w:rStyle w:val="Hyperlink"/>
            <w:sz w:val="20"/>
            <w:szCs w:val="20"/>
            <w:lang w:val="en-GB"/>
          </w:rPr>
          <w:t>http://www.esrc.ac.uk/files/skills-and-careers/studentships/postgraduate-funding-guide/</w:t>
        </w:r>
      </w:hyperlink>
      <w:r w:rsidRPr="00B44AC2">
        <w:rPr>
          <w:sz w:val="20"/>
          <w:szCs w:val="20"/>
          <w:lang w:val="en-GB"/>
        </w:rPr>
        <w:t>) in collaboration with BSI</w:t>
      </w:r>
      <w:r w:rsidRPr="00293176">
        <w:rPr>
          <w:sz w:val="20"/>
          <w:szCs w:val="20"/>
          <w:lang w:val="en-GB"/>
        </w:rPr>
        <w:t>.</w:t>
      </w:r>
      <w:r>
        <w:rPr>
          <w:lang w:val="en-GB"/>
        </w:rPr>
        <w:t xml:space="preserve"> </w:t>
      </w:r>
    </w:p>
  </w:footnote>
  <w:footnote w:id="4">
    <w:p w14:paraId="627FAEDE" w14:textId="6C59BA54" w:rsidR="00A96CF7" w:rsidRPr="00455BAB" w:rsidRDefault="00A96CF7" w:rsidP="00293176">
      <w:pPr>
        <w:ind w:right="8"/>
        <w:rPr>
          <w:noProof/>
          <w:color w:val="4472C4" w:themeColor="accent1"/>
          <w:sz w:val="20"/>
          <w:szCs w:val="20"/>
        </w:rPr>
      </w:pPr>
      <w:r w:rsidRPr="00455BAB">
        <w:rPr>
          <w:rStyle w:val="FootnoteReference"/>
          <w:sz w:val="20"/>
          <w:szCs w:val="20"/>
        </w:rPr>
        <w:footnoteRef/>
      </w:r>
      <w:r w:rsidRPr="00DF6610">
        <w:rPr>
          <w:sz w:val="20"/>
          <w:szCs w:val="20"/>
        </w:rPr>
        <w:t xml:space="preserve"> </w:t>
      </w:r>
      <w:r w:rsidRPr="00455BAB">
        <w:rPr>
          <w:sz w:val="20"/>
          <w:szCs w:val="20"/>
        </w:rPr>
        <w:t>I had previously worked</w:t>
      </w:r>
      <w:r w:rsidRPr="00455BAB">
        <w:rPr>
          <w:noProof/>
          <w:color w:val="4472C4" w:themeColor="accent1"/>
          <w:sz w:val="20"/>
          <w:szCs w:val="20"/>
        </w:rPr>
        <w:t xml:space="preserve"> </w:t>
      </w:r>
      <w:r w:rsidRPr="00690984">
        <w:rPr>
          <w:noProof/>
          <w:color w:val="000000" w:themeColor="text1"/>
          <w:sz w:val="20"/>
          <w:szCs w:val="20"/>
        </w:rPr>
        <w:t xml:space="preserve">as a </w:t>
      </w:r>
      <w:r>
        <w:rPr>
          <w:noProof/>
          <w:color w:val="000000" w:themeColor="text1"/>
          <w:sz w:val="20"/>
          <w:szCs w:val="20"/>
        </w:rPr>
        <w:t>research assistant</w:t>
      </w:r>
      <w:r w:rsidRPr="00690984">
        <w:rPr>
          <w:noProof/>
          <w:color w:val="000000" w:themeColor="text1"/>
          <w:sz w:val="20"/>
          <w:szCs w:val="20"/>
        </w:rPr>
        <w:t xml:space="preserve"> to a PhD candidate, Christopher Bacon (currently Associate Professor at Santa Clara University in California)</w:t>
      </w:r>
      <w:r>
        <w:rPr>
          <w:noProof/>
          <w:color w:val="000000" w:themeColor="text1"/>
          <w:sz w:val="20"/>
          <w:szCs w:val="20"/>
        </w:rPr>
        <w:t>,</w:t>
      </w:r>
      <w:r w:rsidRPr="00690984">
        <w:rPr>
          <w:noProof/>
          <w:color w:val="000000" w:themeColor="text1"/>
          <w:sz w:val="20"/>
          <w:szCs w:val="20"/>
        </w:rPr>
        <w:t xml:space="preserve"> as part of a </w:t>
      </w:r>
      <w:r>
        <w:rPr>
          <w:noProof/>
          <w:color w:val="000000" w:themeColor="text1"/>
          <w:sz w:val="20"/>
          <w:szCs w:val="20"/>
        </w:rPr>
        <w:t>participatory action research (</w:t>
      </w:r>
      <w:r w:rsidRPr="00690984">
        <w:rPr>
          <w:noProof/>
          <w:color w:val="000000" w:themeColor="text1"/>
          <w:sz w:val="20"/>
          <w:szCs w:val="20"/>
        </w:rPr>
        <w:t>PAR</w:t>
      </w:r>
      <w:r>
        <w:rPr>
          <w:noProof/>
          <w:color w:val="000000" w:themeColor="text1"/>
          <w:sz w:val="20"/>
          <w:szCs w:val="20"/>
        </w:rPr>
        <w:t>)</w:t>
      </w:r>
      <w:r w:rsidRPr="00690984">
        <w:rPr>
          <w:noProof/>
          <w:color w:val="000000" w:themeColor="text1"/>
          <w:sz w:val="20"/>
          <w:szCs w:val="20"/>
        </w:rPr>
        <w:t xml:space="preserve"> project in 2003. My role was to interview women involved in FT around issues of agency, choice, and empowerment whereby I conducted life history interviews and household surveys. The women I interviewed during this time are part of the same union of cooperatives  (UCA San Ramon) </w:t>
      </w:r>
      <w:r>
        <w:rPr>
          <w:noProof/>
          <w:color w:val="000000" w:themeColor="text1"/>
          <w:sz w:val="20"/>
          <w:szCs w:val="20"/>
        </w:rPr>
        <w:t>that</w:t>
      </w:r>
      <w:r w:rsidRPr="00690984">
        <w:rPr>
          <w:noProof/>
          <w:color w:val="000000" w:themeColor="text1"/>
          <w:sz w:val="20"/>
          <w:szCs w:val="20"/>
        </w:rPr>
        <w:t xml:space="preserve"> make up one of the case studies. Prior to this</w:t>
      </w:r>
      <w:r>
        <w:rPr>
          <w:noProof/>
          <w:color w:val="000000" w:themeColor="text1"/>
          <w:sz w:val="20"/>
          <w:szCs w:val="20"/>
        </w:rPr>
        <w:t>,</w:t>
      </w:r>
      <w:r w:rsidRPr="00690984">
        <w:rPr>
          <w:noProof/>
          <w:color w:val="000000" w:themeColor="text1"/>
          <w:sz w:val="20"/>
          <w:szCs w:val="20"/>
        </w:rPr>
        <w:t xml:space="preserve"> I worked for a feminist collective</w:t>
      </w:r>
      <w:r>
        <w:rPr>
          <w:noProof/>
          <w:color w:val="000000" w:themeColor="text1"/>
          <w:sz w:val="20"/>
          <w:szCs w:val="20"/>
        </w:rPr>
        <w:t xml:space="preserve"> </w:t>
      </w:r>
      <w:r w:rsidRPr="00690984">
        <w:rPr>
          <w:noProof/>
          <w:color w:val="000000" w:themeColor="text1"/>
          <w:sz w:val="20"/>
          <w:szCs w:val="20"/>
        </w:rPr>
        <w:t>as a communications and campaign intern, trained by a feminist popular education and communications collective, Grupo Venancia (GV), in Nicaragua between 2001-2002. I was trained in participatory work, popular education methodology for young women, theoretical aspects involving women’s empowerment, gender-based violence and democratic organ</w:t>
      </w:r>
      <w:r>
        <w:rPr>
          <w:noProof/>
          <w:color w:val="000000" w:themeColor="text1"/>
          <w:sz w:val="20"/>
          <w:szCs w:val="20"/>
        </w:rPr>
        <w:t>isi</w:t>
      </w:r>
      <w:r w:rsidRPr="00690984">
        <w:rPr>
          <w:noProof/>
          <w:color w:val="000000" w:themeColor="text1"/>
          <w:sz w:val="20"/>
          <w:szCs w:val="20"/>
        </w:rPr>
        <w:t>ng. Central to their work was an emphasis on critical consciousiness</w:t>
      </w:r>
      <w:r>
        <w:rPr>
          <w:noProof/>
          <w:color w:val="000000" w:themeColor="text1"/>
          <w:sz w:val="20"/>
          <w:szCs w:val="20"/>
        </w:rPr>
        <w:t>,</w:t>
      </w:r>
      <w:r w:rsidRPr="00690984">
        <w:rPr>
          <w:noProof/>
          <w:color w:val="000000" w:themeColor="text1"/>
          <w:sz w:val="20"/>
          <w:szCs w:val="20"/>
        </w:rPr>
        <w:t xml:space="preserve"> which has informed my understanding and definition of empowerment.</w:t>
      </w:r>
    </w:p>
  </w:footnote>
  <w:footnote w:id="5">
    <w:p w14:paraId="6A31B6DE" w14:textId="7F20F5E3" w:rsidR="00A96CF7" w:rsidRPr="00B44AC2" w:rsidRDefault="00A96CF7" w:rsidP="00AA5A40">
      <w:pPr>
        <w:widowControl w:val="0"/>
        <w:autoSpaceDE w:val="0"/>
        <w:autoSpaceDN w:val="0"/>
        <w:adjustRightInd w:val="0"/>
        <w:jc w:val="both"/>
        <w:rPr>
          <w:color w:val="000000" w:themeColor="text1"/>
          <w:sz w:val="20"/>
          <w:szCs w:val="20"/>
          <w:shd w:val="clear" w:color="auto" w:fill="FFFFFF"/>
        </w:rPr>
      </w:pPr>
      <w:r w:rsidRPr="00B44AC2">
        <w:rPr>
          <w:rStyle w:val="FootnoteReference"/>
          <w:sz w:val="20"/>
          <w:szCs w:val="20"/>
        </w:rPr>
        <w:footnoteRef/>
      </w:r>
      <w:r w:rsidRPr="00B44AC2">
        <w:rPr>
          <w:sz w:val="20"/>
          <w:szCs w:val="20"/>
        </w:rPr>
        <w:t xml:space="preserve"> For a more detailed description of Hoskyns’ experience in Nicaragua and of the scoping activity, see Butler and Hoskyns (2007) and also Hoskyns et al. (2012).</w:t>
      </w:r>
    </w:p>
  </w:footnote>
  <w:footnote w:id="6">
    <w:p w14:paraId="10414628" w14:textId="63E9C4A2" w:rsidR="00A96CF7" w:rsidRPr="00B44AC2" w:rsidRDefault="00A96CF7" w:rsidP="00AA5A40">
      <w:pPr>
        <w:pStyle w:val="FootnoteText"/>
        <w:rPr>
          <w:sz w:val="20"/>
          <w:szCs w:val="20"/>
        </w:rPr>
      </w:pPr>
      <w:r w:rsidRPr="00B44AC2">
        <w:rPr>
          <w:rStyle w:val="FootnoteReference"/>
          <w:sz w:val="20"/>
          <w:szCs w:val="20"/>
        </w:rPr>
        <w:footnoteRef/>
      </w:r>
      <w:r w:rsidRPr="00B44AC2">
        <w:rPr>
          <w:sz w:val="20"/>
          <w:szCs w:val="20"/>
        </w:rPr>
        <w:t xml:space="preserve"> It read: ‘Work mainly but not exclusively done by women’ (CJFPS, 2008).</w:t>
      </w:r>
    </w:p>
  </w:footnote>
  <w:footnote w:id="7">
    <w:p w14:paraId="0219825A" w14:textId="16DE2806" w:rsidR="00A96CF7" w:rsidRPr="00F00E81" w:rsidRDefault="00A96CF7" w:rsidP="00AA5A40">
      <w:pPr>
        <w:pStyle w:val="FootnoteText"/>
        <w:rPr>
          <w:sz w:val="20"/>
          <w:szCs w:val="20"/>
          <w:lang w:val="en-GB"/>
        </w:rPr>
      </w:pPr>
      <w:r w:rsidRPr="00B44AC2">
        <w:rPr>
          <w:rStyle w:val="FootnoteReference"/>
          <w:sz w:val="20"/>
          <w:szCs w:val="20"/>
        </w:rPr>
        <w:footnoteRef/>
      </w:r>
      <w:r w:rsidRPr="00B44AC2">
        <w:rPr>
          <w:sz w:val="20"/>
          <w:szCs w:val="20"/>
        </w:rPr>
        <w:t xml:space="preserve"> </w:t>
      </w:r>
      <w:r w:rsidRPr="00B44AC2">
        <w:rPr>
          <w:sz w:val="20"/>
          <w:szCs w:val="20"/>
          <w:lang w:val="en-GB"/>
        </w:rPr>
        <w:t xml:space="preserve">See more here: </w:t>
      </w:r>
      <w:hyperlink r:id="rId3" w:history="1">
        <w:r w:rsidRPr="00B44AC2">
          <w:rPr>
            <w:rStyle w:val="Hyperlink"/>
            <w:sz w:val="20"/>
            <w:szCs w:val="20"/>
            <w:lang w:val="en-GB"/>
          </w:rPr>
          <w:t>https://thesocialbusinessnetwork.wordpress.com</w:t>
        </w:r>
      </w:hyperlink>
    </w:p>
  </w:footnote>
  <w:footnote w:id="8">
    <w:p w14:paraId="5C589D7A" w14:textId="3CE5547D" w:rsidR="00A96CF7" w:rsidRPr="00B44AC2" w:rsidRDefault="00A96CF7">
      <w:pPr>
        <w:pStyle w:val="FootnoteText"/>
      </w:pPr>
      <w:r w:rsidRPr="00B44AC2">
        <w:rPr>
          <w:rStyle w:val="FootnoteReference"/>
          <w:sz w:val="20"/>
        </w:rPr>
        <w:footnoteRef/>
      </w:r>
      <w:r w:rsidRPr="00B44AC2">
        <w:rPr>
          <w:sz w:val="20"/>
        </w:rPr>
        <w:t xml:space="preserve"> </w:t>
      </w:r>
      <w:r w:rsidRPr="00B44AC2">
        <w:rPr>
          <w:sz w:val="20"/>
          <w:lang w:val="en-GB"/>
        </w:rPr>
        <w:t>This theme of research prompting outcomes is one that will be touched upon again in thesis and in the conclusion, as my own research process also impacted changes through the process of asking questions.</w:t>
      </w:r>
    </w:p>
  </w:footnote>
  <w:footnote w:id="9">
    <w:p w14:paraId="27AA77A9" w14:textId="1DCF001E" w:rsidR="00A96CF7" w:rsidRPr="006F2FAF" w:rsidRDefault="00A96CF7" w:rsidP="0092054D">
      <w:pPr>
        <w:rPr>
          <w:sz w:val="20"/>
          <w:szCs w:val="20"/>
          <w:lang w:eastAsia="en-GB"/>
        </w:rPr>
      </w:pPr>
      <w:r w:rsidRPr="00B44AC2">
        <w:rPr>
          <w:rStyle w:val="FootnoteReference"/>
          <w:sz w:val="20"/>
          <w:szCs w:val="20"/>
        </w:rPr>
        <w:footnoteRef/>
      </w:r>
      <w:r w:rsidRPr="00B44AC2">
        <w:rPr>
          <w:color w:val="4472C4"/>
          <w:sz w:val="20"/>
          <w:szCs w:val="20"/>
          <w:shd w:val="clear" w:color="auto" w:fill="FFFFFF"/>
        </w:rPr>
        <w:t xml:space="preserve"> </w:t>
      </w:r>
      <w:r w:rsidRPr="00B44AC2">
        <w:rPr>
          <w:sz w:val="20"/>
          <w:szCs w:val="20"/>
          <w:shd w:val="clear" w:color="auto" w:fill="FFFFFF"/>
          <w:lang w:eastAsia="en-GB"/>
        </w:rPr>
        <w:t>The lead buyer for BSI at the time met Dorothea Kleine, then Senior Lecturer at RHUL, at an academic policy conference in Oxford and discussed this new innovative pricing model and the potential for further research.</w:t>
      </w:r>
    </w:p>
  </w:footnote>
  <w:footnote w:id="10">
    <w:p w14:paraId="69C1665C" w14:textId="56A6CC06" w:rsidR="00A96CF7" w:rsidRPr="007A3A29" w:rsidRDefault="00A96CF7">
      <w:pPr>
        <w:pStyle w:val="FootnoteText"/>
        <w:rPr>
          <w:sz w:val="20"/>
          <w:szCs w:val="20"/>
          <w:lang w:val="en-GB"/>
        </w:rPr>
      </w:pPr>
      <w:r w:rsidRPr="00C7504F">
        <w:rPr>
          <w:rStyle w:val="FootnoteReference"/>
          <w:sz w:val="20"/>
          <w:szCs w:val="20"/>
        </w:rPr>
        <w:footnoteRef/>
      </w:r>
      <w:r w:rsidRPr="00C7504F">
        <w:rPr>
          <w:sz w:val="20"/>
          <w:szCs w:val="20"/>
          <w:lang w:val="en-GB"/>
        </w:rPr>
        <w:t xml:space="preserve"> Hoskyns noted that the amount was fairly consistent across the year, although the balance of tasks changed (Hoskyns et al., 2012). The main activities observed were: grinding maize and making tortillas; fetching water and fuel; milking cows and making cheese; preparing, serving and clearing away meals; doing laundry; growing and preparing vegetables; caring for small livestock; and caring for children and the elderly.</w:t>
      </w:r>
    </w:p>
  </w:footnote>
  <w:footnote w:id="11">
    <w:p w14:paraId="77632B34" w14:textId="7492E37A" w:rsidR="00A96CF7" w:rsidRPr="007A3A29" w:rsidRDefault="00A96CF7" w:rsidP="00F9170A">
      <w:pPr>
        <w:pStyle w:val="FootnoteText"/>
        <w:rPr>
          <w:sz w:val="20"/>
          <w:szCs w:val="20"/>
          <w:lang w:val="en-GB"/>
        </w:rPr>
      </w:pPr>
      <w:r w:rsidRPr="007A3A29">
        <w:rPr>
          <w:rStyle w:val="FootnoteReference"/>
          <w:sz w:val="20"/>
          <w:szCs w:val="20"/>
        </w:rPr>
        <w:footnoteRef/>
      </w:r>
      <w:r w:rsidRPr="007A3A29">
        <w:rPr>
          <w:sz w:val="20"/>
          <w:szCs w:val="20"/>
        </w:rPr>
        <w:t xml:space="preserve"> </w:t>
      </w:r>
      <w:r w:rsidRPr="00C7504F">
        <w:rPr>
          <w:sz w:val="20"/>
          <w:szCs w:val="20"/>
          <w:lang w:val="en-GB"/>
        </w:rPr>
        <w:t>Sesame has a six to seven-month product cycle. The soil and fields are prepared in July/August, planting takes place in August/September</w:t>
      </w:r>
      <w:r>
        <w:rPr>
          <w:sz w:val="20"/>
          <w:szCs w:val="20"/>
          <w:lang w:val="en-GB"/>
        </w:rPr>
        <w:t>,</w:t>
      </w:r>
      <w:r w:rsidRPr="00C7504F">
        <w:rPr>
          <w:sz w:val="20"/>
          <w:szCs w:val="20"/>
          <w:lang w:val="en-GB"/>
        </w:rPr>
        <w:t xml:space="preserve"> and the seed is harvested in December/January. Work in the fields is carried out mainly by men. In the slack period</w:t>
      </w:r>
      <w:r>
        <w:rPr>
          <w:sz w:val="20"/>
          <w:szCs w:val="20"/>
          <w:lang w:val="en-GB"/>
        </w:rPr>
        <w:t>,</w:t>
      </w:r>
      <w:r w:rsidRPr="00C7504F">
        <w:rPr>
          <w:sz w:val="20"/>
          <w:szCs w:val="20"/>
          <w:lang w:val="en-GB"/>
        </w:rPr>
        <w:t xml:space="preserve"> the farms will turn to vegetable production and animal rearing</w:t>
      </w:r>
      <w:r w:rsidRPr="007A3A29">
        <w:rPr>
          <w:sz w:val="20"/>
          <w:szCs w:val="20"/>
          <w:lang w:val="en-GB"/>
        </w:rPr>
        <w:t>.</w:t>
      </w:r>
    </w:p>
  </w:footnote>
  <w:footnote w:id="12">
    <w:p w14:paraId="1F0A46A4" w14:textId="670DF47C" w:rsidR="00A96CF7" w:rsidRPr="00663534" w:rsidRDefault="00A96CF7" w:rsidP="007A3A29">
      <w:pPr>
        <w:pStyle w:val="NormalWeb"/>
        <w:spacing w:before="0" w:beforeAutospacing="0" w:after="0" w:afterAutospacing="0"/>
        <w:rPr>
          <w:sz w:val="20"/>
          <w:szCs w:val="20"/>
        </w:rPr>
      </w:pPr>
      <w:r w:rsidRPr="00663534">
        <w:rPr>
          <w:rStyle w:val="FootnoteReference"/>
          <w:sz w:val="20"/>
          <w:szCs w:val="20"/>
        </w:rPr>
        <w:footnoteRef/>
      </w:r>
      <w:r w:rsidRPr="00663534">
        <w:rPr>
          <w:sz w:val="20"/>
          <w:szCs w:val="20"/>
        </w:rPr>
        <w:t xml:space="preserve"> This differed from the original pricing in 1998 based on an initial assessment of production by producers who listed costs under: preparation of soil, sowing, harvesting and ‘inputs’. The inputs included seeds, fertilisers and transport. This assessment measured and valued the ‘man-days worked’ (</w:t>
      </w:r>
      <w:r w:rsidRPr="00663534">
        <w:rPr>
          <w:i/>
          <w:iCs/>
          <w:sz w:val="20"/>
          <w:szCs w:val="20"/>
        </w:rPr>
        <w:t>días/hombres</w:t>
      </w:r>
      <w:r w:rsidRPr="00663534">
        <w:rPr>
          <w:sz w:val="20"/>
          <w:szCs w:val="20"/>
        </w:rPr>
        <w:t>). Under this assessment the total cost of producing a bag (</w:t>
      </w:r>
      <w:r w:rsidRPr="00663534">
        <w:rPr>
          <w:i/>
          <w:iCs/>
          <w:sz w:val="20"/>
          <w:szCs w:val="20"/>
        </w:rPr>
        <w:t>quintal</w:t>
      </w:r>
      <w:r w:rsidRPr="00663534">
        <w:rPr>
          <w:sz w:val="20"/>
          <w:szCs w:val="20"/>
        </w:rPr>
        <w:t xml:space="preserve">) of sesame seeds was $21.84. There are eight to ten bags per </w:t>
      </w:r>
      <w:r w:rsidRPr="00663534">
        <w:rPr>
          <w:i/>
          <w:iCs/>
          <w:sz w:val="20"/>
          <w:szCs w:val="20"/>
        </w:rPr>
        <w:t xml:space="preserve">manzana </w:t>
      </w:r>
      <w:r w:rsidRPr="00663534">
        <w:rPr>
          <w:sz w:val="20"/>
          <w:szCs w:val="20"/>
        </w:rPr>
        <w:t xml:space="preserve">(0.7 of a hectare) giving a production cost per </w:t>
      </w:r>
      <w:r w:rsidRPr="00663534">
        <w:rPr>
          <w:i/>
          <w:iCs/>
          <w:sz w:val="20"/>
          <w:szCs w:val="20"/>
        </w:rPr>
        <w:t xml:space="preserve">manzana </w:t>
      </w:r>
      <w:r w:rsidRPr="00663534">
        <w:rPr>
          <w:sz w:val="20"/>
          <w:szCs w:val="20"/>
        </w:rPr>
        <w:t>of approximately $196. There was no mention here of domestic work as an input, though BSI representatives would very likely have argued that family needs were fully taken into account in the final price, which incorporates a social premium.</w:t>
      </w:r>
    </w:p>
    <w:p w14:paraId="7A145A37" w14:textId="1F01B1AF" w:rsidR="00A96CF7" w:rsidRPr="008F4B34" w:rsidRDefault="00A96CF7">
      <w:pPr>
        <w:pStyle w:val="FootnoteText"/>
        <w:rPr>
          <w:lang w:val="en-GB"/>
        </w:rPr>
      </w:pPr>
    </w:p>
  </w:footnote>
  <w:footnote w:id="13">
    <w:p w14:paraId="63F1F4A8" w14:textId="14639697" w:rsidR="00A96CF7" w:rsidRPr="00754AC1" w:rsidRDefault="00A96CF7" w:rsidP="005037B1">
      <w:pPr>
        <w:pStyle w:val="FootnoteText"/>
        <w:rPr>
          <w:sz w:val="20"/>
          <w:szCs w:val="20"/>
        </w:rPr>
      </w:pPr>
      <w:r w:rsidRPr="008039DB">
        <w:rPr>
          <w:rStyle w:val="FootnoteReference"/>
          <w:sz w:val="20"/>
          <w:szCs w:val="20"/>
        </w:rPr>
        <w:footnoteRef/>
      </w:r>
      <w:r w:rsidRPr="008039DB">
        <w:rPr>
          <w:sz w:val="20"/>
          <w:szCs w:val="20"/>
        </w:rPr>
        <w:t xml:space="preserve"> </w:t>
      </w:r>
      <w:r w:rsidRPr="00C24E65">
        <w:rPr>
          <w:sz w:val="20"/>
          <w:szCs w:val="20"/>
          <w:lang w:val="en-GB"/>
        </w:rPr>
        <w:t>Sandinista ideology is a series of political and economic philosophies championed and instituted by the Nicaraguan Sandinista National Liberation Front (FSL</w:t>
      </w:r>
      <w:r>
        <w:rPr>
          <w:sz w:val="20"/>
          <w:szCs w:val="20"/>
          <w:lang w:val="en-GB"/>
        </w:rPr>
        <w:t>N) throughout the late 20</w:t>
      </w:r>
      <w:r w:rsidRPr="007A3A29">
        <w:rPr>
          <w:sz w:val="20"/>
          <w:szCs w:val="20"/>
          <w:vertAlign w:val="superscript"/>
          <w:lang w:val="en-GB"/>
        </w:rPr>
        <w:t>th</w:t>
      </w:r>
      <w:r w:rsidRPr="00C24E65">
        <w:rPr>
          <w:sz w:val="20"/>
          <w:szCs w:val="20"/>
          <w:lang w:val="en-GB"/>
        </w:rPr>
        <w:t xml:space="preserve"> century</w:t>
      </w:r>
      <w:r>
        <w:rPr>
          <w:sz w:val="20"/>
          <w:szCs w:val="20"/>
          <w:lang w:val="en-GB"/>
        </w:rPr>
        <w:t xml:space="preserve"> and </w:t>
      </w:r>
      <w:r w:rsidRPr="00C24E65">
        <w:rPr>
          <w:sz w:val="20"/>
          <w:szCs w:val="20"/>
          <w:lang w:val="en-GB"/>
        </w:rPr>
        <w:t xml:space="preserve"> inspired by Augusto César Sandino, a Nicaraguan r</w:t>
      </w:r>
      <w:r w:rsidRPr="00ED4C82">
        <w:rPr>
          <w:sz w:val="20"/>
          <w:szCs w:val="20"/>
          <w:lang w:val="en-GB"/>
        </w:rPr>
        <w:t xml:space="preserve">evolutionary leader who waged a guerrilla war against the United States Marines and the conservative Somoza National Guards in the early </w:t>
      </w:r>
      <w:r>
        <w:rPr>
          <w:sz w:val="20"/>
          <w:szCs w:val="20"/>
          <w:lang w:val="en-GB"/>
        </w:rPr>
        <w:t>20</w:t>
      </w:r>
      <w:r w:rsidRPr="007A3A29">
        <w:rPr>
          <w:sz w:val="20"/>
          <w:szCs w:val="20"/>
          <w:vertAlign w:val="superscript"/>
          <w:lang w:val="en-GB"/>
        </w:rPr>
        <w:t>th</w:t>
      </w:r>
      <w:r>
        <w:rPr>
          <w:sz w:val="20"/>
          <w:szCs w:val="20"/>
          <w:lang w:val="en-GB"/>
        </w:rPr>
        <w:t xml:space="preserve"> </w:t>
      </w:r>
      <w:r w:rsidRPr="00ED4C82">
        <w:rPr>
          <w:sz w:val="20"/>
          <w:szCs w:val="20"/>
          <w:lang w:val="en-GB"/>
        </w:rPr>
        <w:t xml:space="preserve">century. </w:t>
      </w:r>
      <w:r>
        <w:rPr>
          <w:sz w:val="20"/>
          <w:szCs w:val="20"/>
          <w:lang w:val="en-GB"/>
        </w:rPr>
        <w:t>Sandinismo</w:t>
      </w:r>
      <w:r w:rsidRPr="00495F0F">
        <w:rPr>
          <w:sz w:val="20"/>
          <w:szCs w:val="20"/>
          <w:lang w:val="en-GB"/>
        </w:rPr>
        <w:t xml:space="preserve"> </w:t>
      </w:r>
      <w:r>
        <w:rPr>
          <w:sz w:val="20"/>
          <w:szCs w:val="20"/>
          <w:lang w:val="en-GB"/>
        </w:rPr>
        <w:t>focused on the masses rather than the elite and used political awareness training through education based on the writings of Paolo Freire. Sandino and Sandinista ideology favoured cooperatives in order to promote internal growth and national sovereignty. Cooperatives are a substantive part of the historical legacy that General Augusto C. Sandino left behind. Augusto Sandino famously once said</w:t>
      </w:r>
      <w:r w:rsidRPr="00754AC1">
        <w:rPr>
          <w:sz w:val="20"/>
          <w:szCs w:val="20"/>
          <w:lang w:val="en-GB"/>
        </w:rPr>
        <w:t xml:space="preserve">: </w:t>
      </w:r>
      <w:r>
        <w:rPr>
          <w:sz w:val="20"/>
          <w:szCs w:val="20"/>
          <w:lang w:val="en-GB"/>
        </w:rPr>
        <w:t>‘</w:t>
      </w:r>
      <w:r w:rsidRPr="00754AC1">
        <w:rPr>
          <w:iCs/>
          <w:sz w:val="20"/>
          <w:szCs w:val="20"/>
        </w:rPr>
        <w:t xml:space="preserve">I lean </w:t>
      </w:r>
      <w:r>
        <w:rPr>
          <w:iCs/>
          <w:sz w:val="20"/>
          <w:szCs w:val="20"/>
        </w:rPr>
        <w:t>toward a regime of cooperatives’</w:t>
      </w:r>
      <w:r w:rsidRPr="00754AC1">
        <w:rPr>
          <w:iCs/>
          <w:sz w:val="20"/>
          <w:szCs w:val="20"/>
        </w:rPr>
        <w:t xml:space="preserve"> </w:t>
      </w:r>
      <w:r>
        <w:rPr>
          <w:iCs/>
          <w:sz w:val="20"/>
          <w:szCs w:val="20"/>
        </w:rPr>
        <w:t xml:space="preserve">(see </w:t>
      </w:r>
      <w:hyperlink r:id="rId4" w:history="1">
        <w:r>
          <w:rPr>
            <w:rStyle w:val="Hyperlink"/>
            <w:iCs/>
            <w:sz w:val="20"/>
            <w:szCs w:val="20"/>
          </w:rPr>
          <w:t>Genera Assembly S</w:t>
        </w:r>
        <w:r w:rsidRPr="00E33355">
          <w:rPr>
            <w:rStyle w:val="Hyperlink"/>
            <w:iCs/>
            <w:sz w:val="20"/>
            <w:szCs w:val="20"/>
          </w:rPr>
          <w:t>tatement, 2011</w:t>
        </w:r>
      </w:hyperlink>
      <w:r>
        <w:rPr>
          <w:iCs/>
          <w:sz w:val="20"/>
          <w:szCs w:val="20"/>
        </w:rPr>
        <w:t xml:space="preserve"> available at: </w:t>
      </w:r>
      <w:r w:rsidRPr="00E33355">
        <w:rPr>
          <w:iCs/>
          <w:sz w:val="20"/>
          <w:szCs w:val="20"/>
        </w:rPr>
        <w:t>http://legislacion.asamblea.gob.ni/Diariodebate.nsf/1e91f0054ac77a85062572e50067fde4/c8ee7befbc5ed29a0625796400564a7c</w:t>
      </w:r>
      <w:r>
        <w:rPr>
          <w:iCs/>
          <w:sz w:val="20"/>
          <w:szCs w:val="20"/>
        </w:rPr>
        <w:t>).</w:t>
      </w:r>
    </w:p>
  </w:footnote>
  <w:footnote w:id="14">
    <w:p w14:paraId="3441D187" w14:textId="0C84D285" w:rsidR="00A96CF7" w:rsidRPr="007A3A29" w:rsidRDefault="00A96CF7" w:rsidP="007A3A29">
      <w:pPr>
        <w:rPr>
          <w:rFonts w:ascii="TimesNewRomanPSMT" w:hAnsi="TimesNewRomanPSMT" w:cs="TimesNewRomanPSMT"/>
          <w:sz w:val="20"/>
          <w:szCs w:val="20"/>
        </w:rPr>
      </w:pPr>
      <w:r w:rsidRPr="007A3A29">
        <w:rPr>
          <w:rStyle w:val="FootnoteReference"/>
          <w:sz w:val="20"/>
          <w:szCs w:val="20"/>
        </w:rPr>
        <w:footnoteRef/>
      </w:r>
      <w:r>
        <w:rPr>
          <w:sz w:val="20"/>
          <w:szCs w:val="20"/>
        </w:rPr>
        <w:t xml:space="preserve"> As Pedro Huerta explained in an interview cited by Utting et al. (2014), ‘</w:t>
      </w:r>
      <w:r w:rsidRPr="007A3A29">
        <w:rPr>
          <w:rFonts w:ascii="TimesNewRomanPSMT" w:hAnsi="TimesNewRomanPSMT" w:cs="TimesNewRomanPSMT"/>
          <w:sz w:val="20"/>
          <w:szCs w:val="20"/>
        </w:rPr>
        <w:t>The Nicaraguan cooperative movement has passed through various phases. In the 1980s it realized the rights of the peasants: the right to land, to credit, to services. In the 1990s it confronted the neoliberal offensive, defending its lands and cooperative structures. The cooperatives were a site for concertation, reconciliati</w:t>
      </w:r>
      <w:r w:rsidRPr="00E53461">
        <w:rPr>
          <w:rFonts w:ascii="TimesNewRomanPSMT" w:hAnsi="TimesNewRomanPSMT" w:cs="TimesNewRomanPSMT"/>
          <w:sz w:val="20"/>
          <w:szCs w:val="20"/>
        </w:rPr>
        <w:t xml:space="preserve">on and peace in the countryside </w:t>
      </w:r>
      <w:r>
        <w:rPr>
          <w:rFonts w:ascii="TimesNewRomanPSMT" w:hAnsi="TimesNewRomanPSMT" w:cs="TimesNewRomanPSMT"/>
          <w:sz w:val="20"/>
          <w:szCs w:val="20"/>
        </w:rPr>
        <w:t xml:space="preserve">– </w:t>
      </w:r>
      <w:r w:rsidRPr="007A3A29">
        <w:rPr>
          <w:rFonts w:ascii="TimesNewRomanPSMT" w:hAnsi="TimesNewRomanPSMT" w:cs="TimesNewRomanPSMT"/>
          <w:sz w:val="20"/>
          <w:szCs w:val="20"/>
        </w:rPr>
        <w:t>among army combatants, peasant producers and t</w:t>
      </w:r>
      <w:r w:rsidRPr="00E53461">
        <w:rPr>
          <w:rFonts w:ascii="TimesNewRomanPSMT" w:hAnsi="TimesNewRomanPSMT" w:cs="TimesNewRomanPSMT"/>
          <w:sz w:val="20"/>
          <w:szCs w:val="20"/>
        </w:rPr>
        <w:t xml:space="preserve">he counter-revolutionary forces </w:t>
      </w:r>
      <w:r>
        <w:rPr>
          <w:rFonts w:ascii="TimesNewRomanPSMT" w:hAnsi="TimesNewRomanPSMT" w:cs="TimesNewRomanPSMT"/>
          <w:sz w:val="20"/>
          <w:szCs w:val="20"/>
        </w:rPr>
        <w:t xml:space="preserve">– </w:t>
      </w:r>
      <w:r w:rsidRPr="007A3A29">
        <w:rPr>
          <w:rFonts w:ascii="TimesNewRomanPSMT" w:hAnsi="TimesNewRomanPSMT" w:cs="TimesNewRomanPSMT"/>
          <w:sz w:val="20"/>
          <w:szCs w:val="20"/>
        </w:rPr>
        <w:t>during a period when popular resistance was widespread</w:t>
      </w:r>
      <w:r>
        <w:rPr>
          <w:rFonts w:ascii="TimesNewRomanPSMT" w:hAnsi="TimesNewRomanPSMT" w:cs="TimesNewRomanPSMT"/>
          <w:sz w:val="20"/>
          <w:szCs w:val="20"/>
        </w:rPr>
        <w:t>’ (p. 22)</w:t>
      </w:r>
      <w:r w:rsidRPr="00EE3B23">
        <w:rPr>
          <w:rFonts w:ascii="TimesNewRomanPSMT" w:hAnsi="TimesNewRomanPSMT" w:cs="TimesNewRomanPSMT"/>
          <w:sz w:val="20"/>
          <w:szCs w:val="20"/>
        </w:rPr>
        <w:t>.</w:t>
      </w:r>
      <w:r w:rsidRPr="007A3A29">
        <w:rPr>
          <w:rFonts w:ascii="TimesNewRomanPSMT" w:hAnsi="TimesNewRomanPSMT" w:cs="TimesNewRomanPSMT"/>
          <w:sz w:val="20"/>
          <w:szCs w:val="20"/>
        </w:rPr>
        <w:t xml:space="preserve"> </w:t>
      </w:r>
    </w:p>
  </w:footnote>
  <w:footnote w:id="15">
    <w:p w14:paraId="1C92B6DB" w14:textId="5BAC67C3" w:rsidR="00A96CF7" w:rsidRPr="008F1E03" w:rsidRDefault="00A96CF7" w:rsidP="00C24E65">
      <w:pPr>
        <w:pStyle w:val="FootnoteText"/>
        <w:rPr>
          <w:bCs/>
          <w:sz w:val="20"/>
          <w:szCs w:val="20"/>
          <w:lang w:val="en-GB"/>
        </w:rPr>
      </w:pPr>
      <w:r w:rsidRPr="00C24E65">
        <w:rPr>
          <w:rStyle w:val="FootnoteReference"/>
          <w:sz w:val="20"/>
          <w:szCs w:val="20"/>
        </w:rPr>
        <w:footnoteRef/>
      </w:r>
      <w:r w:rsidRPr="00C24E65">
        <w:rPr>
          <w:sz w:val="20"/>
          <w:szCs w:val="20"/>
        </w:rPr>
        <w:t xml:space="preserve"> There are</w:t>
      </w:r>
      <w:r>
        <w:rPr>
          <w:sz w:val="20"/>
          <w:szCs w:val="20"/>
        </w:rPr>
        <w:t xml:space="preserve"> more than</w:t>
      </w:r>
      <w:r w:rsidRPr="00C24E65">
        <w:rPr>
          <w:sz w:val="20"/>
          <w:szCs w:val="20"/>
        </w:rPr>
        <w:t xml:space="preserve"> 5</w:t>
      </w:r>
      <w:r w:rsidRPr="00C24E65">
        <w:rPr>
          <w:bCs/>
          <w:sz w:val="20"/>
          <w:szCs w:val="20"/>
          <w:lang w:val="en-GB"/>
        </w:rPr>
        <w:t xml:space="preserve">,000 </w:t>
      </w:r>
      <w:r w:rsidRPr="00D32E82">
        <w:rPr>
          <w:bCs/>
          <w:sz w:val="20"/>
          <w:szCs w:val="20"/>
          <w:lang w:val="en-GB"/>
        </w:rPr>
        <w:t xml:space="preserve">cooperatives and </w:t>
      </w:r>
      <w:r w:rsidRPr="000C6AF7">
        <w:rPr>
          <w:bCs/>
          <w:sz w:val="20"/>
          <w:szCs w:val="20"/>
          <w:lang w:val="en-GB"/>
        </w:rPr>
        <w:t>300,000</w:t>
      </w:r>
      <w:r w:rsidRPr="00D32E82">
        <w:rPr>
          <w:bCs/>
          <w:sz w:val="20"/>
          <w:szCs w:val="20"/>
          <w:lang w:val="en-GB"/>
        </w:rPr>
        <w:t xml:space="preserve"> members</w:t>
      </w:r>
      <w:r>
        <w:rPr>
          <w:bCs/>
          <w:sz w:val="20"/>
          <w:szCs w:val="20"/>
          <w:lang w:val="en-GB"/>
        </w:rPr>
        <w:t xml:space="preserve"> </w:t>
      </w:r>
      <w:r w:rsidRPr="00C24E65">
        <w:rPr>
          <w:bCs/>
          <w:sz w:val="20"/>
          <w:szCs w:val="20"/>
          <w:lang w:val="en-GB"/>
        </w:rPr>
        <w:t xml:space="preserve">organized into </w:t>
      </w:r>
      <w:r>
        <w:rPr>
          <w:bCs/>
          <w:sz w:val="20"/>
          <w:szCs w:val="20"/>
          <w:lang w:val="en-GB"/>
        </w:rPr>
        <w:t>u</w:t>
      </w:r>
      <w:r w:rsidRPr="00C24E65">
        <w:rPr>
          <w:bCs/>
          <w:sz w:val="20"/>
          <w:szCs w:val="20"/>
          <w:lang w:val="en-GB"/>
        </w:rPr>
        <w:t xml:space="preserve">nions, </w:t>
      </w:r>
      <w:r>
        <w:rPr>
          <w:bCs/>
          <w:sz w:val="20"/>
          <w:szCs w:val="20"/>
          <w:lang w:val="en-GB"/>
        </w:rPr>
        <w:t>c</w:t>
      </w:r>
      <w:r w:rsidRPr="00C24E65">
        <w:rPr>
          <w:bCs/>
          <w:sz w:val="20"/>
          <w:szCs w:val="20"/>
          <w:lang w:val="en-GB"/>
        </w:rPr>
        <w:t xml:space="preserve">entrals, </w:t>
      </w:r>
      <w:r>
        <w:rPr>
          <w:bCs/>
          <w:sz w:val="20"/>
          <w:szCs w:val="20"/>
          <w:lang w:val="en-GB"/>
        </w:rPr>
        <w:t>f</w:t>
      </w:r>
      <w:r w:rsidRPr="00C24E65">
        <w:rPr>
          <w:bCs/>
          <w:sz w:val="20"/>
          <w:szCs w:val="20"/>
          <w:lang w:val="en-GB"/>
        </w:rPr>
        <w:t xml:space="preserve">ederations and </w:t>
      </w:r>
      <w:r>
        <w:rPr>
          <w:bCs/>
          <w:sz w:val="20"/>
          <w:szCs w:val="20"/>
          <w:lang w:val="en-GB"/>
        </w:rPr>
        <w:t>d</w:t>
      </w:r>
      <w:r w:rsidRPr="00C24E65">
        <w:rPr>
          <w:bCs/>
          <w:sz w:val="20"/>
          <w:szCs w:val="20"/>
          <w:lang w:val="en-GB"/>
        </w:rPr>
        <w:t xml:space="preserve">epartmental </w:t>
      </w:r>
      <w:r>
        <w:rPr>
          <w:bCs/>
          <w:sz w:val="20"/>
          <w:szCs w:val="20"/>
          <w:lang w:val="en-GB"/>
        </w:rPr>
        <w:t>c</w:t>
      </w:r>
      <w:r w:rsidRPr="00C24E65">
        <w:rPr>
          <w:bCs/>
          <w:sz w:val="20"/>
          <w:szCs w:val="20"/>
          <w:lang w:val="en-GB"/>
        </w:rPr>
        <w:t>ouncils of cooper</w:t>
      </w:r>
      <w:r w:rsidRPr="00ED4C82">
        <w:rPr>
          <w:bCs/>
          <w:sz w:val="20"/>
          <w:szCs w:val="20"/>
          <w:lang w:val="en-GB"/>
        </w:rPr>
        <w:t xml:space="preserve">atives in Nicaragua. </w:t>
      </w:r>
      <w:r>
        <w:rPr>
          <w:bCs/>
          <w:sz w:val="20"/>
          <w:szCs w:val="20"/>
          <w:lang w:val="en-GB"/>
        </w:rPr>
        <w:t xml:space="preserve"> </w:t>
      </w:r>
      <w:r w:rsidRPr="00495F0F">
        <w:rPr>
          <w:bCs/>
          <w:sz w:val="20"/>
          <w:szCs w:val="20"/>
          <w:lang w:val="en-GB"/>
        </w:rPr>
        <w:t>Those categorized under social economy (popular and associative – cooperatives, associations and sel</w:t>
      </w:r>
      <w:r>
        <w:rPr>
          <w:bCs/>
          <w:sz w:val="20"/>
          <w:szCs w:val="20"/>
          <w:lang w:val="en-GB"/>
        </w:rPr>
        <w:t>f</w:t>
      </w:r>
      <w:r w:rsidRPr="00495F0F">
        <w:rPr>
          <w:bCs/>
          <w:sz w:val="20"/>
          <w:szCs w:val="20"/>
          <w:lang w:val="en-GB"/>
        </w:rPr>
        <w:t>-employed workers such as fisherman, peasants, workers and traders) generate 53% of GDP and account for 70% of the employed population (2.5 million). Cooperative employees (including those from government social programs) total 450,000.</w:t>
      </w:r>
      <w:r>
        <w:rPr>
          <w:bCs/>
          <w:sz w:val="20"/>
          <w:szCs w:val="20"/>
          <w:lang w:val="en-GB"/>
        </w:rPr>
        <w:t xml:space="preserve"> See more here: </w:t>
      </w:r>
      <w:r w:rsidRPr="00A40E47">
        <w:rPr>
          <w:bCs/>
          <w:sz w:val="20"/>
          <w:szCs w:val="20"/>
          <w:lang w:val="en-GB"/>
        </w:rPr>
        <w:t>http://www.radiolaprimerisima.com/noticias/general/178208/cooperativas-cambian-al-pais/</w:t>
      </w:r>
    </w:p>
  </w:footnote>
  <w:footnote w:id="16">
    <w:p w14:paraId="2717D824" w14:textId="3641244E" w:rsidR="00A96CF7" w:rsidRPr="00665354" w:rsidRDefault="00A96CF7" w:rsidP="0080361A">
      <w:pPr>
        <w:pStyle w:val="FootnoteText"/>
        <w:rPr>
          <w:sz w:val="20"/>
          <w:szCs w:val="20"/>
          <w:lang w:val="en-GB"/>
        </w:rPr>
      </w:pPr>
      <w:r w:rsidRPr="00270466">
        <w:rPr>
          <w:rStyle w:val="FootnoteReference"/>
          <w:sz w:val="20"/>
          <w:szCs w:val="20"/>
        </w:rPr>
        <w:footnoteRef/>
      </w:r>
      <w:r>
        <w:rPr>
          <w:sz w:val="20"/>
          <w:szCs w:val="20"/>
        </w:rPr>
        <w:t xml:space="preserve"> See </w:t>
      </w:r>
      <w:hyperlink r:id="rId5" w:history="1">
        <w:r w:rsidRPr="003613EF">
          <w:rPr>
            <w:rStyle w:val="Hyperlink"/>
            <w:sz w:val="20"/>
            <w:szCs w:val="20"/>
          </w:rPr>
          <w:t>https://www.centralamericadata.com/en/article/home/Microfinance_is_booming_in_Nicaragua</w:t>
        </w:r>
      </w:hyperlink>
      <w:r>
        <w:rPr>
          <w:sz w:val="20"/>
          <w:szCs w:val="20"/>
        </w:rPr>
        <w:t xml:space="preserve">. </w:t>
      </w:r>
    </w:p>
  </w:footnote>
  <w:footnote w:id="17">
    <w:p w14:paraId="06A07D22" w14:textId="78978B65" w:rsidR="00A96CF7" w:rsidRPr="007623F0" w:rsidRDefault="00A96CF7" w:rsidP="009B3B0E">
      <w:pPr>
        <w:pStyle w:val="FootnoteText"/>
        <w:rPr>
          <w:lang w:val="en-GB"/>
        </w:rPr>
      </w:pPr>
      <w:r w:rsidRPr="00665354">
        <w:rPr>
          <w:rStyle w:val="FootnoteReference"/>
          <w:sz w:val="20"/>
          <w:szCs w:val="20"/>
        </w:rPr>
        <w:footnoteRef/>
      </w:r>
      <w:r w:rsidRPr="00665354">
        <w:rPr>
          <w:sz w:val="20"/>
          <w:szCs w:val="20"/>
        </w:rPr>
        <w:t xml:space="preserve"> </w:t>
      </w:r>
      <w:r w:rsidRPr="00665354">
        <w:rPr>
          <w:sz w:val="20"/>
          <w:szCs w:val="20"/>
          <w:lang w:val="en-GB"/>
        </w:rPr>
        <w:t>The cooperative brainstormed 18 objectives</w:t>
      </w:r>
      <w:r>
        <w:rPr>
          <w:sz w:val="20"/>
          <w:szCs w:val="20"/>
          <w:lang w:val="en-GB"/>
        </w:rPr>
        <w:t>,</w:t>
      </w:r>
      <w:r w:rsidRPr="00665354">
        <w:rPr>
          <w:sz w:val="20"/>
          <w:szCs w:val="20"/>
          <w:lang w:val="en-GB"/>
        </w:rPr>
        <w:t xml:space="preserve"> but did not formalise them</w:t>
      </w:r>
      <w:r>
        <w:rPr>
          <w:sz w:val="20"/>
          <w:szCs w:val="20"/>
          <w:lang w:val="en-GB"/>
        </w:rPr>
        <w:t>. The list that follows presents the objectives in the order in which they appear in the original document</w:t>
      </w:r>
      <w:r w:rsidRPr="00665354">
        <w:rPr>
          <w:sz w:val="20"/>
          <w:szCs w:val="20"/>
          <w:lang w:val="en-GB"/>
        </w:rPr>
        <w:t>:</w:t>
      </w:r>
      <w:r w:rsidRPr="001F7E0A">
        <w:rPr>
          <w:rFonts w:ascii="Arial" w:hAnsi="Arial" w:cs="Arial"/>
          <w:color w:val="777777"/>
          <w:sz w:val="20"/>
          <w:szCs w:val="20"/>
          <w:lang w:val="en-GB"/>
        </w:rPr>
        <w:t xml:space="preserve"> </w:t>
      </w:r>
      <w:r w:rsidRPr="001F7E0A">
        <w:rPr>
          <w:sz w:val="20"/>
          <w:szCs w:val="20"/>
          <w:lang w:val="en-GB"/>
        </w:rPr>
        <w:t xml:space="preserve">Facilitate better relationships between women in the community; facilitate opportunities so that women can save by themselves and in their own accounts; that women are taken into account; create opportunities so that women </w:t>
      </w:r>
      <w:r w:rsidRPr="001F7E0A">
        <w:rPr>
          <w:sz w:val="20"/>
          <w:szCs w:val="20"/>
          <w:lang w:val="en"/>
        </w:rPr>
        <w:t xml:space="preserve">strengthen their capacities to better their work and work more together and to develop, encourage creativity in the family economy, help women and be stronger together, to have access to more opportunities; support women’s independence and active participation; to help women become self-sustainable;  that the CJFPS cooperative provides support, advice and ideas for the groups and their members, CJFPS publicly </w:t>
      </w:r>
      <w:r>
        <w:rPr>
          <w:sz w:val="20"/>
          <w:szCs w:val="20"/>
          <w:lang w:val="en"/>
        </w:rPr>
        <w:t>recognise</w:t>
      </w:r>
      <w:r w:rsidRPr="001F7E0A">
        <w:rPr>
          <w:sz w:val="20"/>
          <w:szCs w:val="20"/>
          <w:lang w:val="en"/>
        </w:rPr>
        <w:t xml:space="preserve">s the value of the women’s unpaid work; also  </w:t>
      </w:r>
      <w:r>
        <w:rPr>
          <w:sz w:val="20"/>
          <w:szCs w:val="20"/>
          <w:lang w:val="en"/>
        </w:rPr>
        <w:t>recognise</w:t>
      </w:r>
      <w:r w:rsidRPr="001F7E0A">
        <w:rPr>
          <w:sz w:val="20"/>
          <w:szCs w:val="20"/>
          <w:lang w:val="en"/>
        </w:rPr>
        <w:t>s the work of the women involved and those in other women’s organizations in the region of Achuapa; create opportunities for training and organizing women into groups; support women to assume leadership roles in the cooperative and in their communities; help to improve and strengthen the relationships between men and women and in particular in couples and families; support women to become members of the women’s groups and exercise their rights, build a good example of leadership and development for Achuapa’s children, youth and future generations; support family members and those in the households to participate in activities</w:t>
      </w:r>
      <w:r>
        <w:rPr>
          <w:sz w:val="20"/>
          <w:szCs w:val="20"/>
          <w:lang w:val="en"/>
        </w:rPr>
        <w:t>. See also Appendix A.</w:t>
      </w:r>
    </w:p>
  </w:footnote>
  <w:footnote w:id="18">
    <w:p w14:paraId="333F1C39" w14:textId="037A1FDF" w:rsidR="00A96CF7" w:rsidRPr="00B44AC2" w:rsidRDefault="00A96CF7" w:rsidP="00F56D1F">
      <w:pPr>
        <w:rPr>
          <w:color w:val="141414"/>
          <w:sz w:val="20"/>
          <w:szCs w:val="20"/>
        </w:rPr>
      </w:pPr>
      <w:r w:rsidRPr="00B44AC2">
        <w:rPr>
          <w:rStyle w:val="FootnoteReference"/>
          <w:sz w:val="20"/>
          <w:szCs w:val="20"/>
        </w:rPr>
        <w:footnoteRef/>
      </w:r>
      <w:r w:rsidRPr="00B44AC2">
        <w:rPr>
          <w:sz w:val="20"/>
          <w:szCs w:val="20"/>
        </w:rPr>
        <w:t xml:space="preserve"> In the Gender and Development Network (GADN) report, ‘Turning Promises into Progress Report’, the authors explain several different instances in which the subject of </w:t>
      </w:r>
      <w:r>
        <w:rPr>
          <w:sz w:val="20"/>
          <w:szCs w:val="20"/>
        </w:rPr>
        <w:t>UCW</w:t>
      </w:r>
      <w:r w:rsidRPr="00B44AC2">
        <w:rPr>
          <w:sz w:val="20"/>
          <w:szCs w:val="20"/>
        </w:rPr>
        <w:t xml:space="preserve"> was include on the international agenda</w:t>
      </w:r>
      <w:r w:rsidRPr="00B44AC2">
        <w:rPr>
          <w:color w:val="141414"/>
          <w:sz w:val="20"/>
          <w:szCs w:val="20"/>
        </w:rPr>
        <w:t xml:space="preserve">: ‘In 2010, the High-level Plenary Meeting on the Millennium Development Goals (MDGs) recognised women’s </w:t>
      </w:r>
      <w:r>
        <w:rPr>
          <w:color w:val="141414"/>
          <w:sz w:val="20"/>
          <w:szCs w:val="20"/>
        </w:rPr>
        <w:t>UCW</w:t>
      </w:r>
      <w:r w:rsidRPr="00B44AC2">
        <w:rPr>
          <w:color w:val="141414"/>
          <w:sz w:val="20"/>
          <w:szCs w:val="20"/>
        </w:rPr>
        <w:t xml:space="preserve"> and the need to invest in infrastructure and labour-saving technologies. The UN Special Rapporteur on extreme poverty and human rights produced her report on poverty and unpaid care in August 2013, which provided a clear framework to address unpaid care through a rights-based approach. In 2014, the Open Working Group on the sustainable development goals included a target on unpaid care under its proposed gender goal’ </w:t>
      </w:r>
      <w:r w:rsidRPr="00B44AC2">
        <w:rPr>
          <w:sz w:val="20"/>
          <w:szCs w:val="20"/>
        </w:rPr>
        <w:t>(GADN, 2015, p. 70).</w:t>
      </w:r>
    </w:p>
  </w:footnote>
  <w:footnote w:id="19">
    <w:p w14:paraId="7183CD90" w14:textId="63B232E3" w:rsidR="00A96CF7" w:rsidRPr="00B44AC2" w:rsidRDefault="00A96CF7" w:rsidP="00B17488">
      <w:pPr>
        <w:pStyle w:val="NormalWeb"/>
        <w:spacing w:before="0" w:beforeAutospacing="0" w:after="0" w:afterAutospacing="0"/>
        <w:rPr>
          <w:sz w:val="20"/>
          <w:szCs w:val="20"/>
        </w:rPr>
      </w:pPr>
      <w:r w:rsidRPr="00B44AC2">
        <w:rPr>
          <w:rStyle w:val="FootnoteReference"/>
          <w:sz w:val="20"/>
          <w:szCs w:val="20"/>
        </w:rPr>
        <w:footnoteRef/>
      </w:r>
      <w:r w:rsidRPr="00B44AC2">
        <w:rPr>
          <w:sz w:val="20"/>
          <w:szCs w:val="20"/>
        </w:rPr>
        <w:t xml:space="preserve"> See Sustainable Development Goal 5, </w:t>
      </w:r>
      <w:r w:rsidRPr="00B44AC2">
        <w:rPr>
          <w:color w:val="000000" w:themeColor="text1"/>
          <w:sz w:val="20"/>
          <w:szCs w:val="20"/>
        </w:rPr>
        <w:t xml:space="preserve">Target 5.4: ‘Recognize and value unpaid care and domestic work through the provision of public services, infrastructure and social protection policies and the promotion of shared responsibility within the household and the family as nationally appropriate’.  </w:t>
      </w:r>
      <w:hyperlink r:id="rId6" w:history="1">
        <w:r w:rsidRPr="00293176">
          <w:rPr>
            <w:rStyle w:val="Hyperlink"/>
            <w:sz w:val="20"/>
            <w:szCs w:val="20"/>
          </w:rPr>
          <w:t>https://sustainabledevelopment.un.org/sdg5</w:t>
        </w:r>
      </w:hyperlink>
      <w:r w:rsidRPr="00B44AC2">
        <w:rPr>
          <w:sz w:val="20"/>
          <w:szCs w:val="20"/>
        </w:rPr>
        <w:t xml:space="preserve"> </w:t>
      </w:r>
      <w:r w:rsidRPr="00B44AC2">
        <w:rPr>
          <w:rFonts w:ascii="Calibri" w:hAnsi="Calibri"/>
          <w:color w:val="000000" w:themeColor="text1"/>
          <w:sz w:val="20"/>
          <w:szCs w:val="20"/>
        </w:rPr>
        <w:t xml:space="preserve"> </w:t>
      </w:r>
    </w:p>
  </w:footnote>
  <w:footnote w:id="20">
    <w:p w14:paraId="3BB99826" w14:textId="0357566A" w:rsidR="00A96CF7" w:rsidRPr="00B17488" w:rsidRDefault="00A96CF7">
      <w:pPr>
        <w:pStyle w:val="FootnoteText"/>
        <w:rPr>
          <w:sz w:val="20"/>
          <w:szCs w:val="20"/>
        </w:rPr>
      </w:pPr>
      <w:r w:rsidRPr="00B44AC2">
        <w:rPr>
          <w:rStyle w:val="FootnoteReference"/>
          <w:sz w:val="20"/>
          <w:szCs w:val="20"/>
        </w:rPr>
        <w:footnoteRef/>
      </w:r>
      <w:r w:rsidRPr="00B44AC2">
        <w:rPr>
          <w:sz w:val="20"/>
          <w:szCs w:val="20"/>
        </w:rPr>
        <w:t xml:space="preserve"> </w:t>
      </w:r>
      <w:r w:rsidRPr="00B44AC2">
        <w:rPr>
          <w:color w:val="141414"/>
          <w:sz w:val="20"/>
          <w:szCs w:val="20"/>
          <w:lang w:val="en-GB"/>
        </w:rPr>
        <w:t>See McKinsey (2015) for a discussion of their position and work on this issue.</w:t>
      </w:r>
      <w:r>
        <w:rPr>
          <w:color w:val="141414"/>
          <w:sz w:val="20"/>
          <w:szCs w:val="20"/>
          <w:lang w:val="en-GB"/>
        </w:rPr>
        <w:t xml:space="preserve"> </w:t>
      </w:r>
    </w:p>
  </w:footnote>
  <w:footnote w:id="21">
    <w:p w14:paraId="3476A681" w14:textId="56453F29" w:rsidR="00A96CF7" w:rsidRPr="00B17488" w:rsidRDefault="00A96CF7" w:rsidP="00B17488">
      <w:pPr>
        <w:rPr>
          <w:sz w:val="20"/>
          <w:szCs w:val="20"/>
        </w:rPr>
      </w:pPr>
      <w:r w:rsidRPr="00B17488">
        <w:rPr>
          <w:rStyle w:val="FootnoteReference"/>
          <w:sz w:val="20"/>
          <w:szCs w:val="20"/>
        </w:rPr>
        <w:footnoteRef/>
      </w:r>
      <w:r w:rsidRPr="00B17488">
        <w:rPr>
          <w:sz w:val="20"/>
          <w:szCs w:val="20"/>
        </w:rPr>
        <w:t xml:space="preserve"> </w:t>
      </w:r>
      <w:r w:rsidRPr="00210A3E">
        <w:rPr>
          <w:rFonts w:eastAsiaTheme="minorHAnsi"/>
          <w:sz w:val="20"/>
          <w:szCs w:val="20"/>
          <w:lang w:eastAsia="en-GB"/>
        </w:rPr>
        <w:t>As used in popular education, community mobilisation and feminist consciousness-raising, the concept of empowerment has, since the 1970s, spoken to and about an agenda for social transformation (Batliwala</w:t>
      </w:r>
      <w:r>
        <w:rPr>
          <w:rFonts w:eastAsiaTheme="minorHAnsi"/>
          <w:sz w:val="20"/>
          <w:szCs w:val="20"/>
          <w:lang w:eastAsia="en-GB"/>
        </w:rPr>
        <w:t>,</w:t>
      </w:r>
      <w:r w:rsidRPr="00210A3E">
        <w:rPr>
          <w:rFonts w:eastAsiaTheme="minorHAnsi"/>
          <w:sz w:val="20"/>
          <w:szCs w:val="20"/>
          <w:lang w:eastAsia="en-GB"/>
        </w:rPr>
        <w:t xml:space="preserve"> 1994; Rowlands</w:t>
      </w:r>
      <w:r>
        <w:rPr>
          <w:rFonts w:eastAsiaTheme="minorHAnsi"/>
          <w:sz w:val="20"/>
          <w:szCs w:val="20"/>
          <w:lang w:eastAsia="en-GB"/>
        </w:rPr>
        <w:t>,</w:t>
      </w:r>
      <w:r w:rsidRPr="00210A3E">
        <w:rPr>
          <w:rFonts w:eastAsiaTheme="minorHAnsi"/>
          <w:sz w:val="20"/>
          <w:szCs w:val="20"/>
          <w:lang w:eastAsia="en-GB"/>
        </w:rPr>
        <w:t xml:space="preserve"> 1997). This involves a process of what the Brazilian social activist and radical educator Paulo Freire (197</w:t>
      </w:r>
      <w:r>
        <w:rPr>
          <w:rFonts w:eastAsiaTheme="minorHAnsi"/>
          <w:sz w:val="20"/>
          <w:szCs w:val="20"/>
          <w:lang w:eastAsia="en-GB"/>
        </w:rPr>
        <w:t>3</w:t>
      </w:r>
      <w:r w:rsidRPr="00210A3E">
        <w:rPr>
          <w:rFonts w:eastAsiaTheme="minorHAnsi"/>
          <w:sz w:val="20"/>
          <w:szCs w:val="20"/>
          <w:lang w:eastAsia="en-GB"/>
        </w:rPr>
        <w:t xml:space="preserve">) dubbed </w:t>
      </w:r>
      <w:r w:rsidRPr="00B17488">
        <w:rPr>
          <w:rFonts w:eastAsiaTheme="minorHAnsi"/>
          <w:i/>
          <w:sz w:val="20"/>
          <w:szCs w:val="20"/>
          <w:lang w:eastAsia="en-GB"/>
        </w:rPr>
        <w:t>conscientização</w:t>
      </w:r>
      <w:r>
        <w:rPr>
          <w:rFonts w:eastAsiaTheme="minorHAnsi"/>
          <w:sz w:val="20"/>
          <w:szCs w:val="20"/>
          <w:lang w:eastAsia="en-GB"/>
        </w:rPr>
        <w:t>, or</w:t>
      </w:r>
      <w:r w:rsidRPr="00210A3E">
        <w:rPr>
          <w:rFonts w:eastAsiaTheme="minorHAnsi"/>
          <w:sz w:val="20"/>
          <w:szCs w:val="20"/>
          <w:lang w:eastAsia="en-GB"/>
        </w:rPr>
        <w:t xml:space="preserve"> the development of critical consciousness.</w:t>
      </w:r>
    </w:p>
  </w:footnote>
  <w:footnote w:id="22">
    <w:p w14:paraId="01A0D300" w14:textId="46571DF5" w:rsidR="00A96CF7" w:rsidRPr="00293176" w:rsidRDefault="00A96CF7" w:rsidP="000F6061">
      <w:pPr>
        <w:pStyle w:val="FootnoteText"/>
        <w:rPr>
          <w:sz w:val="20"/>
          <w:szCs w:val="20"/>
          <w:lang w:val="en-GB"/>
        </w:rPr>
      </w:pPr>
      <w:r w:rsidRPr="008C041F">
        <w:rPr>
          <w:rStyle w:val="FootnoteReference"/>
          <w:sz w:val="20"/>
          <w:szCs w:val="20"/>
        </w:rPr>
        <w:footnoteRef/>
      </w:r>
      <w:r w:rsidRPr="004F74EB">
        <w:rPr>
          <w:sz w:val="20"/>
          <w:szCs w:val="20"/>
        </w:rPr>
        <w:t xml:space="preserve"> See </w:t>
      </w:r>
      <w:hyperlink r:id="rId7" w:history="1">
        <w:r w:rsidRPr="004F74EB">
          <w:rPr>
            <w:rStyle w:val="Hyperlink"/>
            <w:sz w:val="20"/>
            <w:szCs w:val="20"/>
          </w:rPr>
          <w:t>http://www.fairtrade.org.uk/Farmers-and-Workers</w:t>
        </w:r>
      </w:hyperlink>
    </w:p>
  </w:footnote>
  <w:footnote w:id="23">
    <w:p w14:paraId="11CB5C21" w14:textId="42EF1DBF" w:rsidR="00A96CF7" w:rsidRPr="00C30C60" w:rsidRDefault="00A96CF7" w:rsidP="006F2FAF">
      <w:pPr>
        <w:pStyle w:val="NormalWeb"/>
        <w:spacing w:before="0" w:beforeAutospacing="0" w:after="0" w:afterAutospacing="0"/>
        <w:rPr>
          <w:sz w:val="20"/>
          <w:szCs w:val="20"/>
        </w:rPr>
      </w:pPr>
      <w:r w:rsidRPr="00650B77">
        <w:rPr>
          <w:rStyle w:val="FootnoteReference"/>
          <w:sz w:val="20"/>
          <w:szCs w:val="20"/>
        </w:rPr>
        <w:footnoteRef/>
      </w:r>
      <w:r w:rsidRPr="00650B77">
        <w:rPr>
          <w:sz w:val="20"/>
          <w:szCs w:val="20"/>
        </w:rPr>
        <w:t xml:space="preserve"> </w:t>
      </w:r>
      <w:r>
        <w:rPr>
          <w:sz w:val="20"/>
          <w:szCs w:val="20"/>
        </w:rPr>
        <w:t>The Fair Trade Glossary (FLO, 2011) states: ‘</w:t>
      </w:r>
      <w:r w:rsidRPr="00C30C60">
        <w:rPr>
          <w:sz w:val="20"/>
          <w:szCs w:val="20"/>
        </w:rPr>
        <w:t>Fairtra</w:t>
      </w:r>
      <w:r>
        <w:rPr>
          <w:sz w:val="20"/>
          <w:szCs w:val="20"/>
        </w:rPr>
        <w:t xml:space="preserve">de refers to all or any part of </w:t>
      </w:r>
      <w:r w:rsidRPr="00C30C60">
        <w:rPr>
          <w:sz w:val="20"/>
          <w:szCs w:val="20"/>
        </w:rPr>
        <w:t>the activities of FLO eV, FLO-CERT, Fairtrade producer networks, national Fairtrade organi</w:t>
      </w:r>
      <w:r>
        <w:rPr>
          <w:sz w:val="20"/>
          <w:szCs w:val="20"/>
        </w:rPr>
        <w:t xml:space="preserve">zations and Fairtrade marketing </w:t>
      </w:r>
      <w:r w:rsidRPr="00C30C60">
        <w:rPr>
          <w:sz w:val="20"/>
          <w:szCs w:val="20"/>
        </w:rPr>
        <w:t>organizations. Fairtrade is used to denote the product certi</w:t>
      </w:r>
      <w:r>
        <w:rPr>
          <w:sz w:val="20"/>
          <w:szCs w:val="20"/>
        </w:rPr>
        <w:t>fi</w:t>
      </w:r>
      <w:r w:rsidRPr="00C30C60">
        <w:rPr>
          <w:sz w:val="20"/>
          <w:szCs w:val="20"/>
        </w:rPr>
        <w:t>cation system</w:t>
      </w:r>
      <w:r>
        <w:rPr>
          <w:sz w:val="20"/>
          <w:szCs w:val="20"/>
        </w:rPr>
        <w:t xml:space="preserve"> </w:t>
      </w:r>
      <w:r w:rsidRPr="00C30C60">
        <w:rPr>
          <w:sz w:val="20"/>
          <w:szCs w:val="20"/>
        </w:rPr>
        <w:t>operated by Fairtrade International (FLO)’</w:t>
      </w:r>
      <w:r>
        <w:rPr>
          <w:sz w:val="20"/>
          <w:szCs w:val="20"/>
        </w:rPr>
        <w:t xml:space="preserve"> (FT Glossary, 2011, p. 1). </w:t>
      </w:r>
    </w:p>
  </w:footnote>
  <w:footnote w:id="24">
    <w:p w14:paraId="4D5DCDC2" w14:textId="21EA72EB" w:rsidR="00A96CF7" w:rsidRPr="00C30C60" w:rsidRDefault="00A96CF7" w:rsidP="00C30C60">
      <w:pPr>
        <w:rPr>
          <w:sz w:val="20"/>
          <w:szCs w:val="20"/>
        </w:rPr>
      </w:pPr>
      <w:r w:rsidRPr="00C30C60">
        <w:rPr>
          <w:rStyle w:val="FootnoteReference"/>
          <w:sz w:val="20"/>
          <w:szCs w:val="20"/>
        </w:rPr>
        <w:footnoteRef/>
      </w:r>
      <w:r w:rsidRPr="00C30C60">
        <w:rPr>
          <w:sz w:val="20"/>
          <w:szCs w:val="20"/>
        </w:rPr>
        <w:t xml:space="preserve"> The </w:t>
      </w:r>
      <w:r>
        <w:rPr>
          <w:sz w:val="20"/>
          <w:szCs w:val="20"/>
        </w:rPr>
        <w:t>FLOCERT</w:t>
      </w:r>
      <w:r w:rsidRPr="00C30C60">
        <w:rPr>
          <w:sz w:val="20"/>
          <w:szCs w:val="20"/>
        </w:rPr>
        <w:t xml:space="preserve"> website states: ‘Fairtrade certification is a product certification system where social, economic and environmental aspects of production are certified against Fairtrade Standards for Producers and Traders. The Fairtrade system monitors the buying and the selling of the product until it is consumer packaged and labelled. Certificates are only issued after a physical inspection has confirmed that all relevant Fairtrade Standards have been complied with’ </w:t>
      </w:r>
      <w:r>
        <w:rPr>
          <w:sz w:val="20"/>
          <w:szCs w:val="20"/>
        </w:rPr>
        <w:t xml:space="preserve">(FLOCERT, 2017). </w:t>
      </w:r>
    </w:p>
  </w:footnote>
  <w:footnote w:id="25">
    <w:p w14:paraId="7E027B6F" w14:textId="3994F4EA" w:rsidR="00A96CF7" w:rsidRPr="00C30C60" w:rsidRDefault="00A96CF7" w:rsidP="00C30C60">
      <w:pPr>
        <w:pStyle w:val="FootnoteText"/>
        <w:rPr>
          <w:sz w:val="20"/>
          <w:szCs w:val="20"/>
          <w:lang w:val="en-GB"/>
        </w:rPr>
      </w:pPr>
      <w:r w:rsidRPr="00C30C60">
        <w:rPr>
          <w:rStyle w:val="FootnoteReference"/>
          <w:color w:val="000000" w:themeColor="text1"/>
          <w:sz w:val="20"/>
          <w:szCs w:val="20"/>
        </w:rPr>
        <w:footnoteRef/>
      </w:r>
      <w:r w:rsidRPr="00C30C60">
        <w:rPr>
          <w:color w:val="000000" w:themeColor="text1"/>
          <w:sz w:val="20"/>
          <w:szCs w:val="20"/>
        </w:rPr>
        <w:t xml:space="preserve"> </w:t>
      </w:r>
      <w:r w:rsidRPr="00C30C60">
        <w:rPr>
          <w:color w:val="000000" w:themeColor="text1"/>
          <w:sz w:val="20"/>
          <w:szCs w:val="20"/>
          <w:lang w:val="en-GB"/>
        </w:rPr>
        <w:t>This movement is comprised of a set of groups, which are linked through their membership associations – Fairtrade Labelling Organizations International (FLO), the International Federation of Alternative Trade (IFAT), the Network of European Worldshops (News!) and the European Fair Trade Network (EFTA). Together these organizations are identified as the FINE network.</w:t>
      </w:r>
    </w:p>
  </w:footnote>
  <w:footnote w:id="26">
    <w:p w14:paraId="112C60C9" w14:textId="4D40D118" w:rsidR="00A96CF7" w:rsidRDefault="00A96CF7" w:rsidP="00C30C60">
      <w:pPr>
        <w:pStyle w:val="FootnoteText"/>
      </w:pPr>
      <w:r w:rsidRPr="00C30C60">
        <w:rPr>
          <w:rStyle w:val="FootnoteReference"/>
          <w:sz w:val="20"/>
          <w:szCs w:val="20"/>
        </w:rPr>
        <w:footnoteRef/>
      </w:r>
      <w:r w:rsidRPr="00C30C60">
        <w:rPr>
          <w:sz w:val="20"/>
          <w:szCs w:val="20"/>
        </w:rPr>
        <w:t xml:space="preserve"> See previous footnote.</w:t>
      </w:r>
    </w:p>
  </w:footnote>
  <w:footnote w:id="27">
    <w:p w14:paraId="7DA11877" w14:textId="77777777" w:rsidR="00A96CF7" w:rsidRPr="00482B58" w:rsidRDefault="00A96CF7" w:rsidP="00F46AD3">
      <w:pPr>
        <w:widowControl w:val="0"/>
        <w:autoSpaceDE w:val="0"/>
        <w:autoSpaceDN w:val="0"/>
        <w:adjustRightInd w:val="0"/>
        <w:rPr>
          <w:color w:val="FF0000"/>
          <w:sz w:val="20"/>
          <w:szCs w:val="20"/>
        </w:rPr>
      </w:pPr>
      <w:r w:rsidRPr="00482B58">
        <w:rPr>
          <w:rStyle w:val="FootnoteReference"/>
          <w:sz w:val="20"/>
          <w:szCs w:val="20"/>
        </w:rPr>
        <w:footnoteRef/>
      </w:r>
      <w:r w:rsidRPr="00482B58">
        <w:rPr>
          <w:sz w:val="20"/>
          <w:szCs w:val="20"/>
        </w:rPr>
        <w:t xml:space="preserve"> See Smith (2013, p. 108) for a discussion of these studies.</w:t>
      </w:r>
    </w:p>
  </w:footnote>
  <w:footnote w:id="28">
    <w:p w14:paraId="697E61DC" w14:textId="228499DD" w:rsidR="00A96CF7" w:rsidRPr="0096177C" w:rsidRDefault="00A96CF7">
      <w:pPr>
        <w:pStyle w:val="FootnoteText"/>
        <w:rPr>
          <w:sz w:val="20"/>
          <w:szCs w:val="20"/>
          <w:lang w:val="en-GB"/>
        </w:rPr>
      </w:pPr>
      <w:r>
        <w:rPr>
          <w:rStyle w:val="FootnoteReference"/>
        </w:rPr>
        <w:footnoteRef/>
      </w:r>
      <w:r>
        <w:t xml:space="preserve"> </w:t>
      </w:r>
      <w:r w:rsidRPr="0096177C">
        <w:rPr>
          <w:sz w:val="20"/>
          <w:szCs w:val="20"/>
          <w:lang w:val="en-GB"/>
        </w:rPr>
        <w:t>For example, should you calculate the cost based on how much it would it would cost to outsource the activity or is the true price the opportunity cost? Nancy Folbre gives the example of two people</w:t>
      </w:r>
      <w:r>
        <w:rPr>
          <w:sz w:val="20"/>
          <w:szCs w:val="20"/>
          <w:lang w:val="en-GB"/>
        </w:rPr>
        <w:t xml:space="preserve"> </w:t>
      </w:r>
      <w:r w:rsidRPr="0096177C">
        <w:rPr>
          <w:sz w:val="20"/>
          <w:szCs w:val="20"/>
          <w:lang w:val="en-GB"/>
        </w:rPr>
        <w:t>(one of which is a lawyer) who share a flat and take turns doing the housework. When the lawyer cleans the flat, is the cost the equivalent of two hours</w:t>
      </w:r>
      <w:r>
        <w:rPr>
          <w:sz w:val="20"/>
          <w:szCs w:val="20"/>
          <w:lang w:val="en-GB"/>
        </w:rPr>
        <w:t xml:space="preserve"> of</w:t>
      </w:r>
      <w:r w:rsidRPr="0096177C">
        <w:rPr>
          <w:sz w:val="20"/>
          <w:szCs w:val="20"/>
          <w:lang w:val="en-GB"/>
        </w:rPr>
        <w:t xml:space="preserve"> work in her law firm or the cost of hiring a cleaner? (Sussman, 2018)</w:t>
      </w:r>
      <w:r>
        <w:rPr>
          <w:sz w:val="20"/>
          <w:szCs w:val="20"/>
          <w:lang w:val="en-GB"/>
        </w:rPr>
        <w:t>.</w:t>
      </w:r>
    </w:p>
  </w:footnote>
  <w:footnote w:id="29">
    <w:p w14:paraId="180E590C" w14:textId="3ABB8256" w:rsidR="00A96CF7" w:rsidRPr="002A664C" w:rsidRDefault="00A96CF7">
      <w:pPr>
        <w:pStyle w:val="FootnoteText"/>
        <w:rPr>
          <w:color w:val="000000" w:themeColor="text1"/>
          <w:lang w:val="en-GB"/>
        </w:rPr>
      </w:pPr>
      <w:r w:rsidRPr="006F2FAF">
        <w:rPr>
          <w:rStyle w:val="FootnoteReference"/>
          <w:sz w:val="20"/>
          <w:szCs w:val="20"/>
        </w:rPr>
        <w:footnoteRef/>
      </w:r>
      <w:r w:rsidRPr="006F2FAF">
        <w:rPr>
          <w:sz w:val="20"/>
          <w:szCs w:val="20"/>
        </w:rPr>
        <w:t xml:space="preserve"> </w:t>
      </w:r>
      <w:r w:rsidRPr="0092375B">
        <w:rPr>
          <w:color w:val="000000" w:themeColor="text1"/>
          <w:sz w:val="20"/>
          <w:szCs w:val="20"/>
          <w:lang w:val="en-GB"/>
        </w:rPr>
        <w:t>Unpaid Care</w:t>
      </w:r>
      <w:r w:rsidRPr="002A664C">
        <w:rPr>
          <w:color w:val="000000" w:themeColor="text1"/>
          <w:sz w:val="20"/>
          <w:szCs w:val="20"/>
          <w:lang w:val="en-GB"/>
        </w:rPr>
        <w:t xml:space="preserve"> and Market Systems Working Group for BEAM publication (Maestre and Thorpe, 2016): Helina Alemarye, Oxfam</w:t>
      </w:r>
      <w:r>
        <w:rPr>
          <w:color w:val="000000" w:themeColor="text1"/>
          <w:sz w:val="20"/>
          <w:szCs w:val="20"/>
          <w:lang w:val="en-GB"/>
        </w:rPr>
        <w:t>;</w:t>
      </w:r>
      <w:r w:rsidRPr="002A664C">
        <w:rPr>
          <w:color w:val="000000" w:themeColor="text1"/>
          <w:sz w:val="20"/>
          <w:szCs w:val="20"/>
          <w:lang w:val="en-GB"/>
        </w:rPr>
        <w:t xml:space="preserve"> Helen Bradbury, ALCP</w:t>
      </w:r>
      <w:r>
        <w:rPr>
          <w:color w:val="000000" w:themeColor="text1"/>
          <w:sz w:val="20"/>
          <w:szCs w:val="20"/>
          <w:lang w:val="en-GB"/>
        </w:rPr>
        <w:t>;</w:t>
      </w:r>
      <w:r w:rsidRPr="002A664C">
        <w:rPr>
          <w:color w:val="000000" w:themeColor="text1"/>
          <w:sz w:val="20"/>
          <w:szCs w:val="20"/>
          <w:lang w:val="en-GB"/>
        </w:rPr>
        <w:t xml:space="preserve"> Felicity Butler, PhD candidate, Royal Holloway, University of London</w:t>
      </w:r>
      <w:r>
        <w:rPr>
          <w:color w:val="000000" w:themeColor="text1"/>
          <w:sz w:val="20"/>
          <w:szCs w:val="20"/>
          <w:lang w:val="en-GB"/>
        </w:rPr>
        <w:t>;</w:t>
      </w:r>
      <w:r w:rsidRPr="002A664C">
        <w:rPr>
          <w:color w:val="000000" w:themeColor="text1"/>
          <w:sz w:val="20"/>
          <w:szCs w:val="20"/>
          <w:lang w:val="en-GB"/>
        </w:rPr>
        <w:t xml:space="preserve"> Deepta Chopra, IDS</w:t>
      </w:r>
      <w:r>
        <w:rPr>
          <w:color w:val="000000" w:themeColor="text1"/>
          <w:sz w:val="20"/>
          <w:szCs w:val="20"/>
          <w:lang w:val="en-GB"/>
        </w:rPr>
        <w:t>;</w:t>
      </w:r>
      <w:r w:rsidRPr="002A664C">
        <w:rPr>
          <w:color w:val="000000" w:themeColor="text1"/>
          <w:sz w:val="20"/>
          <w:szCs w:val="20"/>
          <w:lang w:val="en-GB"/>
        </w:rPr>
        <w:t xml:space="preserve"> Emilie Gettliffe, MarketShare Associates</w:t>
      </w:r>
      <w:r>
        <w:rPr>
          <w:color w:val="000000" w:themeColor="text1"/>
          <w:sz w:val="20"/>
          <w:szCs w:val="20"/>
          <w:lang w:val="en-GB"/>
        </w:rPr>
        <w:t>;</w:t>
      </w:r>
      <w:r w:rsidRPr="002A664C">
        <w:rPr>
          <w:color w:val="000000" w:themeColor="text1"/>
          <w:sz w:val="20"/>
          <w:szCs w:val="20"/>
          <w:lang w:val="en-GB"/>
        </w:rPr>
        <w:t xml:space="preserve"> Emily Hillenbrand, CARE</w:t>
      </w:r>
      <w:r>
        <w:rPr>
          <w:color w:val="000000" w:themeColor="text1"/>
          <w:sz w:val="20"/>
          <w:szCs w:val="20"/>
          <w:lang w:val="en-GB"/>
        </w:rPr>
        <w:t>;</w:t>
      </w:r>
      <w:r w:rsidRPr="002A664C">
        <w:rPr>
          <w:color w:val="000000" w:themeColor="text1"/>
          <w:sz w:val="20"/>
          <w:szCs w:val="20"/>
          <w:lang w:val="en-GB"/>
        </w:rPr>
        <w:t xml:space="preserve"> Sumana Hussain, DFID</w:t>
      </w:r>
      <w:r>
        <w:rPr>
          <w:color w:val="000000" w:themeColor="text1"/>
          <w:sz w:val="20"/>
          <w:szCs w:val="20"/>
          <w:lang w:val="en-GB"/>
        </w:rPr>
        <w:t>;</w:t>
      </w:r>
      <w:r w:rsidRPr="002A664C">
        <w:rPr>
          <w:color w:val="000000" w:themeColor="text1"/>
          <w:sz w:val="20"/>
          <w:szCs w:val="20"/>
          <w:lang w:val="en-GB"/>
        </w:rPr>
        <w:t xml:space="preserve"> Linda Jones, independent</w:t>
      </w:r>
      <w:r>
        <w:rPr>
          <w:color w:val="000000" w:themeColor="text1"/>
          <w:sz w:val="20"/>
          <w:szCs w:val="20"/>
          <w:lang w:val="en-GB"/>
        </w:rPr>
        <w:t>;</w:t>
      </w:r>
      <w:r w:rsidRPr="002A664C">
        <w:rPr>
          <w:color w:val="000000" w:themeColor="text1"/>
          <w:sz w:val="20"/>
          <w:szCs w:val="20"/>
          <w:lang w:val="en-GB"/>
        </w:rPr>
        <w:t xml:space="preserve"> Erin Markel, MarketShare Associates</w:t>
      </w:r>
      <w:r>
        <w:rPr>
          <w:color w:val="000000" w:themeColor="text1"/>
          <w:sz w:val="20"/>
          <w:szCs w:val="20"/>
          <w:lang w:val="en-GB"/>
        </w:rPr>
        <w:t>;</w:t>
      </w:r>
      <w:r w:rsidRPr="002A664C">
        <w:rPr>
          <w:color w:val="000000" w:themeColor="text1"/>
          <w:sz w:val="20"/>
          <w:szCs w:val="20"/>
          <w:lang w:val="en-GB"/>
        </w:rPr>
        <w:t xml:space="preserve"> Nebyu Mehary, Oxfam</w:t>
      </w:r>
      <w:r>
        <w:rPr>
          <w:color w:val="000000" w:themeColor="text1"/>
          <w:sz w:val="20"/>
          <w:szCs w:val="20"/>
          <w:lang w:val="en-GB"/>
        </w:rPr>
        <w:t>;</w:t>
      </w:r>
      <w:r w:rsidRPr="002A664C">
        <w:rPr>
          <w:color w:val="000000" w:themeColor="text1"/>
          <w:sz w:val="20"/>
          <w:szCs w:val="20"/>
          <w:lang w:val="en-GB"/>
        </w:rPr>
        <w:t xml:space="preserve"> Scott Merrill, CARE</w:t>
      </w:r>
      <w:r>
        <w:rPr>
          <w:color w:val="000000" w:themeColor="text1"/>
          <w:sz w:val="20"/>
          <w:szCs w:val="20"/>
          <w:lang w:val="en-GB"/>
        </w:rPr>
        <w:t>;</w:t>
      </w:r>
      <w:r w:rsidRPr="002A664C">
        <w:rPr>
          <w:color w:val="000000" w:themeColor="text1"/>
          <w:sz w:val="20"/>
          <w:szCs w:val="20"/>
          <w:lang w:val="en-GB"/>
        </w:rPr>
        <w:t xml:space="preserve"> Joni Simpson, ILO</w:t>
      </w:r>
      <w:r>
        <w:rPr>
          <w:color w:val="000000" w:themeColor="text1"/>
          <w:sz w:val="20"/>
          <w:szCs w:val="20"/>
          <w:lang w:val="en-GB"/>
        </w:rPr>
        <w:t>; and</w:t>
      </w:r>
      <w:r w:rsidRPr="002A664C">
        <w:rPr>
          <w:color w:val="000000" w:themeColor="text1"/>
          <w:sz w:val="20"/>
          <w:szCs w:val="20"/>
          <w:lang w:val="en-GB"/>
        </w:rPr>
        <w:t xml:space="preserve"> Sally Smith, independent.</w:t>
      </w:r>
    </w:p>
  </w:footnote>
  <w:footnote w:id="30">
    <w:p w14:paraId="7FE14C26" w14:textId="540F797E" w:rsidR="00A96CF7" w:rsidRPr="00ED709B" w:rsidRDefault="00A96CF7" w:rsidP="0018113B">
      <w:pPr>
        <w:pStyle w:val="FootnoteText"/>
        <w:rPr>
          <w:sz w:val="20"/>
          <w:szCs w:val="20"/>
        </w:rPr>
      </w:pPr>
      <w:r w:rsidRPr="006F2FAF">
        <w:rPr>
          <w:rStyle w:val="FootnoteReference"/>
          <w:sz w:val="20"/>
          <w:szCs w:val="20"/>
        </w:rPr>
        <w:footnoteRef/>
      </w:r>
      <w:r w:rsidRPr="006F2FAF">
        <w:rPr>
          <w:sz w:val="20"/>
          <w:szCs w:val="20"/>
        </w:rPr>
        <w:t xml:space="preserve"> </w:t>
      </w:r>
      <w:r w:rsidRPr="0092375B">
        <w:rPr>
          <w:sz w:val="20"/>
          <w:szCs w:val="20"/>
        </w:rPr>
        <w:t>The government</w:t>
      </w:r>
      <w:r w:rsidRPr="00ED709B">
        <w:rPr>
          <w:sz w:val="20"/>
          <w:szCs w:val="20"/>
        </w:rPr>
        <w:t xml:space="preserve"> study by INIDE (2016) measure</w:t>
      </w:r>
      <w:r>
        <w:rPr>
          <w:sz w:val="20"/>
          <w:szCs w:val="20"/>
        </w:rPr>
        <w:t>d</w:t>
      </w:r>
      <w:r w:rsidRPr="00ED709B">
        <w:rPr>
          <w:sz w:val="20"/>
          <w:szCs w:val="20"/>
        </w:rPr>
        <w:t xml:space="preserve"> extreme poverty by an annual con</w:t>
      </w:r>
      <w:r>
        <w:rPr>
          <w:sz w:val="20"/>
          <w:szCs w:val="20"/>
        </w:rPr>
        <w:t xml:space="preserve">sumption of C$11,258.93 </w:t>
      </w:r>
      <w:r w:rsidRPr="007A3A29">
        <w:rPr>
          <w:i/>
          <w:sz w:val="20"/>
          <w:szCs w:val="20"/>
        </w:rPr>
        <w:t>cordobas</w:t>
      </w:r>
      <w:r>
        <w:rPr>
          <w:sz w:val="20"/>
          <w:szCs w:val="20"/>
        </w:rPr>
        <w:t>,</w:t>
      </w:r>
      <w:r w:rsidRPr="00ED709B">
        <w:rPr>
          <w:sz w:val="20"/>
          <w:szCs w:val="20"/>
        </w:rPr>
        <w:t xml:space="preserve"> which covers 2,288 calories. General poverty is defined by minimum calorific needs (extreme poverty) plus an additional amount to cover basic services needs and non</w:t>
      </w:r>
      <w:r>
        <w:rPr>
          <w:sz w:val="20"/>
          <w:szCs w:val="20"/>
        </w:rPr>
        <w:t>-food essentials such as</w:t>
      </w:r>
      <w:r w:rsidRPr="00ED709B">
        <w:rPr>
          <w:sz w:val="20"/>
          <w:szCs w:val="20"/>
        </w:rPr>
        <w:t xml:space="preserve"> housing, transport, education, health, clothing</w:t>
      </w:r>
      <w:r>
        <w:rPr>
          <w:sz w:val="20"/>
          <w:szCs w:val="20"/>
        </w:rPr>
        <w:t>,</w:t>
      </w:r>
      <w:r w:rsidRPr="00ED709B">
        <w:rPr>
          <w:sz w:val="20"/>
          <w:szCs w:val="20"/>
        </w:rPr>
        <w:t xml:space="preserve"> and household essentials. They have estimated this to be C$18,310.99.</w:t>
      </w:r>
      <w:r>
        <w:rPr>
          <w:sz w:val="20"/>
          <w:szCs w:val="20"/>
        </w:rPr>
        <w:t xml:space="preserve"> Whereas FIDEG, a Nicaraguan NGO that</w:t>
      </w:r>
      <w:r w:rsidRPr="00ED709B">
        <w:rPr>
          <w:sz w:val="20"/>
          <w:szCs w:val="20"/>
        </w:rPr>
        <w:t xml:space="preserve"> has undertaken </w:t>
      </w:r>
      <w:r>
        <w:rPr>
          <w:sz w:val="20"/>
          <w:szCs w:val="20"/>
        </w:rPr>
        <w:t>research on poverty in Nicaragua, reported</w:t>
      </w:r>
      <w:r w:rsidRPr="00ED709B">
        <w:rPr>
          <w:sz w:val="20"/>
          <w:szCs w:val="20"/>
        </w:rPr>
        <w:t xml:space="preserve"> different figures. FIDEG </w:t>
      </w:r>
      <w:r>
        <w:rPr>
          <w:sz w:val="20"/>
          <w:szCs w:val="20"/>
        </w:rPr>
        <w:t>(</w:t>
      </w:r>
      <w:r w:rsidRPr="00ED709B">
        <w:rPr>
          <w:sz w:val="20"/>
          <w:szCs w:val="20"/>
        </w:rPr>
        <w:t>2015</w:t>
      </w:r>
      <w:r>
        <w:rPr>
          <w:sz w:val="20"/>
          <w:szCs w:val="20"/>
        </w:rPr>
        <w:t>)</w:t>
      </w:r>
      <w:r w:rsidRPr="00ED709B">
        <w:rPr>
          <w:sz w:val="20"/>
          <w:szCs w:val="20"/>
        </w:rPr>
        <w:t xml:space="preserve"> </w:t>
      </w:r>
      <w:r>
        <w:rPr>
          <w:sz w:val="20"/>
          <w:szCs w:val="20"/>
        </w:rPr>
        <w:t>found</w:t>
      </w:r>
      <w:r w:rsidRPr="00ED709B">
        <w:rPr>
          <w:sz w:val="20"/>
          <w:szCs w:val="20"/>
        </w:rPr>
        <w:t xml:space="preserve"> </w:t>
      </w:r>
      <w:r>
        <w:rPr>
          <w:sz w:val="20"/>
          <w:szCs w:val="20"/>
        </w:rPr>
        <w:t xml:space="preserve">rates of </w:t>
      </w:r>
      <w:r w:rsidRPr="00ED709B">
        <w:rPr>
          <w:sz w:val="20"/>
          <w:szCs w:val="20"/>
        </w:rPr>
        <w:t>39.0% poverty and 7.6% extreme poverty</w:t>
      </w:r>
      <w:r>
        <w:rPr>
          <w:sz w:val="20"/>
          <w:szCs w:val="20"/>
        </w:rPr>
        <w:t xml:space="preserve"> in Nicaragua</w:t>
      </w:r>
      <w:r w:rsidRPr="00ED709B">
        <w:rPr>
          <w:sz w:val="20"/>
          <w:szCs w:val="20"/>
        </w:rPr>
        <w:t xml:space="preserve"> (</w:t>
      </w:r>
      <w:r>
        <w:rPr>
          <w:sz w:val="20"/>
          <w:szCs w:val="20"/>
        </w:rPr>
        <w:t>p. 3</w:t>
      </w:r>
      <w:r w:rsidRPr="00ED709B">
        <w:rPr>
          <w:sz w:val="20"/>
          <w:szCs w:val="20"/>
        </w:rPr>
        <w:t>)</w:t>
      </w:r>
      <w:r>
        <w:rPr>
          <w:sz w:val="20"/>
          <w:szCs w:val="20"/>
        </w:rPr>
        <w:t>.</w:t>
      </w:r>
      <w:r w:rsidRPr="00ED709B">
        <w:rPr>
          <w:sz w:val="20"/>
          <w:szCs w:val="20"/>
        </w:rPr>
        <w:t xml:space="preserve"> This is because the basic minimum is different. In FIDEG</w:t>
      </w:r>
      <w:r>
        <w:rPr>
          <w:sz w:val="20"/>
          <w:szCs w:val="20"/>
        </w:rPr>
        <w:t>, extreme poverty is calculated as</w:t>
      </w:r>
      <w:r w:rsidRPr="00ED709B">
        <w:rPr>
          <w:sz w:val="20"/>
          <w:szCs w:val="20"/>
        </w:rPr>
        <w:t xml:space="preserve"> C$12,454.6</w:t>
      </w:r>
      <w:r>
        <w:rPr>
          <w:sz w:val="20"/>
          <w:szCs w:val="20"/>
        </w:rPr>
        <w:t>0,</w:t>
      </w:r>
      <w:r w:rsidRPr="00ED709B">
        <w:rPr>
          <w:sz w:val="20"/>
          <w:szCs w:val="20"/>
        </w:rPr>
        <w:t xml:space="preserve"> which is USD$1.2</w:t>
      </w:r>
      <w:r>
        <w:rPr>
          <w:sz w:val="20"/>
          <w:szCs w:val="20"/>
        </w:rPr>
        <w:t>0</w:t>
      </w:r>
      <w:r w:rsidRPr="00ED709B">
        <w:rPr>
          <w:sz w:val="20"/>
          <w:szCs w:val="20"/>
        </w:rPr>
        <w:t xml:space="preserve"> dollars a day. The figure for general poverty is higher too and is at C$25,110.0</w:t>
      </w:r>
      <w:r>
        <w:rPr>
          <w:sz w:val="20"/>
          <w:szCs w:val="20"/>
        </w:rPr>
        <w:t>0, which is</w:t>
      </w:r>
      <w:r w:rsidRPr="00ED709B">
        <w:rPr>
          <w:sz w:val="20"/>
          <w:szCs w:val="20"/>
        </w:rPr>
        <w:t xml:space="preserve"> </w:t>
      </w:r>
      <w:r>
        <w:rPr>
          <w:sz w:val="20"/>
          <w:szCs w:val="20"/>
        </w:rPr>
        <w:t>USD$</w:t>
      </w:r>
      <w:r w:rsidRPr="00ED709B">
        <w:rPr>
          <w:sz w:val="20"/>
          <w:szCs w:val="20"/>
        </w:rPr>
        <w:t>2.5</w:t>
      </w:r>
      <w:r>
        <w:rPr>
          <w:sz w:val="20"/>
          <w:szCs w:val="20"/>
        </w:rPr>
        <w:t>0</w:t>
      </w:r>
      <w:r w:rsidRPr="00ED709B">
        <w:rPr>
          <w:sz w:val="20"/>
          <w:szCs w:val="20"/>
        </w:rPr>
        <w:t xml:space="preserve"> per day per person.</w:t>
      </w:r>
    </w:p>
  </w:footnote>
  <w:footnote w:id="31">
    <w:p w14:paraId="48BD8DD5" w14:textId="47FA94F3" w:rsidR="00A96CF7" w:rsidRPr="00E35FFE" w:rsidRDefault="00A96CF7">
      <w:pPr>
        <w:pStyle w:val="FootnoteText"/>
        <w:rPr>
          <w:sz w:val="20"/>
          <w:szCs w:val="20"/>
        </w:rPr>
      </w:pPr>
      <w:r w:rsidRPr="00E35FFE">
        <w:rPr>
          <w:rStyle w:val="FootnoteReference"/>
          <w:sz w:val="20"/>
          <w:szCs w:val="20"/>
        </w:rPr>
        <w:footnoteRef/>
      </w:r>
      <w:r w:rsidRPr="00E35FFE">
        <w:rPr>
          <w:sz w:val="20"/>
          <w:szCs w:val="20"/>
        </w:rPr>
        <w:t xml:space="preserve"> Nicaragua has 35 certified producer organizations and is in the top ten countries worldwide in 2014 for the number of FT certified producer organizations it has (FLO, 2015</w:t>
      </w:r>
      <w:r>
        <w:rPr>
          <w:sz w:val="20"/>
          <w:szCs w:val="20"/>
        </w:rPr>
        <w:t>,</w:t>
      </w:r>
      <w:r w:rsidRPr="00E35FFE">
        <w:rPr>
          <w:sz w:val="20"/>
          <w:szCs w:val="20"/>
        </w:rPr>
        <w:t xml:space="preserve"> p.</w:t>
      </w:r>
      <w:r>
        <w:rPr>
          <w:sz w:val="20"/>
          <w:szCs w:val="20"/>
        </w:rPr>
        <w:t xml:space="preserve"> </w:t>
      </w:r>
      <w:r w:rsidRPr="00E35FFE">
        <w:rPr>
          <w:sz w:val="20"/>
          <w:szCs w:val="20"/>
        </w:rPr>
        <w:t>33), in Fairtrade coffee production it also made the top ten counties in 2014</w:t>
      </w:r>
      <w:r>
        <w:rPr>
          <w:sz w:val="20"/>
          <w:szCs w:val="20"/>
        </w:rPr>
        <w:t>–</w:t>
      </w:r>
      <w:r w:rsidRPr="00E35FFE">
        <w:rPr>
          <w:sz w:val="20"/>
          <w:szCs w:val="20"/>
        </w:rPr>
        <w:t xml:space="preserve">2014 with a capacity of 32,500 metric </w:t>
      </w:r>
      <w:r w:rsidRPr="006F2FAF">
        <w:rPr>
          <w:sz w:val="20"/>
          <w:szCs w:val="20"/>
          <w:lang w:val="en-GB"/>
        </w:rPr>
        <w:t>tonnes</w:t>
      </w:r>
      <w:r w:rsidRPr="00E35FFE">
        <w:rPr>
          <w:sz w:val="20"/>
          <w:szCs w:val="20"/>
        </w:rPr>
        <w:t xml:space="preserve"> annually (</w:t>
      </w:r>
      <w:r>
        <w:rPr>
          <w:sz w:val="20"/>
          <w:szCs w:val="20"/>
        </w:rPr>
        <w:t>FLO, 2015,</w:t>
      </w:r>
      <w:r w:rsidRPr="00E35FFE">
        <w:rPr>
          <w:sz w:val="20"/>
          <w:szCs w:val="20"/>
        </w:rPr>
        <w:t xml:space="preserve"> p.</w:t>
      </w:r>
      <w:r>
        <w:rPr>
          <w:sz w:val="20"/>
          <w:szCs w:val="20"/>
        </w:rPr>
        <w:t xml:space="preserve"> </w:t>
      </w:r>
      <w:r w:rsidRPr="00E35FFE">
        <w:rPr>
          <w:sz w:val="20"/>
          <w:szCs w:val="20"/>
        </w:rPr>
        <w:t>79). Between 2012</w:t>
      </w:r>
      <w:r>
        <w:rPr>
          <w:sz w:val="20"/>
          <w:szCs w:val="20"/>
        </w:rPr>
        <w:t>–20</w:t>
      </w:r>
      <w:r w:rsidRPr="00E35FFE">
        <w:rPr>
          <w:sz w:val="20"/>
          <w:szCs w:val="20"/>
        </w:rPr>
        <w:t>13</w:t>
      </w:r>
      <w:r>
        <w:rPr>
          <w:sz w:val="20"/>
          <w:szCs w:val="20"/>
        </w:rPr>
        <w:t>,</w:t>
      </w:r>
      <w:r w:rsidRPr="00E35FFE">
        <w:rPr>
          <w:sz w:val="20"/>
          <w:szCs w:val="20"/>
        </w:rPr>
        <w:t xml:space="preserve"> it was also in the top ten counties for Fairtrade producer sales income reported from FT at sales with 34.9 million and (FLO, 2014, p.</w:t>
      </w:r>
      <w:r>
        <w:rPr>
          <w:sz w:val="20"/>
          <w:szCs w:val="20"/>
        </w:rPr>
        <w:t xml:space="preserve"> </w:t>
      </w:r>
      <w:r w:rsidRPr="00E35FFE">
        <w:rPr>
          <w:sz w:val="20"/>
          <w:szCs w:val="20"/>
        </w:rPr>
        <w:t>56) and 2.9 million euros for Fairtrade premium receipts (FLO, 2014, p.</w:t>
      </w:r>
      <w:r>
        <w:rPr>
          <w:sz w:val="20"/>
          <w:szCs w:val="20"/>
        </w:rPr>
        <w:t xml:space="preserve"> </w:t>
      </w:r>
      <w:r w:rsidRPr="00E35FFE">
        <w:rPr>
          <w:sz w:val="20"/>
          <w:szCs w:val="20"/>
        </w:rPr>
        <w:t xml:space="preserve">71). </w:t>
      </w:r>
    </w:p>
  </w:footnote>
  <w:footnote w:id="32">
    <w:p w14:paraId="56F1037A" w14:textId="1AE58BBF" w:rsidR="00A96CF7" w:rsidRPr="00284E6B" w:rsidRDefault="00A96CF7" w:rsidP="001C443C">
      <w:pPr>
        <w:pStyle w:val="FootnoteText"/>
        <w:rPr>
          <w:sz w:val="20"/>
          <w:szCs w:val="20"/>
        </w:rPr>
      </w:pPr>
      <w:r w:rsidRPr="00293176">
        <w:rPr>
          <w:rStyle w:val="FootnoteReference"/>
          <w:sz w:val="20"/>
          <w:szCs w:val="20"/>
        </w:rPr>
        <w:footnoteRef/>
      </w:r>
      <w:r w:rsidRPr="008C041F">
        <w:rPr>
          <w:sz w:val="20"/>
          <w:szCs w:val="20"/>
        </w:rPr>
        <w:t xml:space="preserve"> </w:t>
      </w:r>
      <w:r w:rsidRPr="004F74EB">
        <w:rPr>
          <w:sz w:val="20"/>
          <w:szCs w:val="20"/>
        </w:rPr>
        <w:t>T</w:t>
      </w:r>
      <w:r>
        <w:rPr>
          <w:sz w:val="20"/>
          <w:szCs w:val="20"/>
        </w:rPr>
        <w:t>he ‘</w:t>
      </w:r>
      <w:r w:rsidRPr="00284E6B">
        <w:rPr>
          <w:sz w:val="20"/>
          <w:szCs w:val="20"/>
        </w:rPr>
        <w:t xml:space="preserve">Wages for Housework’ </w:t>
      </w:r>
      <w:r>
        <w:rPr>
          <w:sz w:val="20"/>
          <w:szCs w:val="20"/>
        </w:rPr>
        <w:t xml:space="preserve">campaign was part of this and </w:t>
      </w:r>
      <w:r w:rsidRPr="00284E6B">
        <w:rPr>
          <w:sz w:val="20"/>
          <w:szCs w:val="20"/>
        </w:rPr>
        <w:t>refers to a long-running debate within the feminist movement as to whether paying for household work (and thereby recogn</w:t>
      </w:r>
      <w:r>
        <w:rPr>
          <w:sz w:val="20"/>
          <w:szCs w:val="20"/>
        </w:rPr>
        <w:t>isi</w:t>
      </w:r>
      <w:r w:rsidRPr="00284E6B">
        <w:rPr>
          <w:sz w:val="20"/>
          <w:szCs w:val="20"/>
        </w:rPr>
        <w:t>ng it) would be of benefit to women or on the contrary have the effect of reinforcing the traditions and stereotypes that keep women in the home. It was argued that direct payments conflict with the long-term feminist goal of getting household and caring work shared more equally between men and women (Fairbairns, 1988). In the 1970s and 1980s</w:t>
      </w:r>
      <w:r>
        <w:rPr>
          <w:sz w:val="20"/>
          <w:szCs w:val="20"/>
        </w:rPr>
        <w:t>,</w:t>
      </w:r>
      <w:r w:rsidRPr="00284E6B">
        <w:rPr>
          <w:sz w:val="20"/>
          <w:szCs w:val="20"/>
        </w:rPr>
        <w:t xml:space="preserve"> this ran parallel with a debate within Marxism as to the significance of domestic labour for the capitalist mode of production (Molyneux, 1979; Picchio, 1992).</w:t>
      </w:r>
    </w:p>
  </w:footnote>
  <w:footnote w:id="33">
    <w:p w14:paraId="771F35EF" w14:textId="77777777" w:rsidR="00A96CF7" w:rsidRPr="00D124D6" w:rsidRDefault="00A96CF7" w:rsidP="001C443C">
      <w:pPr>
        <w:pStyle w:val="FootnoteText"/>
        <w:rPr>
          <w:sz w:val="20"/>
          <w:szCs w:val="20"/>
        </w:rPr>
      </w:pPr>
      <w:r w:rsidRPr="00284E6B">
        <w:rPr>
          <w:rStyle w:val="FootnoteReference"/>
          <w:sz w:val="20"/>
          <w:szCs w:val="20"/>
        </w:rPr>
        <w:footnoteRef/>
      </w:r>
      <w:r w:rsidRPr="00284E6B">
        <w:rPr>
          <w:sz w:val="20"/>
          <w:szCs w:val="20"/>
        </w:rPr>
        <w:t xml:space="preserve"> In the UNHLP report</w:t>
      </w:r>
      <w:r>
        <w:rPr>
          <w:sz w:val="20"/>
          <w:szCs w:val="20"/>
        </w:rPr>
        <w:t>,</w:t>
      </w:r>
      <w:r w:rsidRPr="00284E6B">
        <w:rPr>
          <w:sz w:val="20"/>
          <w:szCs w:val="20"/>
        </w:rPr>
        <w:t xml:space="preserve"> unpaid care work is cited as one of seven key priorities</w:t>
      </w:r>
      <w:r>
        <w:rPr>
          <w:sz w:val="20"/>
          <w:szCs w:val="20"/>
        </w:rPr>
        <w:t>,</w:t>
      </w:r>
      <w:r w:rsidRPr="00284E6B">
        <w:rPr>
          <w:sz w:val="20"/>
          <w:szCs w:val="20"/>
        </w:rPr>
        <w:t xml:space="preserve"> which presents evidence to support the case for addressing systemic constraints to economic opportunity for women of which unpaid care is one.</w:t>
      </w:r>
    </w:p>
  </w:footnote>
  <w:footnote w:id="34">
    <w:p w14:paraId="03651122" w14:textId="77777777" w:rsidR="00A96CF7" w:rsidRDefault="00A96CF7" w:rsidP="001C443C">
      <w:pPr>
        <w:pStyle w:val="FootnoteText"/>
      </w:pPr>
      <w:r w:rsidRPr="00293176">
        <w:rPr>
          <w:rStyle w:val="FootnoteReference"/>
          <w:sz w:val="20"/>
          <w:szCs w:val="20"/>
        </w:rPr>
        <w:footnoteRef/>
      </w:r>
      <w:r w:rsidRPr="00293176">
        <w:rPr>
          <w:sz w:val="20"/>
          <w:szCs w:val="20"/>
        </w:rPr>
        <w:t xml:space="preserve"> </w:t>
      </w:r>
      <w:r w:rsidRPr="008C041F">
        <w:rPr>
          <w:sz w:val="20"/>
          <w:szCs w:val="20"/>
        </w:rPr>
        <w:t>Esquivel</w:t>
      </w:r>
      <w:r w:rsidRPr="00246972">
        <w:rPr>
          <w:sz w:val="20"/>
          <w:szCs w:val="20"/>
        </w:rPr>
        <w:t xml:space="preserve"> (2013) later added ‘Representation’</w:t>
      </w:r>
      <w:r>
        <w:rPr>
          <w:sz w:val="20"/>
          <w:szCs w:val="20"/>
        </w:rPr>
        <w:t xml:space="preserve"> to the Triple R framework. </w:t>
      </w:r>
    </w:p>
  </w:footnote>
  <w:footnote w:id="35">
    <w:p w14:paraId="355381D1" w14:textId="7CC30C08" w:rsidR="00A96CF7" w:rsidRPr="007A3A29" w:rsidRDefault="00A96CF7">
      <w:pPr>
        <w:pStyle w:val="FootnoteText"/>
        <w:rPr>
          <w:sz w:val="20"/>
          <w:szCs w:val="20"/>
          <w:lang w:val="en-GB"/>
        </w:rPr>
      </w:pPr>
      <w:r w:rsidRPr="007A3A29">
        <w:rPr>
          <w:rStyle w:val="FootnoteReference"/>
          <w:sz w:val="20"/>
          <w:szCs w:val="20"/>
        </w:rPr>
        <w:footnoteRef/>
      </w:r>
      <w:r w:rsidRPr="007A3A29">
        <w:rPr>
          <w:sz w:val="20"/>
          <w:szCs w:val="20"/>
        </w:rPr>
        <w:t xml:space="preserve"> </w:t>
      </w:r>
      <w:r w:rsidRPr="0026485C">
        <w:rPr>
          <w:color w:val="000000" w:themeColor="text1"/>
          <w:sz w:val="20"/>
          <w:szCs w:val="20"/>
        </w:rPr>
        <w:t xml:space="preserve">This landmark report by the UN is important as it </w:t>
      </w:r>
      <w:r>
        <w:rPr>
          <w:color w:val="000000" w:themeColor="text1"/>
          <w:sz w:val="20"/>
          <w:szCs w:val="20"/>
        </w:rPr>
        <w:t>recognise</w:t>
      </w:r>
      <w:r w:rsidRPr="0026485C">
        <w:rPr>
          <w:color w:val="000000" w:themeColor="text1"/>
          <w:sz w:val="20"/>
          <w:szCs w:val="20"/>
        </w:rPr>
        <w:t xml:space="preserve">s </w:t>
      </w:r>
      <w:r>
        <w:rPr>
          <w:color w:val="000000" w:themeColor="text1"/>
          <w:sz w:val="20"/>
          <w:szCs w:val="20"/>
        </w:rPr>
        <w:t>UCW</w:t>
      </w:r>
      <w:r w:rsidRPr="0026485C">
        <w:rPr>
          <w:color w:val="000000" w:themeColor="text1"/>
          <w:sz w:val="20"/>
          <w:szCs w:val="20"/>
        </w:rPr>
        <w:t xml:space="preserve"> as a major human rights issue. The report clearly states that heavy and unequal care responsibilities are a major barrier to gender equality and to women’s enjoyments of human rights. The report signified an important moment in terms of policy development and helped put unpaid care work on the development agenda. Whilst I </w:t>
      </w:r>
      <w:r>
        <w:rPr>
          <w:color w:val="000000" w:themeColor="text1"/>
          <w:sz w:val="20"/>
          <w:szCs w:val="20"/>
        </w:rPr>
        <w:t>recognise</w:t>
      </w:r>
      <w:r w:rsidRPr="0026485C">
        <w:rPr>
          <w:color w:val="000000" w:themeColor="text1"/>
          <w:sz w:val="20"/>
          <w:szCs w:val="20"/>
        </w:rPr>
        <w:t xml:space="preserve"> that the link to UCW and </w:t>
      </w:r>
      <w:r>
        <w:rPr>
          <w:color w:val="000000" w:themeColor="text1"/>
          <w:sz w:val="20"/>
          <w:szCs w:val="20"/>
        </w:rPr>
        <w:t>h</w:t>
      </w:r>
      <w:r w:rsidRPr="0026485C">
        <w:rPr>
          <w:color w:val="000000" w:themeColor="text1"/>
          <w:sz w:val="20"/>
          <w:szCs w:val="20"/>
        </w:rPr>
        <w:t xml:space="preserve">uman rights is fundamental, I will not be using a </w:t>
      </w:r>
      <w:r>
        <w:rPr>
          <w:color w:val="000000" w:themeColor="text1"/>
          <w:sz w:val="20"/>
          <w:szCs w:val="20"/>
        </w:rPr>
        <w:t>h</w:t>
      </w:r>
      <w:r w:rsidRPr="0026485C">
        <w:rPr>
          <w:color w:val="000000" w:themeColor="text1"/>
          <w:sz w:val="20"/>
          <w:szCs w:val="20"/>
        </w:rPr>
        <w:t>uman rights framework in my thesis</w:t>
      </w:r>
      <w:r w:rsidRPr="007A3A29">
        <w:rPr>
          <w:color w:val="FF0000"/>
          <w:sz w:val="20"/>
          <w:szCs w:val="20"/>
        </w:rPr>
        <w:t>.</w:t>
      </w:r>
    </w:p>
  </w:footnote>
  <w:footnote w:id="36">
    <w:p w14:paraId="574EE9D7" w14:textId="1CF32F0D" w:rsidR="00A96CF7" w:rsidRPr="00133BE1" w:rsidRDefault="00A96CF7" w:rsidP="001C443C">
      <w:pPr>
        <w:pStyle w:val="FootnoteText"/>
      </w:pPr>
      <w:r w:rsidRPr="00293176">
        <w:rPr>
          <w:rStyle w:val="FootnoteReference"/>
          <w:sz w:val="20"/>
          <w:szCs w:val="20"/>
        </w:rPr>
        <w:footnoteRef/>
      </w:r>
      <w:r w:rsidRPr="00293176">
        <w:rPr>
          <w:sz w:val="20"/>
          <w:szCs w:val="20"/>
        </w:rPr>
        <w:t xml:space="preserve"> </w:t>
      </w:r>
      <w:r>
        <w:rPr>
          <w:sz w:val="20"/>
          <w:szCs w:val="20"/>
        </w:rPr>
        <w:t xml:space="preserve">See: </w:t>
      </w:r>
      <w:hyperlink r:id="rId8" w:history="1">
        <w:r w:rsidRPr="00293176">
          <w:rPr>
            <w:rStyle w:val="Hyperlink"/>
          </w:rPr>
          <w:t>https</w:t>
        </w:r>
        <w:r w:rsidRPr="002F31FE">
          <w:rPr>
            <w:rStyle w:val="Hyperlink"/>
            <w:rFonts w:ascii="Times" w:hAnsi="Times"/>
            <w:sz w:val="20"/>
            <w:szCs w:val="20"/>
          </w:rPr>
          <w:t>://www.theguardian.com/world/2017/may/26/gender-wars-household-chores-comic</w:t>
        </w:r>
      </w:hyperlink>
      <w:r>
        <w:rPr>
          <w:rFonts w:ascii="Times" w:hAnsi="Times"/>
          <w:sz w:val="20"/>
          <w:szCs w:val="20"/>
        </w:rPr>
        <w:t xml:space="preserve"> </w:t>
      </w:r>
      <w:r>
        <w:t xml:space="preserve"> </w:t>
      </w:r>
    </w:p>
  </w:footnote>
  <w:footnote w:id="37">
    <w:p w14:paraId="096DC88E" w14:textId="77777777" w:rsidR="00A96CF7" w:rsidRPr="00DA60A1" w:rsidRDefault="00A96CF7" w:rsidP="001C443C">
      <w:pPr>
        <w:pStyle w:val="FootnoteText"/>
        <w:rPr>
          <w:sz w:val="20"/>
          <w:szCs w:val="20"/>
        </w:rPr>
      </w:pPr>
      <w:r w:rsidRPr="00DA60A1">
        <w:rPr>
          <w:rStyle w:val="FootnoteReference"/>
          <w:sz w:val="20"/>
          <w:szCs w:val="20"/>
        </w:rPr>
        <w:footnoteRef/>
      </w:r>
      <w:r w:rsidRPr="00DA60A1">
        <w:rPr>
          <w:sz w:val="20"/>
          <w:szCs w:val="20"/>
        </w:rPr>
        <w:t xml:space="preserve"> Shirin Rai, Catherine Hoskyns and Dania Thomas (2011, 2012, 2014) have continued to write on the subject where they speak to the ‘depletion of the body, the household and the community’ as a result of not recogn</w:t>
      </w:r>
      <w:r>
        <w:rPr>
          <w:sz w:val="20"/>
          <w:szCs w:val="20"/>
        </w:rPr>
        <w:t>isi</w:t>
      </w:r>
      <w:r w:rsidRPr="00DA60A1">
        <w:rPr>
          <w:sz w:val="20"/>
          <w:szCs w:val="20"/>
        </w:rPr>
        <w:t>ng unpaid work.</w:t>
      </w:r>
    </w:p>
  </w:footnote>
  <w:footnote w:id="38">
    <w:p w14:paraId="53B3B532" w14:textId="7B6949D8" w:rsidR="00A96CF7" w:rsidRPr="000C4D87" w:rsidRDefault="00A96CF7" w:rsidP="001C443C">
      <w:pPr>
        <w:pStyle w:val="NormalWeb"/>
        <w:spacing w:before="0" w:beforeAutospacing="0" w:after="0" w:afterAutospacing="0"/>
        <w:rPr>
          <w:color w:val="0070C0"/>
          <w:sz w:val="20"/>
          <w:szCs w:val="20"/>
        </w:rPr>
      </w:pPr>
      <w:r w:rsidRPr="00422A8E">
        <w:rPr>
          <w:rStyle w:val="FootnoteReference"/>
          <w:color w:val="000000" w:themeColor="text1"/>
          <w:sz w:val="20"/>
          <w:szCs w:val="20"/>
        </w:rPr>
        <w:footnoteRef/>
      </w:r>
      <w:r w:rsidRPr="00422A8E">
        <w:rPr>
          <w:color w:val="000000" w:themeColor="text1"/>
          <w:sz w:val="20"/>
          <w:szCs w:val="20"/>
        </w:rPr>
        <w:t xml:space="preserve"> Eyben (2012) argue</w:t>
      </w:r>
      <w:r>
        <w:rPr>
          <w:color w:val="000000" w:themeColor="text1"/>
          <w:sz w:val="20"/>
          <w:szCs w:val="20"/>
        </w:rPr>
        <w:t>s</w:t>
      </w:r>
      <w:r w:rsidRPr="00422A8E">
        <w:rPr>
          <w:color w:val="000000" w:themeColor="text1"/>
          <w:sz w:val="20"/>
          <w:szCs w:val="20"/>
        </w:rPr>
        <w:t xml:space="preserve"> that system bias refers to the institutional rules of the game-and the norms and systems of thought accompanying and sustaining these rules –</w:t>
      </w:r>
      <w:r>
        <w:rPr>
          <w:color w:val="000000" w:themeColor="text1"/>
          <w:sz w:val="20"/>
          <w:szCs w:val="20"/>
        </w:rPr>
        <w:t xml:space="preserve"> </w:t>
      </w:r>
      <w:r w:rsidRPr="00422A8E">
        <w:rPr>
          <w:color w:val="000000" w:themeColor="text1"/>
          <w:sz w:val="20"/>
          <w:szCs w:val="20"/>
        </w:rPr>
        <w:t>determine what is possible to discuss (p.</w:t>
      </w:r>
      <w:r>
        <w:rPr>
          <w:color w:val="000000" w:themeColor="text1"/>
          <w:sz w:val="20"/>
          <w:szCs w:val="20"/>
        </w:rPr>
        <w:t xml:space="preserve"> </w:t>
      </w:r>
      <w:r w:rsidRPr="00422A8E">
        <w:rPr>
          <w:color w:val="000000" w:themeColor="text1"/>
          <w:sz w:val="20"/>
          <w:szCs w:val="20"/>
        </w:rPr>
        <w:t>11)</w:t>
      </w:r>
      <w:r>
        <w:rPr>
          <w:color w:val="000000" w:themeColor="text1"/>
          <w:sz w:val="20"/>
          <w:szCs w:val="20"/>
        </w:rPr>
        <w:t>,</w:t>
      </w:r>
      <w:r w:rsidRPr="00422A8E">
        <w:rPr>
          <w:color w:val="000000" w:themeColor="text1"/>
          <w:sz w:val="20"/>
          <w:szCs w:val="20"/>
        </w:rPr>
        <w:t xml:space="preserve"> and further ‘</w:t>
      </w:r>
      <w:r>
        <w:rPr>
          <w:color w:val="000000" w:themeColor="text1"/>
          <w:sz w:val="20"/>
          <w:szCs w:val="20"/>
        </w:rPr>
        <w:t>“</w:t>
      </w:r>
      <w:r w:rsidRPr="00422A8E">
        <w:rPr>
          <w:color w:val="000000" w:themeColor="text1"/>
          <w:sz w:val="20"/>
          <w:szCs w:val="20"/>
        </w:rPr>
        <w:t>Strategic ignorance</w:t>
      </w:r>
      <w:r>
        <w:rPr>
          <w:color w:val="000000" w:themeColor="text1"/>
          <w:sz w:val="20"/>
          <w:szCs w:val="20"/>
        </w:rPr>
        <w:t>”</w:t>
      </w:r>
      <w:r w:rsidRPr="00422A8E">
        <w:rPr>
          <w:color w:val="000000" w:themeColor="text1"/>
          <w:sz w:val="20"/>
          <w:szCs w:val="20"/>
        </w:rPr>
        <w:t xml:space="preserve"> explains why – despite an extensive analysis of unpaid care in the main text – the executive summary of the World Development Report on gender equality (World Bank 2011/2012) excludes care from its list of major </w:t>
      </w:r>
      <w:r>
        <w:rPr>
          <w:color w:val="000000" w:themeColor="text1"/>
          <w:sz w:val="20"/>
          <w:szCs w:val="20"/>
        </w:rPr>
        <w:t>“</w:t>
      </w:r>
      <w:r w:rsidRPr="00422A8E">
        <w:rPr>
          <w:color w:val="000000" w:themeColor="text1"/>
          <w:sz w:val="20"/>
          <w:szCs w:val="20"/>
        </w:rPr>
        <w:t>sticky issues</w:t>
      </w:r>
      <w:r>
        <w:rPr>
          <w:color w:val="000000" w:themeColor="text1"/>
          <w:sz w:val="20"/>
          <w:szCs w:val="20"/>
        </w:rPr>
        <w:t>”</w:t>
      </w:r>
      <w:r w:rsidRPr="00422A8E">
        <w:rPr>
          <w:color w:val="000000" w:themeColor="text1"/>
          <w:sz w:val="20"/>
          <w:szCs w:val="20"/>
        </w:rPr>
        <w:t xml:space="preserve">. If unpaid care were given the recognition it merits, then governments and development agencies would have to revise radically their development priorities and budgets. Thus care has been made invisible’ (p. 12).  </w:t>
      </w:r>
    </w:p>
  </w:footnote>
  <w:footnote w:id="39">
    <w:p w14:paraId="303B0F30" w14:textId="147D752E" w:rsidR="00A96CF7" w:rsidRPr="000C4D87" w:rsidRDefault="00A96CF7" w:rsidP="001C443C">
      <w:pPr>
        <w:pStyle w:val="FootnoteText"/>
        <w:rPr>
          <w:sz w:val="20"/>
          <w:szCs w:val="20"/>
        </w:rPr>
      </w:pPr>
      <w:r w:rsidRPr="000C4D87">
        <w:rPr>
          <w:rStyle w:val="FootnoteReference"/>
          <w:sz w:val="20"/>
          <w:szCs w:val="20"/>
        </w:rPr>
        <w:footnoteRef/>
      </w:r>
      <w:r w:rsidRPr="000C4D87">
        <w:rPr>
          <w:sz w:val="20"/>
          <w:szCs w:val="20"/>
        </w:rPr>
        <w:t xml:space="preserve"> See Budlender</w:t>
      </w:r>
      <w:r>
        <w:rPr>
          <w:sz w:val="20"/>
          <w:szCs w:val="20"/>
        </w:rPr>
        <w:t xml:space="preserve"> (2</w:t>
      </w:r>
      <w:r w:rsidRPr="000C4D87">
        <w:rPr>
          <w:sz w:val="20"/>
          <w:szCs w:val="20"/>
        </w:rPr>
        <w:t>008</w:t>
      </w:r>
      <w:r>
        <w:rPr>
          <w:sz w:val="20"/>
          <w:szCs w:val="20"/>
        </w:rPr>
        <w:t>)</w:t>
      </w:r>
      <w:r w:rsidRPr="000C4D87">
        <w:rPr>
          <w:sz w:val="20"/>
          <w:szCs w:val="20"/>
        </w:rPr>
        <w:t xml:space="preserve"> and Esquivel</w:t>
      </w:r>
      <w:r>
        <w:rPr>
          <w:sz w:val="20"/>
          <w:szCs w:val="20"/>
        </w:rPr>
        <w:t xml:space="preserve"> (</w:t>
      </w:r>
      <w:r w:rsidRPr="000C4D87">
        <w:rPr>
          <w:sz w:val="20"/>
          <w:szCs w:val="20"/>
        </w:rPr>
        <w:t>2010</w:t>
      </w:r>
      <w:r>
        <w:rPr>
          <w:sz w:val="20"/>
          <w:szCs w:val="20"/>
        </w:rPr>
        <w:t>)</w:t>
      </w:r>
      <w:r w:rsidRPr="000C4D87">
        <w:rPr>
          <w:sz w:val="20"/>
          <w:szCs w:val="20"/>
        </w:rPr>
        <w:t xml:space="preserve"> for their analysis of these TUS studies in Nicaragua (English publication). Also see Esquivel</w:t>
      </w:r>
      <w:r>
        <w:rPr>
          <w:sz w:val="20"/>
          <w:szCs w:val="20"/>
        </w:rPr>
        <w:t xml:space="preserve"> (</w:t>
      </w:r>
      <w:r w:rsidRPr="000C4D87">
        <w:rPr>
          <w:sz w:val="20"/>
          <w:szCs w:val="20"/>
        </w:rPr>
        <w:t>2011</w:t>
      </w:r>
      <w:r>
        <w:rPr>
          <w:sz w:val="20"/>
          <w:szCs w:val="20"/>
        </w:rPr>
        <w:t>)</w:t>
      </w:r>
      <w:r w:rsidRPr="000C4D87">
        <w:rPr>
          <w:sz w:val="20"/>
          <w:szCs w:val="20"/>
        </w:rPr>
        <w:t xml:space="preserve"> for a study on TUS in Latin America (Spanish publication).</w:t>
      </w:r>
    </w:p>
  </w:footnote>
  <w:footnote w:id="40">
    <w:p w14:paraId="64C27DFA" w14:textId="22878828" w:rsidR="00A96CF7" w:rsidRPr="000C4D87" w:rsidRDefault="00A96CF7" w:rsidP="001C443C">
      <w:pPr>
        <w:pStyle w:val="FootnoteText"/>
        <w:rPr>
          <w:sz w:val="20"/>
          <w:szCs w:val="20"/>
        </w:rPr>
      </w:pPr>
      <w:r w:rsidRPr="000C4D87">
        <w:rPr>
          <w:rStyle w:val="FootnoteReference"/>
          <w:sz w:val="20"/>
          <w:szCs w:val="20"/>
        </w:rPr>
        <w:footnoteRef/>
      </w:r>
      <w:r w:rsidRPr="000C4D87">
        <w:rPr>
          <w:sz w:val="20"/>
          <w:szCs w:val="20"/>
        </w:rPr>
        <w:t xml:space="preserve"> Martinez Franzoni (2008) ‘explores how care is provided in Nicaragua, who provides it, who receives it and the types of settings</w:t>
      </w:r>
      <w:r>
        <w:rPr>
          <w:sz w:val="20"/>
          <w:szCs w:val="20"/>
        </w:rPr>
        <w:t xml:space="preserve"> – </w:t>
      </w:r>
      <w:r w:rsidRPr="000C4D87">
        <w:rPr>
          <w:sz w:val="20"/>
          <w:szCs w:val="20"/>
        </w:rPr>
        <w:t>family, commercial, collective</w:t>
      </w:r>
      <w:r>
        <w:rPr>
          <w:sz w:val="20"/>
          <w:szCs w:val="20"/>
        </w:rPr>
        <w:t xml:space="preserve"> – </w:t>
      </w:r>
      <w:r w:rsidRPr="000C4D87">
        <w:rPr>
          <w:sz w:val="20"/>
          <w:szCs w:val="20"/>
        </w:rPr>
        <w:t>in which care is provided’ through ‘a care “diamond” (illustration on p.</w:t>
      </w:r>
      <w:r>
        <w:rPr>
          <w:sz w:val="20"/>
          <w:szCs w:val="20"/>
        </w:rPr>
        <w:t xml:space="preserve"> </w:t>
      </w:r>
      <w:r w:rsidRPr="000C4D87">
        <w:rPr>
          <w:sz w:val="20"/>
          <w:szCs w:val="20"/>
        </w:rPr>
        <w:t>30) whose vertices consist of families, the State, markets and the so-called “third sector”</w:t>
      </w:r>
      <w:r>
        <w:rPr>
          <w:sz w:val="20"/>
          <w:szCs w:val="20"/>
        </w:rPr>
        <w:t>’</w:t>
      </w:r>
      <w:r w:rsidRPr="000C4D87">
        <w:rPr>
          <w:sz w:val="20"/>
          <w:szCs w:val="20"/>
        </w:rPr>
        <w:t xml:space="preserve"> (p.</w:t>
      </w:r>
      <w:r>
        <w:rPr>
          <w:sz w:val="20"/>
          <w:szCs w:val="20"/>
        </w:rPr>
        <w:t xml:space="preserve"> </w:t>
      </w:r>
      <w:r w:rsidRPr="000C4D87">
        <w:rPr>
          <w:sz w:val="20"/>
          <w:szCs w:val="20"/>
        </w:rPr>
        <w:t>4). She conclude</w:t>
      </w:r>
      <w:r>
        <w:rPr>
          <w:sz w:val="20"/>
          <w:szCs w:val="20"/>
        </w:rPr>
        <w:t>d</w:t>
      </w:r>
      <w:r w:rsidRPr="000C4D87">
        <w:rPr>
          <w:sz w:val="20"/>
          <w:szCs w:val="20"/>
        </w:rPr>
        <w:t>: ‘Nicaragua’s welfare regime is characterised by its informal and “familiarist” nature. There is little differentiation between market-based, public and family based allocation of resources. The State has little involvement in the public, or collective, allocation of resources, which is much more linked to international cooperation, and even associative forms of resource distribution such as those involving remittances. The social policy regime has a strictly residual role in the management of so</w:t>
      </w:r>
      <w:r>
        <w:rPr>
          <w:sz w:val="20"/>
          <w:szCs w:val="20"/>
        </w:rPr>
        <w:t>cial risks’ (Martinez Franzoni, 2008, p. 29).</w:t>
      </w:r>
    </w:p>
    <w:p w14:paraId="1467BBFC" w14:textId="77777777" w:rsidR="00A96CF7" w:rsidRDefault="00A96CF7" w:rsidP="001C443C">
      <w:pPr>
        <w:pStyle w:val="FootnoteText"/>
      </w:pPr>
    </w:p>
  </w:footnote>
  <w:footnote w:id="41">
    <w:p w14:paraId="6AA3760E" w14:textId="77777777" w:rsidR="00A96CF7" w:rsidRPr="00293176" w:rsidRDefault="00A96CF7" w:rsidP="001C443C">
      <w:pPr>
        <w:pStyle w:val="FootnoteText"/>
        <w:rPr>
          <w:sz w:val="20"/>
          <w:szCs w:val="20"/>
        </w:rPr>
      </w:pPr>
      <w:r w:rsidRPr="00293176">
        <w:rPr>
          <w:rStyle w:val="FootnoteReference"/>
          <w:sz w:val="20"/>
          <w:szCs w:val="20"/>
        </w:rPr>
        <w:footnoteRef/>
      </w:r>
      <w:r w:rsidRPr="00293176">
        <w:rPr>
          <w:sz w:val="20"/>
          <w:szCs w:val="20"/>
        </w:rPr>
        <w:t xml:space="preserve"> </w:t>
      </w:r>
      <w:r w:rsidRPr="008C041F">
        <w:rPr>
          <w:sz w:val="20"/>
          <w:szCs w:val="20"/>
        </w:rPr>
        <w:t>See Espinosa Gonzalez (2010) for a discussion of the EMNV TUS.</w:t>
      </w:r>
    </w:p>
  </w:footnote>
  <w:footnote w:id="42">
    <w:p w14:paraId="1DC89A30" w14:textId="44ECA1F3" w:rsidR="00A96CF7" w:rsidRPr="007A3A29" w:rsidRDefault="00A96CF7" w:rsidP="001C443C">
      <w:pPr>
        <w:pStyle w:val="NormalWeb"/>
        <w:spacing w:before="0" w:beforeAutospacing="0" w:after="0" w:afterAutospacing="0"/>
        <w:rPr>
          <w:sz w:val="20"/>
          <w:szCs w:val="20"/>
        </w:rPr>
      </w:pPr>
      <w:r w:rsidRPr="00293176">
        <w:rPr>
          <w:rStyle w:val="FootnoteReference"/>
          <w:sz w:val="20"/>
          <w:szCs w:val="20"/>
        </w:rPr>
        <w:footnoteRef/>
      </w:r>
      <w:r w:rsidRPr="00293176">
        <w:rPr>
          <w:sz w:val="20"/>
          <w:szCs w:val="20"/>
        </w:rPr>
        <w:t xml:space="preserve"> </w:t>
      </w:r>
      <w:r w:rsidRPr="008C041F">
        <w:rPr>
          <w:sz w:val="20"/>
          <w:szCs w:val="20"/>
        </w:rPr>
        <w:t>Orozco</w:t>
      </w:r>
      <w:r w:rsidRPr="002B7BAF">
        <w:rPr>
          <w:sz w:val="20"/>
          <w:szCs w:val="20"/>
        </w:rPr>
        <w:t xml:space="preserve"> Perez</w:t>
      </w:r>
      <w:r>
        <w:rPr>
          <w:sz w:val="20"/>
          <w:szCs w:val="20"/>
        </w:rPr>
        <w:t>(2003)</w:t>
      </w:r>
      <w:r w:rsidRPr="002B7BAF">
        <w:rPr>
          <w:sz w:val="20"/>
          <w:szCs w:val="20"/>
        </w:rPr>
        <w:t xml:space="preserve"> explain</w:t>
      </w:r>
      <w:r>
        <w:rPr>
          <w:sz w:val="20"/>
          <w:szCs w:val="20"/>
        </w:rPr>
        <w:t>s</w:t>
      </w:r>
      <w:r w:rsidRPr="002B7BAF">
        <w:rPr>
          <w:sz w:val="20"/>
          <w:szCs w:val="20"/>
        </w:rPr>
        <w:t xml:space="preserve">: ‘The concept sustainability of life (or social provisioning) would </w:t>
      </w:r>
      <w:r>
        <w:rPr>
          <w:sz w:val="20"/>
          <w:szCs w:val="20"/>
        </w:rPr>
        <w:t>“</w:t>
      </w:r>
      <w:r w:rsidRPr="002B7BAF">
        <w:rPr>
          <w:sz w:val="20"/>
          <w:szCs w:val="20"/>
        </w:rPr>
        <w:t>explicitly focus on how each society solves its problems in sustaining human life […] which mechanisms are used to meet human needs” (Carrasco, 2001:12) … Its focus must be on social provisioning, meaning that economic activity is an interdependent social process. The dynamic of economic relations are a myriad ways that sustainability of life and social provisioning can be carried out. Sustainability of life understood as the social process of satisfying human needs draws on Sen’s focus on capabilities and deprivations (e.g. Sen, 1985)’ (</w:t>
      </w:r>
      <w:r>
        <w:rPr>
          <w:sz w:val="20"/>
          <w:szCs w:val="20"/>
        </w:rPr>
        <w:t xml:space="preserve">pp. </w:t>
      </w:r>
      <w:r w:rsidRPr="002B7BAF">
        <w:rPr>
          <w:sz w:val="20"/>
          <w:szCs w:val="20"/>
        </w:rPr>
        <w:t>6</w:t>
      </w:r>
      <w:r>
        <w:rPr>
          <w:sz w:val="20"/>
          <w:szCs w:val="20"/>
        </w:rPr>
        <w:t>–</w:t>
      </w:r>
      <w:r w:rsidRPr="002B7BAF">
        <w:rPr>
          <w:sz w:val="20"/>
          <w:szCs w:val="20"/>
        </w:rPr>
        <w:t>7)</w:t>
      </w:r>
      <w:r>
        <w:rPr>
          <w:sz w:val="20"/>
          <w:szCs w:val="20"/>
        </w:rPr>
        <w:t>.</w:t>
      </w:r>
    </w:p>
    <w:p w14:paraId="33CFF51C" w14:textId="77777777" w:rsidR="00A96CF7" w:rsidRDefault="00A96CF7" w:rsidP="001C443C">
      <w:pPr>
        <w:pStyle w:val="FootnoteText"/>
      </w:pPr>
    </w:p>
  </w:footnote>
  <w:footnote w:id="43">
    <w:p w14:paraId="791DBE89" w14:textId="450DB13B" w:rsidR="00A96CF7" w:rsidRPr="00B04BA5" w:rsidRDefault="00A96CF7" w:rsidP="001C443C">
      <w:pPr>
        <w:pStyle w:val="FootnoteText"/>
      </w:pPr>
      <w:r w:rsidRPr="001E7B98">
        <w:rPr>
          <w:rStyle w:val="FootnoteReference"/>
          <w:rFonts w:eastAsiaTheme="minorEastAsia"/>
          <w:sz w:val="20"/>
          <w:szCs w:val="20"/>
        </w:rPr>
        <w:footnoteRef/>
      </w:r>
      <w:r w:rsidRPr="001E7B98">
        <w:rPr>
          <w:sz w:val="20"/>
          <w:szCs w:val="20"/>
        </w:rPr>
        <w:t xml:space="preserve"> See IDS (Pathways, 2011) for more on how ‘pathways of women’s empowerment are diverse and highly contextual: what works in one context to transform women’s lives will not necessarily produce the same effects in another’</w:t>
      </w:r>
      <w:r>
        <w:rPr>
          <w:sz w:val="20"/>
          <w:szCs w:val="20"/>
        </w:rPr>
        <w:t xml:space="preserve">. </w:t>
      </w:r>
      <w:r w:rsidRPr="001E7B98">
        <w:rPr>
          <w:sz w:val="20"/>
          <w:szCs w:val="20"/>
        </w:rPr>
        <w:t>The report argue</w:t>
      </w:r>
      <w:r>
        <w:rPr>
          <w:sz w:val="20"/>
          <w:szCs w:val="20"/>
        </w:rPr>
        <w:t>s</w:t>
      </w:r>
      <w:r w:rsidRPr="001E7B98">
        <w:rPr>
          <w:sz w:val="20"/>
          <w:szCs w:val="20"/>
        </w:rPr>
        <w:t xml:space="preserve"> that: ‘Our findings have led us to understand women’s empowerment as a journey, not a destination. Understanding what enables women to embark on these journeys, what pathways are available to them, which routes they take, and what assists them along the way is essential if we are to support women to empower themselves’ (</w:t>
      </w:r>
      <w:r>
        <w:rPr>
          <w:sz w:val="20"/>
          <w:szCs w:val="20"/>
        </w:rPr>
        <w:t xml:space="preserve">ibid, </w:t>
      </w:r>
      <w:r w:rsidRPr="001E7B98">
        <w:rPr>
          <w:sz w:val="20"/>
          <w:szCs w:val="20"/>
        </w:rPr>
        <w:t>p.</w:t>
      </w:r>
      <w:r>
        <w:rPr>
          <w:sz w:val="20"/>
          <w:szCs w:val="20"/>
        </w:rPr>
        <w:t xml:space="preserve"> </w:t>
      </w:r>
      <w:r w:rsidRPr="001E7B98">
        <w:rPr>
          <w:sz w:val="20"/>
          <w:szCs w:val="20"/>
        </w:rPr>
        <w:t>8)</w:t>
      </w:r>
      <w:r>
        <w:rPr>
          <w:sz w:val="20"/>
          <w:szCs w:val="20"/>
        </w:rPr>
        <w:t>.</w:t>
      </w:r>
    </w:p>
  </w:footnote>
  <w:footnote w:id="44">
    <w:p w14:paraId="05237FE4" w14:textId="27BEA159" w:rsidR="00A96CF7" w:rsidRPr="008C041F" w:rsidRDefault="00A96CF7" w:rsidP="008C041F">
      <w:pPr>
        <w:pStyle w:val="FootnoteText"/>
        <w:jc w:val="both"/>
        <w:rPr>
          <w:sz w:val="20"/>
          <w:szCs w:val="20"/>
        </w:rPr>
      </w:pPr>
      <w:r w:rsidRPr="00293176">
        <w:rPr>
          <w:rStyle w:val="FootnoteReference"/>
          <w:rFonts w:eastAsiaTheme="minorEastAsia"/>
          <w:sz w:val="20"/>
          <w:szCs w:val="20"/>
        </w:rPr>
        <w:footnoteRef/>
      </w:r>
      <w:r w:rsidRPr="00293176">
        <w:rPr>
          <w:sz w:val="20"/>
          <w:szCs w:val="20"/>
        </w:rPr>
        <w:t xml:space="preserve"> </w:t>
      </w:r>
      <w:r w:rsidRPr="008C041F">
        <w:rPr>
          <w:sz w:val="20"/>
          <w:szCs w:val="20"/>
        </w:rPr>
        <w:t xml:space="preserve">For the Fourth World Conference on Women’s Platform for Action, see </w:t>
      </w:r>
      <w:hyperlink r:id="rId9" w:history="1">
        <w:r w:rsidRPr="00C86759">
          <w:rPr>
            <w:rStyle w:val="Hyperlink"/>
            <w:sz w:val="20"/>
            <w:szCs w:val="20"/>
          </w:rPr>
          <w:t>http://www.un.org/womenwatch/daw/beijing/platform/economy.htm</w:t>
        </w:r>
      </w:hyperlink>
      <w:r w:rsidRPr="008C041F">
        <w:rPr>
          <w:sz w:val="20"/>
          <w:szCs w:val="20"/>
        </w:rPr>
        <w:t xml:space="preserve">. </w:t>
      </w:r>
    </w:p>
  </w:footnote>
  <w:footnote w:id="45">
    <w:p w14:paraId="3DEDF384" w14:textId="395508FD" w:rsidR="00A96CF7" w:rsidRPr="00440345" w:rsidRDefault="00A96CF7" w:rsidP="00293176">
      <w:pPr>
        <w:jc w:val="both"/>
        <w:rPr>
          <w:sz w:val="20"/>
          <w:szCs w:val="20"/>
        </w:rPr>
      </w:pPr>
      <w:r w:rsidRPr="008C041F">
        <w:rPr>
          <w:rStyle w:val="FootnoteReference"/>
          <w:rFonts w:eastAsiaTheme="minorEastAsia"/>
          <w:sz w:val="20"/>
          <w:szCs w:val="20"/>
        </w:rPr>
        <w:footnoteRef/>
      </w:r>
      <w:r w:rsidRPr="008C041F">
        <w:rPr>
          <w:sz w:val="20"/>
          <w:szCs w:val="20"/>
        </w:rPr>
        <w:t xml:space="preserve"> For example, Calves (2009), citing Alsop, Bertelsen, and Holland (2006), World Bank (2001) and Narayan (2004), explained tha</w:t>
      </w:r>
      <w:r w:rsidRPr="00C86759">
        <w:rPr>
          <w:sz w:val="20"/>
          <w:szCs w:val="20"/>
        </w:rPr>
        <w:t>t the World Bank offered three different definitions of the term between 2001 and 2006 in three key documents addressing empowerment</w:t>
      </w:r>
      <w:r w:rsidRPr="008C041F">
        <w:rPr>
          <w:sz w:val="20"/>
          <w:szCs w:val="20"/>
        </w:rPr>
        <w:t>.</w:t>
      </w:r>
      <w:r w:rsidRPr="008C041F">
        <w:rPr>
          <w:sz w:val="20"/>
          <w:szCs w:val="20"/>
        </w:rPr>
        <w:tab/>
      </w:r>
    </w:p>
  </w:footnote>
  <w:footnote w:id="46">
    <w:p w14:paraId="6CA3F6CD" w14:textId="77777777" w:rsidR="00A96CF7" w:rsidRPr="00074D40" w:rsidRDefault="00A96CF7" w:rsidP="001C443C">
      <w:pPr>
        <w:pStyle w:val="p1"/>
        <w:rPr>
          <w:rFonts w:ascii="Times New Roman" w:hAnsi="Times New Roman"/>
          <w:sz w:val="20"/>
          <w:szCs w:val="20"/>
        </w:rPr>
      </w:pPr>
      <w:r w:rsidRPr="00074D40">
        <w:rPr>
          <w:rStyle w:val="FootnoteReference"/>
          <w:rFonts w:ascii="Times New Roman" w:hAnsi="Times New Roman"/>
          <w:sz w:val="20"/>
          <w:szCs w:val="20"/>
        </w:rPr>
        <w:footnoteRef/>
      </w:r>
      <w:r w:rsidRPr="00074D40">
        <w:rPr>
          <w:rFonts w:ascii="Times New Roman" w:hAnsi="Times New Roman"/>
          <w:sz w:val="20"/>
          <w:szCs w:val="20"/>
        </w:rPr>
        <w:t xml:space="preserve"> See Kalpana (2008) for a more detailed discussion about the relationship between women’s agency and neoliberal discourses.  </w:t>
      </w:r>
    </w:p>
  </w:footnote>
  <w:footnote w:id="47">
    <w:p w14:paraId="69400D3B" w14:textId="0ECFAFF7" w:rsidR="00A96CF7" w:rsidRPr="00074D40" w:rsidRDefault="00A96CF7" w:rsidP="001C443C">
      <w:pPr>
        <w:pStyle w:val="FootnoteText"/>
        <w:rPr>
          <w:sz w:val="20"/>
          <w:szCs w:val="20"/>
        </w:rPr>
      </w:pPr>
      <w:r w:rsidRPr="00133BE1">
        <w:rPr>
          <w:rStyle w:val="FootnoteReference"/>
          <w:rFonts w:eastAsiaTheme="minorEastAsia"/>
          <w:sz w:val="20"/>
          <w:szCs w:val="20"/>
        </w:rPr>
        <w:footnoteRef/>
      </w:r>
      <w:r w:rsidRPr="00133BE1">
        <w:rPr>
          <w:sz w:val="20"/>
          <w:szCs w:val="20"/>
        </w:rPr>
        <w:t xml:space="preserve"> </w:t>
      </w:r>
      <w:r w:rsidRPr="00074D40">
        <w:rPr>
          <w:sz w:val="20"/>
          <w:szCs w:val="20"/>
        </w:rPr>
        <w:t>The capabilities refer to the feasible things a person can achieve and that they value doing and being.  Sen refused to define a general list of capabilities despite pressure from authors to do so because he claimed that this should be left up the individual (Sen, 1997, cited in Kleine, 2008).</w:t>
      </w:r>
    </w:p>
  </w:footnote>
  <w:footnote w:id="48">
    <w:p w14:paraId="59488CE3" w14:textId="0F223B28" w:rsidR="00A96CF7" w:rsidRPr="00074D40" w:rsidRDefault="00A96CF7" w:rsidP="00293176">
      <w:pPr>
        <w:rPr>
          <w:sz w:val="20"/>
          <w:szCs w:val="20"/>
        </w:rPr>
      </w:pPr>
      <w:r w:rsidRPr="00074D40">
        <w:rPr>
          <w:rStyle w:val="FootnoteReference"/>
          <w:rFonts w:eastAsiaTheme="minorEastAsia"/>
          <w:sz w:val="20"/>
          <w:szCs w:val="20"/>
        </w:rPr>
        <w:footnoteRef/>
      </w:r>
      <w:r w:rsidRPr="00074D40">
        <w:rPr>
          <w:sz w:val="20"/>
          <w:szCs w:val="20"/>
        </w:rPr>
        <w:t xml:space="preserve"> Kleine (2010) argue</w:t>
      </w:r>
      <w:r>
        <w:rPr>
          <w:sz w:val="20"/>
          <w:szCs w:val="20"/>
        </w:rPr>
        <w:t>s</w:t>
      </w:r>
      <w:r w:rsidRPr="00074D40">
        <w:rPr>
          <w:sz w:val="20"/>
          <w:szCs w:val="20"/>
        </w:rPr>
        <w:t xml:space="preserve"> that the implications for adopting the choice framework methodology is that on ‘a fundamental level it questions the validity of outcomes that are defined </w:t>
      </w:r>
      <w:r w:rsidRPr="00074D40">
        <w:rPr>
          <w:i/>
          <w:sz w:val="20"/>
          <w:szCs w:val="20"/>
        </w:rPr>
        <w:t>a priori</w:t>
      </w:r>
      <w:r w:rsidRPr="00074D40">
        <w:rPr>
          <w:sz w:val="20"/>
          <w:szCs w:val="20"/>
        </w:rPr>
        <w:t xml:space="preserve"> without consulting the individual in question’ (p.</w:t>
      </w:r>
      <w:r>
        <w:rPr>
          <w:sz w:val="20"/>
          <w:szCs w:val="20"/>
        </w:rPr>
        <w:t xml:space="preserve"> </w:t>
      </w:r>
      <w:r w:rsidRPr="00074D40">
        <w:rPr>
          <w:sz w:val="20"/>
          <w:szCs w:val="20"/>
        </w:rPr>
        <w:t>683). She further state</w:t>
      </w:r>
      <w:r>
        <w:rPr>
          <w:sz w:val="20"/>
          <w:szCs w:val="20"/>
        </w:rPr>
        <w:t>s</w:t>
      </w:r>
      <w:r w:rsidRPr="00074D40">
        <w:rPr>
          <w:sz w:val="20"/>
          <w:szCs w:val="20"/>
        </w:rPr>
        <w:t xml:space="preserve"> that in the practice of development projects, ‘practitioners and researchers would have to ask individuals about their own development priorities and let these guide the planning, implementation, monitoring, and evaluation of development projects and programmes’ (p.</w:t>
      </w:r>
      <w:r>
        <w:rPr>
          <w:sz w:val="20"/>
          <w:szCs w:val="20"/>
        </w:rPr>
        <w:t xml:space="preserve"> </w:t>
      </w:r>
      <w:r w:rsidRPr="00074D40">
        <w:rPr>
          <w:sz w:val="20"/>
          <w:szCs w:val="20"/>
        </w:rPr>
        <w:t>683)</w:t>
      </w:r>
      <w:r>
        <w:rPr>
          <w:sz w:val="20"/>
          <w:szCs w:val="20"/>
        </w:rPr>
        <w:t>.</w:t>
      </w:r>
    </w:p>
  </w:footnote>
  <w:footnote w:id="49">
    <w:p w14:paraId="4F51D55A" w14:textId="2F441B9D" w:rsidR="00A96CF7" w:rsidRPr="00C92D3B" w:rsidRDefault="00A96CF7" w:rsidP="001C443C">
      <w:pPr>
        <w:pStyle w:val="NormalWeb"/>
        <w:spacing w:before="0" w:beforeAutospacing="0" w:after="0" w:afterAutospacing="0"/>
        <w:rPr>
          <w:sz w:val="20"/>
          <w:szCs w:val="20"/>
        </w:rPr>
      </w:pPr>
      <w:r w:rsidRPr="00C92D3B">
        <w:rPr>
          <w:rStyle w:val="FootnoteReference"/>
          <w:sz w:val="20"/>
          <w:szCs w:val="20"/>
        </w:rPr>
        <w:footnoteRef/>
      </w:r>
      <w:r w:rsidRPr="00C92D3B">
        <w:rPr>
          <w:sz w:val="20"/>
          <w:szCs w:val="20"/>
        </w:rPr>
        <w:t xml:space="preserve"> See </w:t>
      </w:r>
      <w:r>
        <w:rPr>
          <w:sz w:val="20"/>
          <w:szCs w:val="20"/>
        </w:rPr>
        <w:t xml:space="preserve">also Connell (1987), which discusses </w:t>
      </w:r>
      <w:r w:rsidRPr="00C92D3B">
        <w:rPr>
          <w:sz w:val="20"/>
          <w:szCs w:val="20"/>
        </w:rPr>
        <w:t>‘emphasized femininity’ to describe patterns of femininity that have more cultural and ideological supp</w:t>
      </w:r>
      <w:r>
        <w:rPr>
          <w:sz w:val="20"/>
          <w:szCs w:val="20"/>
        </w:rPr>
        <w:t>ort than others.</w:t>
      </w:r>
    </w:p>
  </w:footnote>
  <w:footnote w:id="50">
    <w:p w14:paraId="7B08BCA4" w14:textId="5B7AE20A" w:rsidR="00A96CF7" w:rsidRPr="004E339F" w:rsidRDefault="00A96CF7" w:rsidP="007A3A29">
      <w:pPr>
        <w:rPr>
          <w:color w:val="000000" w:themeColor="text1"/>
        </w:rPr>
      </w:pPr>
      <w:r w:rsidRPr="00293176">
        <w:rPr>
          <w:rStyle w:val="FootnoteReference"/>
          <w:sz w:val="20"/>
          <w:szCs w:val="20"/>
        </w:rPr>
        <w:footnoteRef/>
      </w:r>
      <w:r w:rsidRPr="00293176">
        <w:rPr>
          <w:sz w:val="20"/>
          <w:szCs w:val="20"/>
        </w:rPr>
        <w:t xml:space="preserve"> </w:t>
      </w:r>
      <w:r w:rsidRPr="008C041F">
        <w:rPr>
          <w:color w:val="000000" w:themeColor="text1"/>
          <w:sz w:val="20"/>
          <w:szCs w:val="20"/>
        </w:rPr>
        <w:t>B</w:t>
      </w:r>
      <w:r>
        <w:rPr>
          <w:color w:val="000000" w:themeColor="text1"/>
          <w:sz w:val="20"/>
          <w:szCs w:val="20"/>
        </w:rPr>
        <w:t>EAM (2017),</w:t>
      </w:r>
      <w:r w:rsidRPr="008C041F">
        <w:rPr>
          <w:color w:val="000000" w:themeColor="text1"/>
          <w:sz w:val="20"/>
          <w:szCs w:val="20"/>
        </w:rPr>
        <w:t xml:space="preserve"> in their glossary</w:t>
      </w:r>
      <w:r>
        <w:rPr>
          <w:color w:val="000000" w:themeColor="text1"/>
          <w:sz w:val="20"/>
          <w:szCs w:val="20"/>
        </w:rPr>
        <w:t>,</w:t>
      </w:r>
      <w:r w:rsidRPr="008C041F">
        <w:rPr>
          <w:color w:val="000000" w:themeColor="text1"/>
          <w:sz w:val="20"/>
          <w:szCs w:val="20"/>
        </w:rPr>
        <w:t xml:space="preserve"> define </w:t>
      </w:r>
      <w:r w:rsidRPr="009D3489">
        <w:rPr>
          <w:bCs/>
          <w:color w:val="000000" w:themeColor="text1"/>
          <w:sz w:val="20"/>
          <w:szCs w:val="20"/>
          <w:lang w:eastAsia="en-GB"/>
        </w:rPr>
        <w:t>market systems approaches as ‘</w:t>
      </w:r>
      <w:r w:rsidRPr="009D3489">
        <w:rPr>
          <w:color w:val="000000" w:themeColor="text1"/>
          <w:sz w:val="20"/>
          <w:szCs w:val="20"/>
          <w:shd w:val="clear" w:color="auto" w:fill="FFFFFF"/>
          <w:lang w:eastAsia="en-GB"/>
        </w:rPr>
        <w:t>approaches to poverty reduction based on the central idea that the poor are dependent on market systems for their livelihoods. Therefore, changing those market systems to work more effectively and sustainably for the poor will improve their livelihoods and consequently reduce poverty’</w:t>
      </w:r>
      <w:r>
        <w:rPr>
          <w:color w:val="000000" w:themeColor="text1"/>
          <w:sz w:val="20"/>
          <w:szCs w:val="20"/>
          <w:shd w:val="clear" w:color="auto" w:fill="FFFFFF"/>
          <w:lang w:eastAsia="en-GB"/>
        </w:rPr>
        <w:t>.</w:t>
      </w:r>
    </w:p>
  </w:footnote>
  <w:footnote w:id="51">
    <w:p w14:paraId="6CB8A23A" w14:textId="77777777" w:rsidR="00A96CF7" w:rsidRPr="00C16C96" w:rsidRDefault="00A96CF7" w:rsidP="00DB2888">
      <w:pPr>
        <w:spacing w:line="360" w:lineRule="auto"/>
        <w:jc w:val="both"/>
        <w:rPr>
          <w:sz w:val="20"/>
          <w:szCs w:val="20"/>
        </w:rPr>
      </w:pPr>
      <w:r w:rsidRPr="00C16C96">
        <w:rPr>
          <w:rStyle w:val="FootnoteReference"/>
          <w:sz w:val="20"/>
          <w:szCs w:val="20"/>
        </w:rPr>
        <w:footnoteRef/>
      </w:r>
      <w:r w:rsidRPr="00C16C96">
        <w:rPr>
          <w:sz w:val="20"/>
          <w:szCs w:val="20"/>
        </w:rPr>
        <w:t xml:space="preserve"> For an extensive assessment of the gender im</w:t>
      </w:r>
      <w:r>
        <w:rPr>
          <w:sz w:val="20"/>
          <w:szCs w:val="20"/>
        </w:rPr>
        <w:t xml:space="preserve">pacts of FT see Smith </w:t>
      </w:r>
      <w:r w:rsidRPr="00C16C96">
        <w:rPr>
          <w:sz w:val="20"/>
          <w:szCs w:val="20"/>
        </w:rPr>
        <w:t>(2013).</w:t>
      </w:r>
    </w:p>
    <w:p w14:paraId="02346A15" w14:textId="77777777" w:rsidR="00A96CF7" w:rsidRDefault="00A96CF7" w:rsidP="00DB2888">
      <w:pPr>
        <w:pStyle w:val="FootnoteText"/>
      </w:pPr>
    </w:p>
  </w:footnote>
  <w:footnote w:id="52">
    <w:p w14:paraId="38A9F409" w14:textId="447FD652" w:rsidR="00A96CF7" w:rsidRDefault="00A96CF7">
      <w:pPr>
        <w:pStyle w:val="FootnoteText"/>
      </w:pPr>
      <w:r w:rsidRPr="00663534">
        <w:rPr>
          <w:rStyle w:val="FootnoteReference"/>
          <w:sz w:val="20"/>
        </w:rPr>
        <w:footnoteRef/>
      </w:r>
      <w:r w:rsidRPr="00663534">
        <w:rPr>
          <w:sz w:val="20"/>
        </w:rPr>
        <w:t xml:space="preserve"> </w:t>
      </w:r>
      <w:r w:rsidRPr="00663534">
        <w:rPr>
          <w:sz w:val="20"/>
          <w:szCs w:val="20"/>
          <w:lang w:val="en-GB"/>
        </w:rPr>
        <w:t xml:space="preserve">Whilst I found these five feminist research points by Doucet and Mauther (2006) a useful way to structure my feminist approach to my methodology, I also acknowledge that there is plethora of other research methodologies such as critical action research, which engages with methodology. Thus point number two in Doucet and Mauthners’ list is not something exclusive to feminist research. I acknowledge and celebrate the </w:t>
      </w:r>
      <w:r w:rsidRPr="00663534">
        <w:rPr>
          <w:sz w:val="20"/>
          <w:szCs w:val="20"/>
        </w:rPr>
        <w:t>many different ethical and/or self-reflexive research practices of which feminist research is one. Feminist research practice is part of this movement to be critically reflective and motivated to give voice to the the less powerful, often women.</w:t>
      </w:r>
    </w:p>
  </w:footnote>
  <w:footnote w:id="53">
    <w:p w14:paraId="73D0BE71" w14:textId="014E953E" w:rsidR="00A96CF7" w:rsidRPr="007A3A29" w:rsidRDefault="00A96CF7">
      <w:pPr>
        <w:pStyle w:val="FootnoteText"/>
        <w:rPr>
          <w:sz w:val="20"/>
          <w:szCs w:val="20"/>
          <w:lang w:val="en-GB"/>
        </w:rPr>
      </w:pPr>
      <w:r w:rsidRPr="00AA25A9">
        <w:rPr>
          <w:rStyle w:val="FootnoteReference"/>
          <w:sz w:val="20"/>
        </w:rPr>
        <w:footnoteRef/>
      </w:r>
      <w:r>
        <w:t xml:space="preserve"> </w:t>
      </w:r>
      <w:r w:rsidRPr="00AE09EA">
        <w:rPr>
          <w:sz w:val="20"/>
          <w:szCs w:val="20"/>
          <w:lang w:val="en-GB"/>
        </w:rPr>
        <w:t>Feminist research</w:t>
      </w:r>
      <w:r>
        <w:rPr>
          <w:sz w:val="20"/>
          <w:szCs w:val="20"/>
          <w:lang w:val="en-GB"/>
        </w:rPr>
        <w:t>,</w:t>
      </w:r>
      <w:r w:rsidRPr="00AE09EA">
        <w:rPr>
          <w:sz w:val="20"/>
          <w:szCs w:val="20"/>
          <w:lang w:val="en-GB"/>
        </w:rPr>
        <w:t xml:space="preserve"> as opposed to research </w:t>
      </w:r>
      <w:r>
        <w:rPr>
          <w:sz w:val="20"/>
          <w:szCs w:val="20"/>
          <w:lang w:val="en-GB"/>
        </w:rPr>
        <w:t>that</w:t>
      </w:r>
      <w:r w:rsidRPr="00AE09EA">
        <w:rPr>
          <w:sz w:val="20"/>
          <w:szCs w:val="20"/>
          <w:lang w:val="en-GB"/>
        </w:rPr>
        <w:t xml:space="preserve"> looks at gender</w:t>
      </w:r>
      <w:r>
        <w:rPr>
          <w:sz w:val="20"/>
          <w:szCs w:val="20"/>
          <w:lang w:val="en-GB"/>
        </w:rPr>
        <w:t>,</w:t>
      </w:r>
      <w:r w:rsidRPr="00AD1901">
        <w:t xml:space="preserve"> </w:t>
      </w:r>
      <w:r w:rsidRPr="00AD1901">
        <w:rPr>
          <w:sz w:val="20"/>
          <w:szCs w:val="20"/>
          <w:lang w:val="en-GB"/>
        </w:rPr>
        <w:t>is an epistemic perspective</w:t>
      </w:r>
      <w:r>
        <w:rPr>
          <w:sz w:val="20"/>
          <w:szCs w:val="20"/>
          <w:lang w:val="en-GB"/>
        </w:rPr>
        <w:t>, whereas research</w:t>
      </w:r>
      <w:r w:rsidRPr="00AD1901">
        <w:rPr>
          <w:sz w:val="20"/>
          <w:szCs w:val="20"/>
          <w:lang w:val="en-GB"/>
        </w:rPr>
        <w:t xml:space="preserve"> on gender is more about the subject area (gender relations of both men and women)</w:t>
      </w:r>
      <w:r>
        <w:rPr>
          <w:sz w:val="20"/>
          <w:szCs w:val="20"/>
          <w:lang w:val="en-GB"/>
        </w:rPr>
        <w:t>. Whilst gender research may analyse</w:t>
      </w:r>
      <w:r w:rsidRPr="00AE09EA">
        <w:rPr>
          <w:sz w:val="20"/>
          <w:szCs w:val="20"/>
          <w:lang w:val="en-GB"/>
        </w:rPr>
        <w:t xml:space="preserve"> a programme</w:t>
      </w:r>
      <w:r>
        <w:rPr>
          <w:sz w:val="20"/>
          <w:szCs w:val="20"/>
          <w:lang w:val="en-GB"/>
        </w:rPr>
        <w:t>’</w:t>
      </w:r>
      <w:r w:rsidRPr="00AE09EA">
        <w:rPr>
          <w:sz w:val="20"/>
          <w:szCs w:val="20"/>
          <w:lang w:val="en-GB"/>
        </w:rPr>
        <w:t>s ability to increase women’s productivity in rel</w:t>
      </w:r>
      <w:r>
        <w:rPr>
          <w:sz w:val="20"/>
          <w:szCs w:val="20"/>
          <w:lang w:val="en-GB"/>
        </w:rPr>
        <w:t xml:space="preserve">ation to global economies, they do not necessarily need to </w:t>
      </w:r>
      <w:r w:rsidRPr="00AE09EA">
        <w:rPr>
          <w:sz w:val="20"/>
          <w:szCs w:val="20"/>
          <w:lang w:val="en-GB"/>
        </w:rPr>
        <w:t>understand how t</w:t>
      </w:r>
      <w:r>
        <w:rPr>
          <w:sz w:val="20"/>
          <w:szCs w:val="20"/>
          <w:lang w:val="en-GB"/>
        </w:rPr>
        <w:t>hese programmes provide an enormous</w:t>
      </w:r>
      <w:r w:rsidRPr="00AE09EA">
        <w:rPr>
          <w:sz w:val="20"/>
          <w:szCs w:val="20"/>
          <w:lang w:val="en-GB"/>
        </w:rPr>
        <w:t xml:space="preserve"> burden </w:t>
      </w:r>
      <w:r>
        <w:rPr>
          <w:sz w:val="20"/>
          <w:szCs w:val="20"/>
          <w:lang w:val="en-GB"/>
        </w:rPr>
        <w:t>on women (Podems, 2010, p. 8)</w:t>
      </w:r>
      <w:r w:rsidRPr="00AE09EA">
        <w:rPr>
          <w:sz w:val="20"/>
          <w:szCs w:val="20"/>
          <w:lang w:val="en-GB"/>
        </w:rPr>
        <w:t xml:space="preserve">. </w:t>
      </w:r>
      <w:r>
        <w:rPr>
          <w:sz w:val="20"/>
          <w:szCs w:val="20"/>
          <w:lang w:val="en-GB"/>
        </w:rPr>
        <w:t>Gender and feminist research are different but can also provide nuanced understandings which are mutually beneficially.</w:t>
      </w:r>
    </w:p>
  </w:footnote>
  <w:footnote w:id="54">
    <w:p w14:paraId="54F48C44" w14:textId="74527A16" w:rsidR="00A96CF7" w:rsidRPr="00B8734B" w:rsidRDefault="00A96CF7" w:rsidP="00181E66">
      <w:pPr>
        <w:pStyle w:val="FootnoteText"/>
        <w:rPr>
          <w:sz w:val="20"/>
          <w:szCs w:val="20"/>
        </w:rPr>
      </w:pPr>
      <w:r w:rsidRPr="00B8734B">
        <w:rPr>
          <w:rStyle w:val="FootnoteReference"/>
          <w:sz w:val="20"/>
          <w:szCs w:val="20"/>
        </w:rPr>
        <w:footnoteRef/>
      </w:r>
      <w:r w:rsidRPr="00B8734B">
        <w:rPr>
          <w:sz w:val="20"/>
          <w:szCs w:val="20"/>
        </w:rPr>
        <w:t xml:space="preserve"> As Cornwall (</w:t>
      </w:r>
      <w:r>
        <w:rPr>
          <w:sz w:val="20"/>
          <w:szCs w:val="20"/>
        </w:rPr>
        <w:t>2012) and Elson (2002) discuss</w:t>
      </w:r>
      <w:r w:rsidRPr="00B8734B">
        <w:rPr>
          <w:sz w:val="20"/>
          <w:szCs w:val="20"/>
        </w:rPr>
        <w:t>, ‘</w:t>
      </w:r>
      <w:r>
        <w:rPr>
          <w:sz w:val="20"/>
          <w:szCs w:val="20"/>
        </w:rPr>
        <w:t>p</w:t>
      </w:r>
      <w:r w:rsidRPr="00B8734B">
        <w:rPr>
          <w:sz w:val="20"/>
          <w:szCs w:val="20"/>
        </w:rPr>
        <w:t>erverse male bias in local institutions’, is particularly prevalent in cooperative level culture, and it is not only evident at local and national levels, but also on other structural levels (</w:t>
      </w:r>
      <w:r>
        <w:rPr>
          <w:sz w:val="20"/>
          <w:szCs w:val="20"/>
        </w:rPr>
        <w:t xml:space="preserve">e.g., </w:t>
      </w:r>
      <w:r w:rsidRPr="00B8734B">
        <w:rPr>
          <w:sz w:val="20"/>
          <w:szCs w:val="20"/>
        </w:rPr>
        <w:t>gendered economy, etc.). I acknowledge that because of local patriarchy and structures of constraint, I could never fully achieve a wholly participatory process.</w:t>
      </w:r>
    </w:p>
  </w:footnote>
  <w:footnote w:id="55">
    <w:p w14:paraId="61D8B63E" w14:textId="77777777" w:rsidR="00A96CF7" w:rsidRPr="00FF5895" w:rsidRDefault="00A96CF7" w:rsidP="006E3F97">
      <w:pPr>
        <w:pStyle w:val="FootnoteText"/>
      </w:pPr>
      <w:r w:rsidRPr="00293176">
        <w:rPr>
          <w:rStyle w:val="FootnoteReference"/>
          <w:sz w:val="20"/>
        </w:rPr>
        <w:footnoteRef/>
      </w:r>
      <w:r w:rsidRPr="00293176">
        <w:rPr>
          <w:sz w:val="20"/>
        </w:rPr>
        <w:t xml:space="preserve"> See more here about the partnership and its goals: </w:t>
      </w:r>
      <w:hyperlink r:id="rId10" w:history="1">
        <w:r w:rsidRPr="00293176">
          <w:rPr>
            <w:rStyle w:val="Hyperlink"/>
            <w:rFonts w:eastAsiaTheme="minorEastAsia"/>
            <w:sz w:val="20"/>
          </w:rPr>
          <w:t>http://www.coffeeinstitute.org/our-work/partnership-for-gender-equity/</w:t>
        </w:r>
      </w:hyperlink>
    </w:p>
  </w:footnote>
  <w:footnote w:id="56">
    <w:p w14:paraId="3FEDA406" w14:textId="0EF2F547" w:rsidR="00A96CF7" w:rsidRPr="00663534" w:rsidRDefault="00A96CF7" w:rsidP="00293176">
      <w:pPr>
        <w:rPr>
          <w:sz w:val="20"/>
          <w:szCs w:val="20"/>
          <w:lang w:eastAsia="en-GB"/>
        </w:rPr>
      </w:pPr>
      <w:r w:rsidRPr="00663534">
        <w:rPr>
          <w:rStyle w:val="FootnoteReference"/>
          <w:sz w:val="20"/>
          <w:szCs w:val="20"/>
        </w:rPr>
        <w:footnoteRef/>
      </w:r>
      <w:r>
        <w:rPr>
          <w:sz w:val="20"/>
          <w:szCs w:val="20"/>
        </w:rPr>
        <w:t xml:space="preserve"> For a edtailed discussion on conducting TUS and reviews of different methods, see United Nations Statistical Division (2005). </w:t>
      </w:r>
      <w:r w:rsidRPr="00663534">
        <w:rPr>
          <w:sz w:val="20"/>
          <w:szCs w:val="20"/>
        </w:rPr>
        <w:t xml:space="preserve"> </w:t>
      </w:r>
    </w:p>
    <w:p w14:paraId="1ABA5F56" w14:textId="77777777" w:rsidR="00A96CF7" w:rsidRPr="00225722" w:rsidRDefault="00A96CF7" w:rsidP="002C707D">
      <w:pPr>
        <w:pStyle w:val="FootnoteText"/>
        <w:rPr>
          <w:lang w:val="en-GB"/>
        </w:rPr>
      </w:pPr>
    </w:p>
  </w:footnote>
  <w:footnote w:id="57">
    <w:p w14:paraId="7AE82D6C" w14:textId="483A28FA" w:rsidR="00A96CF7" w:rsidRPr="00A61925" w:rsidRDefault="00A96CF7" w:rsidP="00293176">
      <w:pPr>
        <w:rPr>
          <w:sz w:val="20"/>
          <w:szCs w:val="20"/>
        </w:rPr>
      </w:pPr>
      <w:r w:rsidRPr="00A61925">
        <w:rPr>
          <w:rStyle w:val="FootnoteReference"/>
          <w:sz w:val="20"/>
        </w:rPr>
        <w:footnoteRef/>
      </w:r>
      <w:r w:rsidRPr="00A61925">
        <w:rPr>
          <w:sz w:val="20"/>
        </w:rPr>
        <w:t xml:space="preserve"> Chambers (1981) argue</w:t>
      </w:r>
      <w:r>
        <w:rPr>
          <w:sz w:val="20"/>
        </w:rPr>
        <w:t>s</w:t>
      </w:r>
      <w:r w:rsidRPr="00A61925">
        <w:rPr>
          <w:sz w:val="20"/>
        </w:rPr>
        <w:t>: ‘Decision makers need the right information at the right time but in rural development much information generated is too costly and inappropriate</w:t>
      </w:r>
      <w:r>
        <w:rPr>
          <w:sz w:val="20"/>
        </w:rPr>
        <w:t>…</w:t>
      </w:r>
      <w:r w:rsidRPr="00A61925">
        <w:rPr>
          <w:sz w:val="20"/>
          <w:szCs w:val="20"/>
        </w:rPr>
        <w:t xml:space="preserve">To do this means ignoring inappropriate professional standards and instead applying a new rigour based on the two </w:t>
      </w:r>
      <w:r>
        <w:rPr>
          <w:sz w:val="20"/>
          <w:szCs w:val="20"/>
        </w:rPr>
        <w:t>p</w:t>
      </w:r>
      <w:r w:rsidRPr="00A61925">
        <w:rPr>
          <w:sz w:val="20"/>
          <w:szCs w:val="20"/>
        </w:rPr>
        <w:t>rinciples of optimal ignorance</w:t>
      </w:r>
      <w:r>
        <w:rPr>
          <w:sz w:val="20"/>
          <w:szCs w:val="20"/>
        </w:rPr>
        <w:t xml:space="preserve"> – </w:t>
      </w:r>
      <w:r w:rsidRPr="00A61925">
        <w:rPr>
          <w:sz w:val="20"/>
          <w:szCs w:val="20"/>
        </w:rPr>
        <w:t>knowing what it is not worth knowing</w:t>
      </w:r>
      <w:r>
        <w:rPr>
          <w:sz w:val="20"/>
          <w:szCs w:val="20"/>
        </w:rPr>
        <w:t xml:space="preserve"> – </w:t>
      </w:r>
      <w:r w:rsidRPr="00A61925">
        <w:rPr>
          <w:sz w:val="20"/>
          <w:szCs w:val="20"/>
        </w:rPr>
        <w:t>and proportionate accuracy</w:t>
      </w:r>
      <w:r>
        <w:rPr>
          <w:sz w:val="20"/>
          <w:szCs w:val="20"/>
        </w:rPr>
        <w:t xml:space="preserve"> – </w:t>
      </w:r>
      <w:r w:rsidRPr="00A61925">
        <w:rPr>
          <w:sz w:val="20"/>
          <w:szCs w:val="20"/>
        </w:rPr>
        <w:t>recognising the degree of accuracy require</w:t>
      </w:r>
      <w:r w:rsidRPr="00A215EF">
        <w:rPr>
          <w:sz w:val="20"/>
          <w:szCs w:val="20"/>
        </w:rPr>
        <w:t>d</w:t>
      </w:r>
      <w:r>
        <w:rPr>
          <w:sz w:val="20"/>
          <w:szCs w:val="20"/>
        </w:rPr>
        <w:t>’ (p. 95).</w:t>
      </w:r>
    </w:p>
    <w:p w14:paraId="38237781" w14:textId="77777777" w:rsidR="00A96CF7" w:rsidRPr="00A61925" w:rsidRDefault="00A96CF7" w:rsidP="002C707D">
      <w:pPr>
        <w:pStyle w:val="FootnoteText"/>
      </w:pPr>
    </w:p>
  </w:footnote>
  <w:footnote w:id="58">
    <w:p w14:paraId="43AC5FA9" w14:textId="7A42C7B9" w:rsidR="00A96CF7" w:rsidRPr="00A61925" w:rsidRDefault="00A96CF7" w:rsidP="002C707D">
      <w:pPr>
        <w:pStyle w:val="FootnoteText"/>
      </w:pPr>
      <w:r w:rsidRPr="00293176">
        <w:rPr>
          <w:rStyle w:val="FootnoteReference"/>
          <w:sz w:val="20"/>
        </w:rPr>
        <w:footnoteRef/>
      </w:r>
      <w:r w:rsidRPr="00293176">
        <w:rPr>
          <w:sz w:val="20"/>
        </w:rPr>
        <w:t xml:space="preserve"> Some families did not produce coffee or sesame</w:t>
      </w:r>
      <w:r>
        <w:rPr>
          <w:sz w:val="20"/>
        </w:rPr>
        <w:t>,</w:t>
      </w:r>
      <w:r w:rsidRPr="00293176">
        <w:rPr>
          <w:sz w:val="20"/>
        </w:rPr>
        <w:t xml:space="preserve"> but </w:t>
      </w:r>
      <w:r>
        <w:rPr>
          <w:sz w:val="20"/>
        </w:rPr>
        <w:t xml:space="preserve">rather </w:t>
      </w:r>
      <w:r w:rsidRPr="00293176">
        <w:rPr>
          <w:sz w:val="20"/>
        </w:rPr>
        <w:t>produce basic grains</w:t>
      </w:r>
      <w:r>
        <w:rPr>
          <w:sz w:val="20"/>
        </w:rPr>
        <w:t xml:space="preserve"> and </w:t>
      </w:r>
      <w:r w:rsidRPr="00293176">
        <w:rPr>
          <w:sz w:val="20"/>
        </w:rPr>
        <w:t>were able to access the initiative either due to being a member of the cooperative or because they lived in a community where the cooperative was active.</w:t>
      </w:r>
    </w:p>
  </w:footnote>
  <w:footnote w:id="59">
    <w:p w14:paraId="46DEC164" w14:textId="3DB7EE26" w:rsidR="00A96CF7" w:rsidRPr="00293176" w:rsidRDefault="00A96CF7" w:rsidP="00293176">
      <w:pPr>
        <w:rPr>
          <w:color w:val="000000" w:themeColor="text1"/>
          <w:sz w:val="20"/>
          <w:szCs w:val="20"/>
          <w:shd w:val="clear" w:color="auto" w:fill="FFFFFF"/>
          <w:lang w:eastAsia="en-GB"/>
        </w:rPr>
      </w:pPr>
      <w:r w:rsidRPr="00293176">
        <w:rPr>
          <w:rStyle w:val="FootnoteReference"/>
          <w:sz w:val="20"/>
          <w:szCs w:val="20"/>
        </w:rPr>
        <w:footnoteRef/>
      </w:r>
      <w:r w:rsidRPr="00293176">
        <w:rPr>
          <w:sz w:val="20"/>
          <w:szCs w:val="20"/>
        </w:rPr>
        <w:t xml:space="preserve"> </w:t>
      </w:r>
      <w:r w:rsidRPr="008C041F">
        <w:rPr>
          <w:rFonts w:eastAsiaTheme="minorHAnsi"/>
          <w:color w:val="000000" w:themeColor="text1"/>
          <w:sz w:val="20"/>
          <w:szCs w:val="20"/>
        </w:rPr>
        <w:t>The Community Agroecology Network (CAN)</w:t>
      </w:r>
      <w:r>
        <w:rPr>
          <w:rFonts w:eastAsiaTheme="minorHAnsi"/>
          <w:color w:val="000000" w:themeColor="text1"/>
          <w:sz w:val="20"/>
          <w:szCs w:val="20"/>
        </w:rPr>
        <w:t xml:space="preserve"> is</w:t>
      </w:r>
      <w:r w:rsidRPr="008C041F">
        <w:rPr>
          <w:rFonts w:eastAsiaTheme="minorHAnsi"/>
          <w:color w:val="000000" w:themeColor="text1"/>
          <w:sz w:val="20"/>
          <w:szCs w:val="20"/>
        </w:rPr>
        <w:t xml:space="preserve"> </w:t>
      </w:r>
      <w:r w:rsidRPr="00B720FD">
        <w:rPr>
          <w:rFonts w:eastAsiaTheme="minorHAnsi"/>
          <w:color w:val="000000" w:themeColor="text1"/>
          <w:sz w:val="20"/>
          <w:szCs w:val="20"/>
          <w:shd w:val="clear" w:color="auto" w:fill="FFFFFF"/>
          <w:lang w:eastAsia="en-GB"/>
        </w:rPr>
        <w:t>an international network committed to sustaining rural livelihoods and environments by integrating research, education and locally-informed development strategies. CAN works in eight regions of Mexico and Central America. In the case study of San Ramon, it has a strong evidence through action research and the development of an agro</w:t>
      </w:r>
      <w:r>
        <w:rPr>
          <w:rFonts w:eastAsiaTheme="minorHAnsi"/>
          <w:color w:val="000000" w:themeColor="text1"/>
          <w:sz w:val="20"/>
          <w:szCs w:val="20"/>
          <w:shd w:val="clear" w:color="auto" w:fill="FFFFFF"/>
          <w:lang w:eastAsia="en-GB"/>
        </w:rPr>
        <w:t>-</w:t>
      </w:r>
      <w:r w:rsidRPr="00B720FD">
        <w:rPr>
          <w:rFonts w:eastAsiaTheme="minorHAnsi"/>
          <w:color w:val="000000" w:themeColor="text1"/>
          <w:sz w:val="20"/>
          <w:szCs w:val="20"/>
          <w:shd w:val="clear" w:color="auto" w:fill="FFFFFF"/>
          <w:lang w:eastAsia="en-GB"/>
        </w:rPr>
        <w:t>coffee with a coffee roaster in Santa Cruz. CAN acts as intermediary between the buyer and the farmers. See more about the model here:</w:t>
      </w:r>
      <w:r w:rsidRPr="00B720FD">
        <w:rPr>
          <w:color w:val="000000" w:themeColor="text1"/>
          <w:sz w:val="20"/>
          <w:szCs w:val="20"/>
          <w:shd w:val="clear" w:color="auto" w:fill="FFFFFF"/>
          <w:lang w:eastAsia="en-GB"/>
        </w:rPr>
        <w:t xml:space="preserve"> </w:t>
      </w:r>
      <w:hyperlink r:id="rId11" w:history="1">
        <w:r w:rsidRPr="00B720FD">
          <w:rPr>
            <w:rStyle w:val="Hyperlink"/>
            <w:rFonts w:eastAsiaTheme="minorEastAsia"/>
            <w:color w:val="000000" w:themeColor="text1"/>
            <w:sz w:val="20"/>
            <w:szCs w:val="20"/>
            <w:shd w:val="clear" w:color="auto" w:fill="FFFFFF"/>
            <w:lang w:eastAsia="en-GB"/>
          </w:rPr>
          <w:t>https://canunite.org/our-work/alternative-trade-model-agroeco-coffee/</w:t>
        </w:r>
      </w:hyperlink>
    </w:p>
    <w:p w14:paraId="6AAE01DA" w14:textId="77777777" w:rsidR="00A96CF7" w:rsidRPr="00225722" w:rsidRDefault="00A96CF7" w:rsidP="002C707D">
      <w:pPr>
        <w:rPr>
          <w:rFonts w:asciiTheme="minorHAnsi" w:eastAsiaTheme="minorHAnsi" w:hAnsiTheme="minorHAnsi" w:cstheme="minorBidi"/>
          <w:lang w:eastAsia="en-GB"/>
        </w:rPr>
      </w:pPr>
    </w:p>
    <w:p w14:paraId="3089F0F2" w14:textId="77777777" w:rsidR="00A96CF7" w:rsidRPr="00606200" w:rsidRDefault="00A96CF7" w:rsidP="002C707D">
      <w:pPr>
        <w:pStyle w:val="FootnoteText"/>
        <w:rPr>
          <w:color w:val="FF0000"/>
        </w:rPr>
      </w:pPr>
    </w:p>
  </w:footnote>
  <w:footnote w:id="60">
    <w:p w14:paraId="29B89818" w14:textId="032B2E0D" w:rsidR="00A96CF7" w:rsidRPr="00F8269F" w:rsidRDefault="00A96CF7" w:rsidP="006D76AB">
      <w:pPr>
        <w:jc w:val="both"/>
      </w:pPr>
      <w:r w:rsidRPr="00F925B5">
        <w:rPr>
          <w:rStyle w:val="FootnoteReference"/>
          <w:sz w:val="20"/>
        </w:rPr>
        <w:footnoteRef/>
      </w:r>
      <w:r>
        <w:rPr>
          <w:sz w:val="20"/>
        </w:rPr>
        <w:t xml:space="preserve"> See</w:t>
      </w:r>
      <w:r w:rsidRPr="00F925B5">
        <w:rPr>
          <w:sz w:val="20"/>
        </w:rPr>
        <w:t xml:space="preserve"> </w:t>
      </w:r>
      <w:r w:rsidRPr="00F925B5">
        <w:rPr>
          <w:color w:val="000000" w:themeColor="text1"/>
          <w:sz w:val="20"/>
          <w:shd w:val="clear" w:color="auto" w:fill="FFFFFF"/>
        </w:rPr>
        <w:t>Bowes</w:t>
      </w:r>
      <w:r>
        <w:rPr>
          <w:color w:val="000000" w:themeColor="text1"/>
          <w:sz w:val="20"/>
          <w:shd w:val="clear" w:color="auto" w:fill="FFFFFF"/>
        </w:rPr>
        <w:t xml:space="preserve">, </w:t>
      </w:r>
      <w:r w:rsidRPr="00F925B5">
        <w:rPr>
          <w:color w:val="000000" w:themeColor="text1"/>
          <w:sz w:val="20"/>
          <w:shd w:val="clear" w:color="auto" w:fill="FFFFFF"/>
        </w:rPr>
        <w:t>2011, p. 58</w:t>
      </w:r>
      <w:r>
        <w:rPr>
          <w:color w:val="000000" w:themeColor="text1"/>
          <w:sz w:val="20"/>
          <w:shd w:val="clear" w:color="auto" w:fill="FFFFFF"/>
        </w:rPr>
        <w:t>.</w:t>
      </w:r>
    </w:p>
  </w:footnote>
  <w:footnote w:id="61">
    <w:p w14:paraId="29AFA11E" w14:textId="4A63B74E" w:rsidR="00A96CF7" w:rsidRPr="00293176" w:rsidRDefault="00A96CF7" w:rsidP="006D76AB">
      <w:pPr>
        <w:pStyle w:val="p1"/>
        <w:rPr>
          <w:rFonts w:ascii="Times New Roman" w:hAnsi="Times New Roman" w:cs="Times New Roman"/>
          <w:sz w:val="20"/>
          <w:szCs w:val="20"/>
        </w:rPr>
      </w:pPr>
      <w:r w:rsidRPr="00293176">
        <w:rPr>
          <w:rStyle w:val="FootnoteReference"/>
          <w:rFonts w:ascii="Times New Roman" w:hAnsi="Times New Roman" w:cs="Times New Roman"/>
          <w:sz w:val="20"/>
          <w:szCs w:val="20"/>
        </w:rPr>
        <w:footnoteRef/>
      </w:r>
      <w:r w:rsidRPr="00293176">
        <w:rPr>
          <w:rFonts w:ascii="Times New Roman" w:hAnsi="Times New Roman" w:cs="Times New Roman"/>
          <w:sz w:val="20"/>
          <w:szCs w:val="20"/>
        </w:rPr>
        <w:t xml:space="preserve"> The government has been recently condemned by </w:t>
      </w:r>
      <w:r>
        <w:rPr>
          <w:rFonts w:ascii="Times New Roman" w:hAnsi="Times New Roman" w:cs="Times New Roman"/>
          <w:sz w:val="20"/>
          <w:szCs w:val="20"/>
        </w:rPr>
        <w:t>nongovernment organizations (NGOs)</w:t>
      </w:r>
      <w:r w:rsidRPr="00293176">
        <w:rPr>
          <w:rFonts w:ascii="Times New Roman" w:hAnsi="Times New Roman" w:cs="Times New Roman"/>
          <w:sz w:val="20"/>
          <w:szCs w:val="20"/>
        </w:rPr>
        <w:t xml:space="preserve"> and international organizations</w:t>
      </w:r>
      <w:r>
        <w:rPr>
          <w:rFonts w:ascii="Times New Roman" w:hAnsi="Times New Roman" w:cs="Times New Roman"/>
          <w:sz w:val="20"/>
          <w:szCs w:val="20"/>
        </w:rPr>
        <w:t>,</w:t>
      </w:r>
      <w:r w:rsidRPr="00293176">
        <w:rPr>
          <w:rFonts w:ascii="Times New Roman" w:hAnsi="Times New Roman" w:cs="Times New Roman"/>
          <w:sz w:val="20"/>
          <w:szCs w:val="20"/>
        </w:rPr>
        <w:t xml:space="preserve"> such as HIVOS</w:t>
      </w:r>
      <w:r>
        <w:rPr>
          <w:rFonts w:ascii="Times New Roman" w:hAnsi="Times New Roman" w:cs="Times New Roman"/>
          <w:sz w:val="20"/>
          <w:szCs w:val="20"/>
        </w:rPr>
        <w:t>,</w:t>
      </w:r>
      <w:r w:rsidRPr="00293176">
        <w:rPr>
          <w:rFonts w:ascii="Times New Roman" w:hAnsi="Times New Roman" w:cs="Times New Roman"/>
          <w:sz w:val="20"/>
          <w:szCs w:val="20"/>
        </w:rPr>
        <w:t xml:space="preserve"> for its obstruction of human rights work and the arbitrary arrests of human rights defender</w:t>
      </w:r>
      <w:r>
        <w:rPr>
          <w:rFonts w:ascii="Times New Roman" w:hAnsi="Times New Roman" w:cs="Times New Roman"/>
          <w:sz w:val="20"/>
          <w:szCs w:val="20"/>
        </w:rPr>
        <w:t>s (s</w:t>
      </w:r>
      <w:r w:rsidRPr="00293176">
        <w:rPr>
          <w:rFonts w:ascii="Times New Roman" w:hAnsi="Times New Roman" w:cs="Times New Roman"/>
          <w:sz w:val="20"/>
          <w:szCs w:val="20"/>
        </w:rPr>
        <w:t xml:space="preserve">ee HIVOS, September 5, 2017: </w:t>
      </w:r>
      <w:hyperlink r:id="rId12" w:history="1">
        <w:r w:rsidRPr="00293176">
          <w:rPr>
            <w:rStyle w:val="Hyperlink"/>
            <w:rFonts w:ascii="Times New Roman" w:hAnsi="Times New Roman" w:cs="Times New Roman"/>
            <w:sz w:val="20"/>
            <w:szCs w:val="20"/>
          </w:rPr>
          <w:t>https://latin-america.hivos.org/pronunciamiento-emergencia-de-derechos-humanos-en-centroamerica</w:t>
        </w:r>
      </w:hyperlink>
      <w:r>
        <w:rPr>
          <w:rFonts w:ascii="Times New Roman" w:hAnsi="Times New Roman" w:cs="Times New Roman"/>
          <w:sz w:val="20"/>
          <w:szCs w:val="20"/>
        </w:rPr>
        <w:t>).</w:t>
      </w:r>
      <w:r w:rsidRPr="00293176">
        <w:rPr>
          <w:rFonts w:ascii="Times New Roman" w:hAnsi="Times New Roman" w:cs="Times New Roman"/>
          <w:sz w:val="20"/>
          <w:szCs w:val="20"/>
        </w:rPr>
        <w:t xml:space="preserve"> In early October 2008, the Nicaraguan government raided the offices of 15 NGOs in the country, including three women’s rights groups. The current president, FSLN leader Daniel Ortega, once allied with the social justice movements in the country, has recently had an antagonistic relationship with these groups (Lambert, 2010, p. 76).</w:t>
      </w:r>
    </w:p>
  </w:footnote>
  <w:footnote w:id="62">
    <w:p w14:paraId="7F3CD259" w14:textId="6E7C0A6B" w:rsidR="00A96CF7" w:rsidRPr="004753CD" w:rsidRDefault="00A96CF7" w:rsidP="0004045F">
      <w:pPr>
        <w:pStyle w:val="FootnoteText"/>
        <w:rPr>
          <w:lang w:val="en-GB"/>
        </w:rPr>
      </w:pPr>
      <w:r w:rsidRPr="00F925B5">
        <w:rPr>
          <w:rStyle w:val="FootnoteReference"/>
          <w:sz w:val="20"/>
          <w:szCs w:val="20"/>
        </w:rPr>
        <w:footnoteRef/>
      </w:r>
      <w:r w:rsidRPr="00F925B5">
        <w:rPr>
          <w:sz w:val="20"/>
          <w:szCs w:val="20"/>
        </w:rPr>
        <w:t xml:space="preserve"> </w:t>
      </w:r>
      <w:r w:rsidRPr="00F8269F">
        <w:rPr>
          <w:sz w:val="20"/>
          <w:szCs w:val="20"/>
          <w:lang w:val="en-GB"/>
        </w:rPr>
        <w:t>Poncela (1996</w:t>
      </w:r>
      <w:r w:rsidRPr="004504AD">
        <w:rPr>
          <w:sz w:val="20"/>
          <w:szCs w:val="20"/>
          <w:lang w:val="en-GB"/>
        </w:rPr>
        <w:t>, p.</w:t>
      </w:r>
      <w:r>
        <w:rPr>
          <w:sz w:val="20"/>
          <w:szCs w:val="20"/>
          <w:lang w:val="en-GB"/>
        </w:rPr>
        <w:t xml:space="preserve"> </w:t>
      </w:r>
      <w:r w:rsidRPr="004504AD">
        <w:rPr>
          <w:sz w:val="20"/>
          <w:szCs w:val="20"/>
          <w:lang w:val="en-GB"/>
        </w:rPr>
        <w:t>57) defines</w:t>
      </w:r>
      <w:r>
        <w:rPr>
          <w:sz w:val="20"/>
          <w:szCs w:val="20"/>
          <w:lang w:val="en-GB"/>
        </w:rPr>
        <w:t xml:space="preserve"> such strategies</w:t>
      </w:r>
      <w:r w:rsidRPr="004504AD">
        <w:rPr>
          <w:sz w:val="20"/>
          <w:szCs w:val="20"/>
          <w:lang w:val="en-GB"/>
        </w:rPr>
        <w:t xml:space="preserve"> </w:t>
      </w:r>
      <w:r>
        <w:rPr>
          <w:sz w:val="20"/>
          <w:szCs w:val="20"/>
          <w:lang w:val="en-GB"/>
        </w:rPr>
        <w:t xml:space="preserve">as </w:t>
      </w:r>
      <w:r w:rsidRPr="004504AD">
        <w:rPr>
          <w:sz w:val="20"/>
          <w:szCs w:val="20"/>
          <w:lang w:val="en-GB"/>
        </w:rPr>
        <w:t>‘</w:t>
      </w:r>
      <w:r w:rsidRPr="004504AD">
        <w:rPr>
          <w:sz w:val="20"/>
          <w:szCs w:val="20"/>
        </w:rPr>
        <w:t>behaviors designed to ensure the material and biological reproduction of the family group through the economic participation of its members. They range from procreation, the life cycle, and migration to the reproduction of the workforce. They include increasing income (generally from the informal sector) and the maximization of financial resources through cooperative networks and work done in the household. The term "strategies" is perhaps an exaggeration; it might be more appropriate to refer to them as actions intended to confront the crisis and cover the necessities of survival. The term is, however, an accepted one, and I therefore use it in these pages. "Strategies of existence" or "family strategies" might be translated on the popular level with the expression the women themselves use: "managing</w:t>
      </w:r>
      <w:r w:rsidRPr="00F8269F">
        <w:rPr>
          <w:sz w:val="20"/>
          <w:szCs w:val="20"/>
        </w:rPr>
        <w:t>"</w:t>
      </w:r>
      <w:r>
        <w:rPr>
          <w:sz w:val="20"/>
          <w:szCs w:val="20"/>
        </w:rPr>
        <w:t>’</w:t>
      </w:r>
      <w:r w:rsidRPr="00F8269F">
        <w:rPr>
          <w:sz w:val="20"/>
          <w:szCs w:val="20"/>
        </w:rPr>
        <w:t>.</w:t>
      </w:r>
      <w:r w:rsidRPr="004504AD">
        <w:rPr>
          <w:sz w:val="20"/>
          <w:szCs w:val="20"/>
        </w:rPr>
        <w:t xml:space="preserve"> </w:t>
      </w:r>
    </w:p>
  </w:footnote>
  <w:footnote w:id="63">
    <w:p w14:paraId="101AF12F" w14:textId="77777777" w:rsidR="00A96CF7" w:rsidRPr="001F64C0" w:rsidRDefault="00A96CF7" w:rsidP="006D76AB">
      <w:pPr>
        <w:pStyle w:val="FootnoteText"/>
        <w:rPr>
          <w:sz w:val="20"/>
          <w:szCs w:val="20"/>
          <w:lang w:val="en-GB"/>
        </w:rPr>
      </w:pPr>
      <w:r w:rsidRPr="001F64C0">
        <w:rPr>
          <w:rStyle w:val="FootnoteReference"/>
          <w:sz w:val="20"/>
          <w:szCs w:val="20"/>
        </w:rPr>
        <w:footnoteRef/>
      </w:r>
      <w:r w:rsidRPr="001F64C0">
        <w:rPr>
          <w:sz w:val="20"/>
          <w:szCs w:val="20"/>
        </w:rPr>
        <w:t xml:space="preserve"> </w:t>
      </w:r>
      <w:r w:rsidRPr="001F64C0">
        <w:rPr>
          <w:sz w:val="20"/>
          <w:szCs w:val="20"/>
          <w:lang w:val="en-GB"/>
        </w:rPr>
        <w:t xml:space="preserve">See these technical notes to see how GII and other UNDP indicators are calculated: </w:t>
      </w:r>
      <w:hyperlink r:id="rId13" w:history="1">
        <w:r w:rsidRPr="001F64C0">
          <w:rPr>
            <w:rStyle w:val="Hyperlink"/>
            <w:sz w:val="20"/>
            <w:szCs w:val="20"/>
            <w:lang w:val="en-GB"/>
          </w:rPr>
          <w:t>http://hdr.undp.org/sites/default/files/hdr2016_technical_notes.pdf</w:t>
        </w:r>
      </w:hyperlink>
      <w:r w:rsidRPr="001F64C0">
        <w:rPr>
          <w:rStyle w:val="Hyperlink"/>
          <w:sz w:val="20"/>
          <w:szCs w:val="20"/>
          <w:lang w:val="en-GB"/>
        </w:rPr>
        <w:t>.</w:t>
      </w:r>
    </w:p>
  </w:footnote>
  <w:footnote w:id="64">
    <w:p w14:paraId="74A34CBF" w14:textId="7DC48743" w:rsidR="00A96CF7" w:rsidRPr="004504AD" w:rsidRDefault="00A96CF7" w:rsidP="006D76AB">
      <w:pPr>
        <w:pStyle w:val="NormalWeb"/>
        <w:spacing w:before="0" w:beforeAutospacing="0" w:after="0" w:afterAutospacing="0"/>
        <w:rPr>
          <w:sz w:val="20"/>
          <w:szCs w:val="20"/>
        </w:rPr>
      </w:pPr>
      <w:r w:rsidRPr="001F64C0">
        <w:rPr>
          <w:rStyle w:val="FootnoteReference"/>
          <w:sz w:val="20"/>
          <w:szCs w:val="20"/>
        </w:rPr>
        <w:footnoteRef/>
      </w:r>
      <w:r w:rsidRPr="001F64C0">
        <w:rPr>
          <w:sz w:val="20"/>
          <w:szCs w:val="20"/>
        </w:rPr>
        <w:t xml:space="preserve"> The GDI reflects gender inequalities in achievement in the same three dimensions of the HDI: health (measured by female and male life expectancy at birth), education (measured by female and male expected years of schooling for children and mean years for adults aged 25 years and older); and command over economic resources (measured by female and male estimated GNI per capita). </w:t>
      </w:r>
    </w:p>
  </w:footnote>
  <w:footnote w:id="65">
    <w:p w14:paraId="37C42FD3" w14:textId="77777777" w:rsidR="00A96CF7" w:rsidRPr="008D0603" w:rsidRDefault="00A96CF7" w:rsidP="006D76AB">
      <w:pPr>
        <w:pStyle w:val="FootnoteText"/>
        <w:rPr>
          <w:sz w:val="20"/>
          <w:szCs w:val="20"/>
        </w:rPr>
      </w:pPr>
      <w:r w:rsidRPr="004504AD">
        <w:rPr>
          <w:rStyle w:val="FootnoteReference"/>
          <w:sz w:val="20"/>
          <w:szCs w:val="20"/>
        </w:rPr>
        <w:footnoteRef/>
      </w:r>
      <w:r w:rsidRPr="004504AD">
        <w:rPr>
          <w:sz w:val="20"/>
          <w:szCs w:val="20"/>
        </w:rPr>
        <w:t xml:space="preserve"> </w:t>
      </w:r>
      <w:r w:rsidRPr="004504AD">
        <w:rPr>
          <w:sz w:val="20"/>
          <w:szCs w:val="20"/>
          <w:lang w:val="en-GB"/>
        </w:rPr>
        <w:t>The report states: ‘</w:t>
      </w:r>
      <w:r w:rsidRPr="004504AD">
        <w:rPr>
          <w:sz w:val="20"/>
          <w:szCs w:val="20"/>
        </w:rPr>
        <w:t>Nicaragua (6) is the best performer in the region and the only country from Latin America and the Caribbean to make it into the top 10, having achieved this for the third consecutive year. Since 2006, the country has recorded the highest improvement to date (20%) having now closed 79% of the gender gap’</w:t>
      </w:r>
      <w:r>
        <w:rPr>
          <w:sz w:val="20"/>
          <w:szCs w:val="20"/>
        </w:rPr>
        <w:t xml:space="preserve"> </w:t>
      </w:r>
      <w:r w:rsidRPr="004504AD">
        <w:rPr>
          <w:sz w:val="20"/>
          <w:szCs w:val="20"/>
        </w:rPr>
        <w:t>(World Economic Forum, 2014</w:t>
      </w:r>
      <w:r>
        <w:rPr>
          <w:sz w:val="20"/>
          <w:szCs w:val="20"/>
        </w:rPr>
        <w:t>a</w:t>
      </w:r>
      <w:r w:rsidRPr="004504AD">
        <w:rPr>
          <w:sz w:val="20"/>
          <w:szCs w:val="20"/>
        </w:rPr>
        <w:t>, p</w:t>
      </w:r>
      <w:r>
        <w:rPr>
          <w:sz w:val="20"/>
          <w:szCs w:val="20"/>
        </w:rPr>
        <w:t xml:space="preserve">. </w:t>
      </w:r>
      <w:r w:rsidRPr="004504AD">
        <w:rPr>
          <w:sz w:val="20"/>
          <w:szCs w:val="20"/>
        </w:rPr>
        <w:t xml:space="preserve">22). </w:t>
      </w:r>
    </w:p>
  </w:footnote>
  <w:footnote w:id="66">
    <w:p w14:paraId="7C6B95FA" w14:textId="7776B384" w:rsidR="00A96CF7" w:rsidRPr="00AD3529" w:rsidRDefault="00A96CF7" w:rsidP="006D76AB">
      <w:pPr>
        <w:pStyle w:val="FootnoteText"/>
        <w:rPr>
          <w:sz w:val="20"/>
          <w:szCs w:val="20"/>
          <w:lang w:val="en-GB"/>
        </w:rPr>
      </w:pPr>
      <w:r w:rsidRPr="008D0603">
        <w:rPr>
          <w:rStyle w:val="FootnoteReference"/>
          <w:sz w:val="20"/>
          <w:szCs w:val="20"/>
        </w:rPr>
        <w:footnoteRef/>
      </w:r>
      <w:r w:rsidRPr="008D0603">
        <w:rPr>
          <w:sz w:val="20"/>
          <w:szCs w:val="20"/>
        </w:rPr>
        <w:t xml:space="preserve"> </w:t>
      </w:r>
      <w:r>
        <w:rPr>
          <w:sz w:val="20"/>
          <w:szCs w:val="20"/>
          <w:lang w:val="en-GB"/>
        </w:rPr>
        <w:t xml:space="preserve">In 2017 </w:t>
      </w:r>
      <w:r w:rsidRPr="00AD3529">
        <w:rPr>
          <w:sz w:val="20"/>
          <w:szCs w:val="20"/>
          <w:lang w:val="en-GB"/>
        </w:rPr>
        <w:t xml:space="preserve">there </w:t>
      </w:r>
      <w:r>
        <w:rPr>
          <w:sz w:val="20"/>
          <w:szCs w:val="20"/>
          <w:lang w:val="en-GB"/>
        </w:rPr>
        <w:t>were</w:t>
      </w:r>
      <w:r w:rsidRPr="00AD3529">
        <w:rPr>
          <w:sz w:val="20"/>
          <w:szCs w:val="20"/>
          <w:lang w:val="en-GB"/>
        </w:rPr>
        <w:t xml:space="preserve"> 37 femicides in Nicaragua</w:t>
      </w:r>
      <w:r>
        <w:rPr>
          <w:sz w:val="20"/>
          <w:szCs w:val="20"/>
          <w:lang w:val="en-GB"/>
        </w:rPr>
        <w:t xml:space="preserve"> (see Confidencial, 2017a)</w:t>
      </w:r>
      <w:r w:rsidRPr="00AD3529">
        <w:rPr>
          <w:sz w:val="20"/>
          <w:szCs w:val="20"/>
          <w:lang w:val="en-GB"/>
        </w:rPr>
        <w:t xml:space="preserve">. </w:t>
      </w:r>
    </w:p>
  </w:footnote>
  <w:footnote w:id="67">
    <w:p w14:paraId="4665A057" w14:textId="4CE0B4E2" w:rsidR="00A96CF7" w:rsidRPr="007A3A29" w:rsidRDefault="00A96CF7" w:rsidP="00293176">
      <w:pPr>
        <w:rPr>
          <w:color w:val="000000" w:themeColor="text1"/>
          <w:sz w:val="20"/>
          <w:szCs w:val="20"/>
        </w:rPr>
      </w:pPr>
      <w:r w:rsidRPr="00382E6F">
        <w:rPr>
          <w:rStyle w:val="FootnoteReference"/>
          <w:color w:val="000000" w:themeColor="text1"/>
          <w:sz w:val="20"/>
          <w:szCs w:val="20"/>
        </w:rPr>
        <w:footnoteRef/>
      </w:r>
      <w:r w:rsidRPr="00382E6F">
        <w:rPr>
          <w:color w:val="000000" w:themeColor="text1"/>
          <w:sz w:val="20"/>
          <w:szCs w:val="20"/>
        </w:rPr>
        <w:t xml:space="preserve"> </w:t>
      </w:r>
      <w:r>
        <w:rPr>
          <w:color w:val="000000" w:themeColor="text1"/>
          <w:sz w:val="20"/>
          <w:szCs w:val="20"/>
        </w:rPr>
        <w:t xml:space="preserve"> Bailey writes that ‘</w:t>
      </w:r>
      <w:r w:rsidRPr="00382E6F">
        <w:rPr>
          <w:color w:val="000000" w:themeColor="text1"/>
          <w:sz w:val="20"/>
          <w:szCs w:val="20"/>
        </w:rPr>
        <w:t xml:space="preserve">Feminicide is often used interchangeably with ‘femicide’; however, the terms differ. Femicide denotes the murder of women and girls because they are female, while feminicide expands on that definition to include the gendered contexts of these acts of violence </w:t>
      </w:r>
      <w:r>
        <w:rPr>
          <w:color w:val="000000" w:themeColor="text1"/>
          <w:sz w:val="20"/>
          <w:szCs w:val="20"/>
        </w:rPr>
        <w:t>–</w:t>
      </w:r>
      <w:r w:rsidRPr="00382E6F">
        <w:rPr>
          <w:color w:val="000000" w:themeColor="text1"/>
          <w:sz w:val="20"/>
          <w:szCs w:val="20"/>
        </w:rPr>
        <w:t xml:space="preserve"> murders founded on a patriarchal gendered power structure. This definition suggests that feminicide is also a form of systemic violence, infiltrating the public and private spheres, and is deeply rooted in social, political, economic and cultural inequalities</w:t>
      </w:r>
      <w:r>
        <w:rPr>
          <w:color w:val="000000" w:themeColor="text1"/>
          <w:sz w:val="20"/>
          <w:szCs w:val="20"/>
        </w:rPr>
        <w:t xml:space="preserve"> </w:t>
      </w:r>
      <w:r>
        <w:rPr>
          <w:color w:val="4472C4" w:themeColor="accent1"/>
          <w:sz w:val="20"/>
          <w:szCs w:val="20"/>
        </w:rPr>
        <w:t xml:space="preserve">(Bailey, 2016, p. 115). </w:t>
      </w:r>
      <w:r w:rsidRPr="00382E6F">
        <w:rPr>
          <w:color w:val="000000" w:themeColor="text1"/>
          <w:sz w:val="20"/>
          <w:szCs w:val="20"/>
        </w:rPr>
        <w:t xml:space="preserve">In </w:t>
      </w:r>
      <w:r w:rsidRPr="00F925B5">
        <w:rPr>
          <w:i/>
          <w:color w:val="000000" w:themeColor="text1"/>
          <w:sz w:val="20"/>
          <w:szCs w:val="20"/>
        </w:rPr>
        <w:t>Terrorizing Women: Femicide in the Am</w:t>
      </w:r>
      <w:r>
        <w:rPr>
          <w:i/>
          <w:color w:val="000000" w:themeColor="text1"/>
          <w:sz w:val="20"/>
          <w:szCs w:val="20"/>
        </w:rPr>
        <w:t>e</w:t>
      </w:r>
      <w:r w:rsidRPr="00F925B5">
        <w:rPr>
          <w:i/>
          <w:color w:val="000000" w:themeColor="text1"/>
          <w:sz w:val="20"/>
          <w:szCs w:val="20"/>
        </w:rPr>
        <w:t>ricas</w:t>
      </w:r>
      <w:r w:rsidRPr="00382E6F">
        <w:rPr>
          <w:color w:val="000000" w:themeColor="text1"/>
          <w:sz w:val="20"/>
          <w:szCs w:val="20"/>
        </w:rPr>
        <w:t xml:space="preserve">, Fregosa and Bejarano </w:t>
      </w:r>
      <w:r>
        <w:rPr>
          <w:color w:val="000000" w:themeColor="text1"/>
          <w:sz w:val="20"/>
          <w:szCs w:val="20"/>
        </w:rPr>
        <w:t xml:space="preserve">(2010) </w:t>
      </w:r>
      <w:r w:rsidRPr="00382E6F">
        <w:rPr>
          <w:color w:val="000000" w:themeColor="text1"/>
          <w:sz w:val="20"/>
          <w:szCs w:val="20"/>
        </w:rPr>
        <w:t xml:space="preserve">argue for the term feminicide over femicide to call attention to </w:t>
      </w:r>
      <w:r>
        <w:rPr>
          <w:color w:val="000000" w:themeColor="text1"/>
          <w:sz w:val="20"/>
          <w:szCs w:val="20"/>
        </w:rPr>
        <w:t>‘</w:t>
      </w:r>
      <w:r w:rsidRPr="00382E6F">
        <w:rPr>
          <w:color w:val="000000" w:themeColor="text1"/>
          <w:sz w:val="20"/>
          <w:szCs w:val="20"/>
        </w:rPr>
        <w:t>the performance of gender norms and to map the power dynamics and relations of gender, sexuality, race and class underlying violence and women’s vulnerability to it</w:t>
      </w:r>
      <w:r>
        <w:rPr>
          <w:color w:val="000000" w:themeColor="text1"/>
          <w:sz w:val="20"/>
          <w:szCs w:val="20"/>
        </w:rPr>
        <w:t>’</w:t>
      </w:r>
      <w:r w:rsidRPr="00382E6F">
        <w:rPr>
          <w:color w:val="000000" w:themeColor="text1"/>
          <w:sz w:val="20"/>
          <w:szCs w:val="20"/>
        </w:rPr>
        <w:t xml:space="preserve"> (</w:t>
      </w:r>
      <w:r>
        <w:rPr>
          <w:color w:val="000000" w:themeColor="text1"/>
          <w:sz w:val="20"/>
          <w:szCs w:val="20"/>
        </w:rPr>
        <w:t xml:space="preserve">p. </w:t>
      </w:r>
      <w:r w:rsidRPr="00382E6F">
        <w:rPr>
          <w:color w:val="000000" w:themeColor="text1"/>
          <w:sz w:val="20"/>
          <w:szCs w:val="20"/>
        </w:rPr>
        <w:t>4).</w:t>
      </w:r>
    </w:p>
  </w:footnote>
  <w:footnote w:id="68">
    <w:p w14:paraId="5D31694C" w14:textId="73C2F55F" w:rsidR="00A96CF7" w:rsidRPr="007A3A29" w:rsidRDefault="00A96CF7">
      <w:pPr>
        <w:pStyle w:val="FootnoteText"/>
        <w:rPr>
          <w:lang w:val="en-GB"/>
        </w:rPr>
      </w:pPr>
      <w:r w:rsidRPr="007A3A29">
        <w:rPr>
          <w:rStyle w:val="FootnoteReference"/>
          <w:sz w:val="20"/>
          <w:szCs w:val="20"/>
        </w:rPr>
        <w:footnoteRef/>
      </w:r>
      <w:r w:rsidRPr="007A3A29">
        <w:rPr>
          <w:sz w:val="20"/>
          <w:szCs w:val="20"/>
        </w:rPr>
        <w:t xml:space="preserve"> </w:t>
      </w:r>
      <w:r w:rsidRPr="007A3A29">
        <w:rPr>
          <w:sz w:val="20"/>
          <w:szCs w:val="20"/>
          <w:lang w:val="en-GB"/>
        </w:rPr>
        <w:t>WEF report measures how much the gender gap has been closed – not the degree of equality in the country.</w:t>
      </w:r>
    </w:p>
  </w:footnote>
  <w:footnote w:id="69">
    <w:p w14:paraId="77DD0130" w14:textId="19A3C72A" w:rsidR="00A96CF7" w:rsidRPr="004504AD" w:rsidRDefault="00A96CF7" w:rsidP="007A3A29">
      <w:r w:rsidRPr="004504AD">
        <w:rPr>
          <w:rStyle w:val="FootnoteReference"/>
          <w:sz w:val="20"/>
          <w:szCs w:val="20"/>
        </w:rPr>
        <w:footnoteRef/>
      </w:r>
      <w:r w:rsidRPr="004504AD">
        <w:rPr>
          <w:sz w:val="20"/>
          <w:szCs w:val="20"/>
        </w:rPr>
        <w:t xml:space="preserve"> Lancaster postulates that life is hard for Nicaraguans especially in relation to how the revolution </w:t>
      </w:r>
      <w:r>
        <w:rPr>
          <w:sz w:val="20"/>
          <w:szCs w:val="20"/>
        </w:rPr>
        <w:t>‘</w:t>
      </w:r>
      <w:r w:rsidRPr="004504AD">
        <w:rPr>
          <w:sz w:val="20"/>
          <w:szCs w:val="20"/>
        </w:rPr>
        <w:t>failed</w:t>
      </w:r>
      <w:r>
        <w:rPr>
          <w:sz w:val="20"/>
          <w:szCs w:val="20"/>
        </w:rPr>
        <w:t>’</w:t>
      </w:r>
      <w:r w:rsidRPr="004504AD">
        <w:rPr>
          <w:sz w:val="20"/>
          <w:szCs w:val="20"/>
        </w:rPr>
        <w:t xml:space="preserve"> to address and transform existing power relations</w:t>
      </w:r>
      <w:r>
        <w:rPr>
          <w:sz w:val="20"/>
          <w:szCs w:val="20"/>
        </w:rPr>
        <w:t xml:space="preserve"> </w:t>
      </w:r>
      <w:r w:rsidRPr="004504AD">
        <w:rPr>
          <w:sz w:val="20"/>
          <w:szCs w:val="20"/>
        </w:rPr>
        <w:t>(p.</w:t>
      </w:r>
      <w:r>
        <w:rPr>
          <w:sz w:val="20"/>
          <w:szCs w:val="20"/>
        </w:rPr>
        <w:t xml:space="preserve"> </w:t>
      </w:r>
      <w:r w:rsidRPr="004504AD">
        <w:rPr>
          <w:sz w:val="20"/>
          <w:szCs w:val="20"/>
        </w:rPr>
        <w:t>xvii)</w:t>
      </w:r>
      <w:r>
        <w:rPr>
          <w:sz w:val="20"/>
          <w:szCs w:val="20"/>
        </w:rPr>
        <w:t>.</w:t>
      </w:r>
      <w:r w:rsidRPr="004504AD">
        <w:rPr>
          <w:sz w:val="20"/>
          <w:szCs w:val="20"/>
        </w:rPr>
        <w:t xml:space="preserve"> </w:t>
      </w:r>
    </w:p>
  </w:footnote>
  <w:footnote w:id="70">
    <w:p w14:paraId="74837E01" w14:textId="18F10B4A" w:rsidR="00A96CF7" w:rsidRPr="008C041F" w:rsidRDefault="00A96CF7" w:rsidP="006D76AB">
      <w:pPr>
        <w:pStyle w:val="FootnoteText"/>
        <w:rPr>
          <w:sz w:val="20"/>
          <w:szCs w:val="20"/>
          <w:lang w:val="en-GB"/>
        </w:rPr>
      </w:pPr>
      <w:r w:rsidRPr="00293176">
        <w:rPr>
          <w:rStyle w:val="FootnoteReference"/>
          <w:sz w:val="20"/>
          <w:szCs w:val="20"/>
        </w:rPr>
        <w:footnoteRef/>
      </w:r>
      <w:r w:rsidRPr="00293176">
        <w:rPr>
          <w:sz w:val="20"/>
          <w:szCs w:val="20"/>
        </w:rPr>
        <w:t xml:space="preserve"> </w:t>
      </w:r>
      <w:r w:rsidRPr="008C041F">
        <w:rPr>
          <w:sz w:val="20"/>
          <w:szCs w:val="20"/>
          <w:lang w:val="en-GB"/>
        </w:rPr>
        <w:t xml:space="preserve">See more about CANTERA here: </w:t>
      </w:r>
      <w:hyperlink r:id="rId14" w:history="1">
        <w:r w:rsidRPr="003613EF">
          <w:rPr>
            <w:rStyle w:val="Hyperlink"/>
            <w:sz w:val="20"/>
            <w:szCs w:val="20"/>
            <w:lang w:val="en-GB"/>
          </w:rPr>
          <w:t>http://canteranicaragua.org/en/home/</w:t>
        </w:r>
      </w:hyperlink>
      <w:r>
        <w:rPr>
          <w:sz w:val="20"/>
          <w:szCs w:val="20"/>
          <w:lang w:val="en-GB"/>
        </w:rPr>
        <w:t xml:space="preserve">. </w:t>
      </w:r>
    </w:p>
  </w:footnote>
  <w:footnote w:id="71">
    <w:p w14:paraId="70BDABDB" w14:textId="20A36B1F" w:rsidR="00A96CF7" w:rsidRPr="00BD3EE9" w:rsidRDefault="00A96CF7" w:rsidP="006D76AB">
      <w:pPr>
        <w:pStyle w:val="FootnoteText"/>
        <w:rPr>
          <w:lang w:val="en-GB"/>
        </w:rPr>
      </w:pPr>
      <w:r w:rsidRPr="00F24B04">
        <w:rPr>
          <w:rStyle w:val="FootnoteReference"/>
          <w:sz w:val="20"/>
          <w:szCs w:val="20"/>
        </w:rPr>
        <w:footnoteRef/>
      </w:r>
      <w:r w:rsidRPr="00F24B04">
        <w:rPr>
          <w:sz w:val="20"/>
          <w:szCs w:val="20"/>
        </w:rPr>
        <w:t xml:space="preserve"> See more about Puntos de Encuentro here: </w:t>
      </w:r>
      <w:hyperlink r:id="rId15" w:history="1">
        <w:r w:rsidRPr="00F24B04">
          <w:rPr>
            <w:rStyle w:val="Hyperlink"/>
            <w:sz w:val="20"/>
            <w:szCs w:val="20"/>
          </w:rPr>
          <w:t>http://puntos-encuentro.blogspot.co.uk</w:t>
        </w:r>
      </w:hyperlink>
      <w:r w:rsidRPr="00F24B04">
        <w:rPr>
          <w:sz w:val="20"/>
          <w:szCs w:val="20"/>
        </w:rPr>
        <w:t xml:space="preserve"> and here </w:t>
      </w:r>
      <w:hyperlink r:id="rId16" w:history="1">
        <w:r w:rsidRPr="00F24B04">
          <w:rPr>
            <w:rStyle w:val="Hyperlink"/>
            <w:sz w:val="20"/>
            <w:szCs w:val="20"/>
          </w:rPr>
          <w:t>https://www.facebook.com/puntosdeencuentro/</w:t>
        </w:r>
      </w:hyperlink>
    </w:p>
  </w:footnote>
  <w:footnote w:id="72">
    <w:p w14:paraId="66BA94B5" w14:textId="3B1C63A9" w:rsidR="00A96CF7" w:rsidRPr="00F925B5" w:rsidRDefault="00A96CF7" w:rsidP="007A3A29">
      <w:pPr>
        <w:jc w:val="both"/>
      </w:pPr>
      <w:r w:rsidRPr="00F925B5">
        <w:rPr>
          <w:rStyle w:val="FootnoteReference"/>
          <w:sz w:val="20"/>
          <w:szCs w:val="20"/>
        </w:rPr>
        <w:footnoteRef/>
      </w:r>
      <w:r w:rsidRPr="00F925B5">
        <w:rPr>
          <w:sz w:val="20"/>
          <w:szCs w:val="20"/>
        </w:rPr>
        <w:t xml:space="preserve"> For a more detailed description of the politics of the land reform, see Baumeister</w:t>
      </w:r>
      <w:r>
        <w:rPr>
          <w:sz w:val="20"/>
          <w:szCs w:val="20"/>
        </w:rPr>
        <w:t xml:space="preserve"> (2011)</w:t>
      </w:r>
      <w:r w:rsidRPr="00F925B5">
        <w:rPr>
          <w:sz w:val="20"/>
          <w:szCs w:val="20"/>
        </w:rPr>
        <w:t>.</w:t>
      </w:r>
    </w:p>
  </w:footnote>
  <w:footnote w:id="73">
    <w:p w14:paraId="59F75003" w14:textId="77777777" w:rsidR="00A96CF7" w:rsidRDefault="00A96CF7" w:rsidP="00420E39">
      <w:pPr>
        <w:pStyle w:val="FootnoteText"/>
        <w:rPr>
          <w:sz w:val="20"/>
          <w:szCs w:val="20"/>
        </w:rPr>
      </w:pPr>
      <w:r w:rsidRPr="00293176">
        <w:rPr>
          <w:rStyle w:val="FootnoteReference"/>
          <w:sz w:val="20"/>
        </w:rPr>
        <w:footnoteRef/>
      </w:r>
      <w:r w:rsidRPr="00293176">
        <w:rPr>
          <w:sz w:val="20"/>
        </w:rPr>
        <w:t xml:space="preserve"> </w:t>
      </w:r>
      <w:r w:rsidRPr="00C350E7">
        <w:rPr>
          <w:sz w:val="20"/>
          <w:szCs w:val="20"/>
        </w:rPr>
        <w:t xml:space="preserve">The Human Development Index measures social as well as economic factors see here for more information: </w:t>
      </w:r>
      <w:hyperlink r:id="rId17" w:history="1">
        <w:r w:rsidRPr="008F3EEE">
          <w:rPr>
            <w:rStyle w:val="Hyperlink"/>
            <w:sz w:val="20"/>
            <w:szCs w:val="20"/>
          </w:rPr>
          <w:t>http://hdr.undp.org/en/content/human-development-index-hdi</w:t>
        </w:r>
      </w:hyperlink>
    </w:p>
    <w:p w14:paraId="7FC55C2D" w14:textId="77777777" w:rsidR="00A96CF7" w:rsidRPr="00C350E7" w:rsidRDefault="00A96CF7" w:rsidP="00420E39">
      <w:pPr>
        <w:pStyle w:val="FootnoteText"/>
        <w:rPr>
          <w:sz w:val="20"/>
          <w:szCs w:val="20"/>
        </w:rPr>
      </w:pPr>
    </w:p>
  </w:footnote>
  <w:footnote w:id="74">
    <w:p w14:paraId="4D8FB290" w14:textId="4B281639" w:rsidR="00A96CF7" w:rsidRPr="007B69E5" w:rsidRDefault="00A96CF7" w:rsidP="006D76AB">
      <w:pPr>
        <w:pStyle w:val="FootnoteText"/>
        <w:rPr>
          <w:sz w:val="20"/>
          <w:szCs w:val="20"/>
          <w:lang w:val="en-GB"/>
        </w:rPr>
      </w:pPr>
      <w:r w:rsidRPr="008C041F">
        <w:rPr>
          <w:rStyle w:val="FootnoteReference"/>
          <w:rFonts w:eastAsiaTheme="minorEastAsia"/>
          <w:sz w:val="20"/>
          <w:szCs w:val="20"/>
        </w:rPr>
        <w:footnoteRef/>
      </w:r>
      <w:r w:rsidRPr="007B69E5">
        <w:rPr>
          <w:sz w:val="20"/>
          <w:szCs w:val="20"/>
        </w:rPr>
        <w:t xml:space="preserve"> </w:t>
      </w:r>
      <w:r w:rsidRPr="007B69E5">
        <w:rPr>
          <w:sz w:val="20"/>
          <w:szCs w:val="20"/>
          <w:lang w:val="en-GB"/>
        </w:rPr>
        <w:t>Cafénica functions as an umbrella organization for 12 cooperative organizations and represents 9,118 (41%) of the small-scale coffee producers in the country and 19% of the national production of coffee</w:t>
      </w:r>
      <w:r>
        <w:rPr>
          <w:sz w:val="20"/>
          <w:szCs w:val="20"/>
          <w:lang w:val="en-GB"/>
        </w:rPr>
        <w:t xml:space="preserve"> (Wing-sea Leung. 2011, p. 23).</w:t>
      </w:r>
    </w:p>
  </w:footnote>
  <w:footnote w:id="75">
    <w:p w14:paraId="1CC219CD" w14:textId="10B0B5AF" w:rsidR="00A96CF7" w:rsidRPr="007B69E5" w:rsidRDefault="00A96CF7" w:rsidP="006D76AB">
      <w:pPr>
        <w:pStyle w:val="FootnoteText"/>
        <w:rPr>
          <w:sz w:val="20"/>
          <w:szCs w:val="20"/>
        </w:rPr>
      </w:pPr>
      <w:r w:rsidRPr="007B69E5">
        <w:rPr>
          <w:rStyle w:val="FootnoteReference"/>
          <w:rFonts w:eastAsiaTheme="minorEastAsia"/>
          <w:sz w:val="20"/>
          <w:szCs w:val="20"/>
        </w:rPr>
        <w:footnoteRef/>
      </w:r>
      <w:r w:rsidRPr="007B69E5">
        <w:rPr>
          <w:sz w:val="20"/>
          <w:szCs w:val="20"/>
        </w:rPr>
        <w:t xml:space="preserve"> </w:t>
      </w:r>
      <w:r w:rsidRPr="007B69E5">
        <w:rPr>
          <w:sz w:val="20"/>
          <w:szCs w:val="20"/>
          <w:lang w:val="en-GB"/>
        </w:rPr>
        <w:t xml:space="preserve">The MMFC aims to make visible the contribution of women producers and gender equity, diminish gender inequalities, build capacity, and empower women. MMFC’s membership aims to reach the estimated 18,000 women and co-producers of the associated organizations of Cafénica; however, awareness of this new organization is generally low and the annual meetings have been attended by around 100 to 200 members </w:t>
      </w:r>
      <w:r>
        <w:rPr>
          <w:sz w:val="20"/>
          <w:szCs w:val="20"/>
          <w:lang w:val="en-GB"/>
        </w:rPr>
        <w:t xml:space="preserve">See more here: </w:t>
      </w:r>
      <w:hyperlink r:id="rId18" w:history="1">
        <w:r w:rsidRPr="003613EF">
          <w:rPr>
            <w:rStyle w:val="Hyperlink"/>
            <w:sz w:val="20"/>
            <w:szCs w:val="20"/>
            <w:lang w:val="en-GB"/>
          </w:rPr>
          <w:t>http://cafenica.net/2018/04/18/flores-del-cafe-abriendo-camino-en-el-cooperativismo-de-nicaragua/</w:t>
        </w:r>
      </w:hyperlink>
      <w:r>
        <w:rPr>
          <w:sz w:val="20"/>
          <w:szCs w:val="20"/>
          <w:lang w:val="en-GB"/>
        </w:rPr>
        <w:t xml:space="preserve">. </w:t>
      </w:r>
      <w:r w:rsidRPr="008D48C0" w:rsidDel="008D48C0">
        <w:rPr>
          <w:sz w:val="20"/>
          <w:szCs w:val="20"/>
          <w:lang w:val="en-GB"/>
        </w:rPr>
        <w:t xml:space="preserve"> </w:t>
      </w:r>
      <w:r>
        <w:rPr>
          <w:sz w:val="20"/>
          <w:szCs w:val="20"/>
          <w:lang w:val="en-GB"/>
        </w:rPr>
        <w:t xml:space="preserve"> </w:t>
      </w:r>
    </w:p>
  </w:footnote>
  <w:footnote w:id="76">
    <w:p w14:paraId="606F8867" w14:textId="3D5D1056" w:rsidR="00A96CF7" w:rsidRPr="007A3A29" w:rsidRDefault="00A96CF7">
      <w:pPr>
        <w:pStyle w:val="FootnoteText"/>
        <w:rPr>
          <w:sz w:val="20"/>
          <w:szCs w:val="20"/>
          <w:lang w:val="en-GB"/>
        </w:rPr>
      </w:pPr>
      <w:r w:rsidRPr="007A3A29">
        <w:rPr>
          <w:rStyle w:val="FootnoteReference"/>
          <w:sz w:val="20"/>
        </w:rPr>
        <w:footnoteRef/>
      </w:r>
      <w:r w:rsidRPr="007A3A29">
        <w:rPr>
          <w:sz w:val="20"/>
        </w:rPr>
        <w:t xml:space="preserve"> </w:t>
      </w:r>
      <w:r w:rsidRPr="007A3A29">
        <w:rPr>
          <w:sz w:val="20"/>
          <w:szCs w:val="20"/>
          <w:lang w:val="en-GB"/>
        </w:rPr>
        <w:t>Whilst it could be questioned that these women could be put in these positions as token appeasement and whether they have any agency, the three leaders (Merling Preza, Fatima Ismael and Blanca Rosa) have achieved high positions outside of their leadership in the cooperative. All have had local, national political positions and influencing positions in international networks. Merling Preza</w:t>
      </w:r>
      <w:r>
        <w:rPr>
          <w:sz w:val="20"/>
          <w:szCs w:val="20"/>
          <w:lang w:val="en-GB"/>
        </w:rPr>
        <w:t>,</w:t>
      </w:r>
      <w:r w:rsidRPr="007A3A29">
        <w:rPr>
          <w:sz w:val="20"/>
          <w:szCs w:val="20"/>
          <w:lang w:val="en-GB"/>
        </w:rPr>
        <w:t xml:space="preserve"> for example</w:t>
      </w:r>
      <w:r>
        <w:rPr>
          <w:sz w:val="20"/>
          <w:szCs w:val="20"/>
          <w:lang w:val="en-GB"/>
        </w:rPr>
        <w:t>,</w:t>
      </w:r>
      <w:r w:rsidRPr="007A3A29">
        <w:rPr>
          <w:sz w:val="20"/>
          <w:szCs w:val="20"/>
          <w:lang w:val="en-GB"/>
        </w:rPr>
        <w:t xml:space="preserve"> has held many coordinating positions in national and international coffee initiatives, she is the like CLAC, Cooperativa Sin Fronteras, Fair Trade Foundation UK, OCIA International USA, Fair Trade USA. She was a fundatmental driver in the change to the FT minimum price and was crucial to this change.</w:t>
      </w:r>
    </w:p>
  </w:footnote>
  <w:footnote w:id="77">
    <w:p w14:paraId="5D649EFE" w14:textId="77777777" w:rsidR="00A96CF7" w:rsidRPr="004019C1" w:rsidRDefault="00A96CF7" w:rsidP="006D76AB">
      <w:pPr>
        <w:pStyle w:val="FootnoteText"/>
        <w:rPr>
          <w:lang w:val="en-GB"/>
        </w:rPr>
      </w:pPr>
      <w:r w:rsidRPr="007B69E5">
        <w:rPr>
          <w:rStyle w:val="FootnoteReference"/>
          <w:sz w:val="20"/>
          <w:szCs w:val="20"/>
        </w:rPr>
        <w:footnoteRef/>
      </w:r>
      <w:r w:rsidRPr="007B69E5">
        <w:rPr>
          <w:sz w:val="20"/>
          <w:szCs w:val="20"/>
        </w:rPr>
        <w:t xml:space="preserve"> </w:t>
      </w:r>
      <w:r w:rsidRPr="007B69E5">
        <w:rPr>
          <w:sz w:val="20"/>
          <w:szCs w:val="20"/>
          <w:lang w:val="en-GB"/>
        </w:rPr>
        <w:t>As discussed in Chapter 1, Fairtrade International (FLO) is the certifying body for Fairtrade.</w:t>
      </w:r>
    </w:p>
  </w:footnote>
  <w:footnote w:id="78">
    <w:p w14:paraId="78346816" w14:textId="5B32F538" w:rsidR="00A96CF7" w:rsidRPr="00F21AB5" w:rsidRDefault="00A96CF7" w:rsidP="006D76AB">
      <w:pPr>
        <w:pStyle w:val="FootnoteText"/>
        <w:rPr>
          <w:bCs/>
          <w:iCs/>
          <w:sz w:val="20"/>
          <w:szCs w:val="20"/>
        </w:rPr>
      </w:pPr>
      <w:r w:rsidRPr="00F925B5">
        <w:rPr>
          <w:rStyle w:val="FootnoteReference"/>
          <w:sz w:val="20"/>
          <w:szCs w:val="20"/>
        </w:rPr>
        <w:footnoteRef/>
      </w:r>
      <w:r w:rsidRPr="00F925B5">
        <w:rPr>
          <w:sz w:val="20"/>
          <w:szCs w:val="20"/>
        </w:rPr>
        <w:t xml:space="preserve"> </w:t>
      </w:r>
      <w:r w:rsidRPr="005828B1">
        <w:rPr>
          <w:bCs/>
          <w:iCs/>
          <w:sz w:val="20"/>
          <w:szCs w:val="20"/>
        </w:rPr>
        <w:t>A typical small-scale farmer has, roughly, less than 4 hectares (ha)</w:t>
      </w:r>
      <w:r>
        <w:rPr>
          <w:bCs/>
          <w:iCs/>
          <w:sz w:val="20"/>
          <w:szCs w:val="20"/>
        </w:rPr>
        <w:t>,</w:t>
      </w:r>
      <w:r w:rsidRPr="005828B1">
        <w:rPr>
          <w:bCs/>
          <w:iCs/>
          <w:sz w:val="20"/>
          <w:szCs w:val="20"/>
        </w:rPr>
        <w:t xml:space="preserve"> a medium-scale farmer, between 5 and 40</w:t>
      </w:r>
      <w:r w:rsidRPr="00F21AB5">
        <w:rPr>
          <w:bCs/>
          <w:iCs/>
          <w:sz w:val="20"/>
          <w:szCs w:val="20"/>
        </w:rPr>
        <w:t xml:space="preserve"> ha</w:t>
      </w:r>
      <w:r>
        <w:rPr>
          <w:bCs/>
          <w:iCs/>
          <w:sz w:val="20"/>
          <w:szCs w:val="20"/>
        </w:rPr>
        <w:t xml:space="preserve"> and</w:t>
      </w:r>
      <w:r w:rsidRPr="00F21AB5">
        <w:rPr>
          <w:bCs/>
          <w:iCs/>
          <w:sz w:val="20"/>
          <w:szCs w:val="20"/>
        </w:rPr>
        <w:t xml:space="preserve"> above 40 ha is considered to be large-scale farming.</w:t>
      </w:r>
      <w:r w:rsidRPr="008E74E4">
        <w:rPr>
          <w:sz w:val="20"/>
          <w:szCs w:val="20"/>
        </w:rPr>
        <w:t xml:space="preserve"> </w:t>
      </w:r>
      <w:r w:rsidRPr="00F925B5">
        <w:rPr>
          <w:sz w:val="20"/>
          <w:szCs w:val="20"/>
        </w:rPr>
        <w:t xml:space="preserve">A </w:t>
      </w:r>
      <w:r w:rsidRPr="00F925B5">
        <w:rPr>
          <w:i/>
          <w:sz w:val="20"/>
          <w:szCs w:val="20"/>
        </w:rPr>
        <w:t>manzana</w:t>
      </w:r>
      <w:r w:rsidRPr="00F925B5">
        <w:rPr>
          <w:sz w:val="20"/>
          <w:szCs w:val="20"/>
        </w:rPr>
        <w:t xml:space="preserve"> is traditionally equivalent to 0.7 of a hectare.</w:t>
      </w:r>
    </w:p>
  </w:footnote>
  <w:footnote w:id="79">
    <w:p w14:paraId="0D8A10D3" w14:textId="21DC51F8" w:rsidR="00A96CF7" w:rsidRPr="00F925B5" w:rsidRDefault="00A96CF7" w:rsidP="00293176">
      <w:pPr>
        <w:jc w:val="both"/>
        <w:rPr>
          <w:bCs/>
          <w:iCs/>
          <w:sz w:val="20"/>
        </w:rPr>
      </w:pPr>
      <w:r w:rsidRPr="00F925B5">
        <w:rPr>
          <w:rStyle w:val="FootnoteReference"/>
          <w:sz w:val="20"/>
        </w:rPr>
        <w:footnoteRef/>
      </w:r>
      <w:r w:rsidRPr="00F925B5">
        <w:rPr>
          <w:sz w:val="20"/>
        </w:rPr>
        <w:t xml:space="preserve"> </w:t>
      </w:r>
      <w:r w:rsidRPr="00F925B5">
        <w:rPr>
          <w:bCs/>
          <w:iCs/>
          <w:sz w:val="20"/>
        </w:rPr>
        <w:t>Del Campo is a farmer-owned second level</w:t>
      </w:r>
      <w:r w:rsidRPr="00F8269F">
        <w:rPr>
          <w:bCs/>
          <w:iCs/>
          <w:sz w:val="20"/>
        </w:rPr>
        <w:t xml:space="preserve"> co</w:t>
      </w:r>
      <w:r w:rsidRPr="00F925B5">
        <w:rPr>
          <w:bCs/>
          <w:iCs/>
          <w:sz w:val="20"/>
        </w:rPr>
        <w:t xml:space="preserve">operative that exports agricultural products to the world market. It is an umbrella cooperative which represents 3,500 small and medium-sized Nicaraguan farmers who grow more than 1,500 tons of sesame seed annually and the cooperative is the largest exporter of sesame in Nicaragua. It is a member of CAFENICA and FENIAGRO. It sells its sesame seed and sesame oil, amongst, other products to the </w:t>
      </w:r>
      <w:r>
        <w:rPr>
          <w:bCs/>
          <w:iCs/>
          <w:sz w:val="20"/>
        </w:rPr>
        <w:t xml:space="preserve">FT market </w:t>
      </w:r>
      <w:r w:rsidRPr="00F925B5">
        <w:rPr>
          <w:bCs/>
          <w:iCs/>
          <w:sz w:val="20"/>
        </w:rPr>
        <w:t>si</w:t>
      </w:r>
      <w:r w:rsidRPr="00205DFE">
        <w:rPr>
          <w:bCs/>
          <w:iCs/>
          <w:sz w:val="20"/>
        </w:rPr>
        <w:t xml:space="preserve">nce its products carry FLO and </w:t>
      </w:r>
      <w:r>
        <w:rPr>
          <w:bCs/>
          <w:iCs/>
          <w:sz w:val="20"/>
        </w:rPr>
        <w:t>o</w:t>
      </w:r>
      <w:r w:rsidRPr="00F925B5">
        <w:rPr>
          <w:bCs/>
          <w:iCs/>
          <w:sz w:val="20"/>
        </w:rPr>
        <w:t>rg</w:t>
      </w:r>
      <w:r w:rsidRPr="00205DFE">
        <w:rPr>
          <w:bCs/>
          <w:iCs/>
          <w:sz w:val="20"/>
        </w:rPr>
        <w:t xml:space="preserve">anic certification (FLO and/or </w:t>
      </w:r>
      <w:r>
        <w:rPr>
          <w:bCs/>
          <w:iCs/>
          <w:sz w:val="20"/>
        </w:rPr>
        <w:t>o</w:t>
      </w:r>
      <w:r w:rsidRPr="00F925B5">
        <w:rPr>
          <w:bCs/>
          <w:iCs/>
          <w:sz w:val="20"/>
        </w:rPr>
        <w:t xml:space="preserve">rganic certified and it is also sold to </w:t>
      </w:r>
      <w:r>
        <w:rPr>
          <w:bCs/>
          <w:iCs/>
          <w:sz w:val="20"/>
        </w:rPr>
        <w:t>BSI</w:t>
      </w:r>
      <w:r w:rsidRPr="00F925B5">
        <w:rPr>
          <w:bCs/>
          <w:iCs/>
          <w:sz w:val="20"/>
        </w:rPr>
        <w:t xml:space="preserve"> under their </w:t>
      </w:r>
      <w:r>
        <w:rPr>
          <w:bCs/>
          <w:iCs/>
          <w:sz w:val="20"/>
        </w:rPr>
        <w:t>CT</w:t>
      </w:r>
      <w:r w:rsidRPr="00F925B5">
        <w:rPr>
          <w:bCs/>
          <w:iCs/>
          <w:sz w:val="20"/>
        </w:rPr>
        <w:t xml:space="preserve"> scheme).</w:t>
      </w:r>
    </w:p>
  </w:footnote>
  <w:footnote w:id="80">
    <w:p w14:paraId="725C7602" w14:textId="16B40E0F" w:rsidR="00A96CF7" w:rsidRPr="00B37194" w:rsidRDefault="00A96CF7" w:rsidP="001B3600">
      <w:pPr>
        <w:pStyle w:val="p1"/>
        <w:rPr>
          <w:rFonts w:ascii="Times New Roman" w:hAnsi="Times New Roman"/>
          <w:sz w:val="20"/>
          <w:szCs w:val="20"/>
        </w:rPr>
      </w:pPr>
      <w:r w:rsidRPr="00F8269F">
        <w:rPr>
          <w:rStyle w:val="FootnoteReference"/>
          <w:rFonts w:ascii="Times New Roman" w:hAnsi="Times New Roman"/>
          <w:sz w:val="20"/>
          <w:szCs w:val="20"/>
        </w:rPr>
        <w:footnoteRef/>
      </w:r>
      <w:r w:rsidRPr="00F8269F">
        <w:rPr>
          <w:rFonts w:ascii="Times New Roman" w:hAnsi="Times New Roman"/>
          <w:sz w:val="20"/>
          <w:szCs w:val="20"/>
        </w:rPr>
        <w:t xml:space="preserve"> First level</w:t>
      </w:r>
      <w:r>
        <w:rPr>
          <w:rFonts w:ascii="Times New Roman" w:hAnsi="Times New Roman"/>
          <w:sz w:val="20"/>
          <w:szCs w:val="20"/>
        </w:rPr>
        <w:t xml:space="preserve"> or primary level</w:t>
      </w:r>
      <w:r w:rsidRPr="00F8269F">
        <w:rPr>
          <w:rFonts w:ascii="Times New Roman" w:hAnsi="Times New Roman"/>
          <w:sz w:val="20"/>
          <w:szCs w:val="20"/>
        </w:rPr>
        <w:t xml:space="preserve"> cooperatives are also known also as base cooperatives,</w:t>
      </w:r>
      <w:r>
        <w:rPr>
          <w:rFonts w:ascii="Times New Roman" w:hAnsi="Times New Roman"/>
          <w:sz w:val="20"/>
          <w:szCs w:val="20"/>
        </w:rPr>
        <w:t xml:space="preserve"> or </w:t>
      </w:r>
      <w:r>
        <w:rPr>
          <w:rFonts w:ascii="Times New Roman" w:hAnsi="Times New Roman"/>
          <w:i/>
          <w:sz w:val="20"/>
          <w:szCs w:val="20"/>
        </w:rPr>
        <w:t>cooperativas de base</w:t>
      </w:r>
      <w:r>
        <w:rPr>
          <w:rFonts w:ascii="Times New Roman" w:hAnsi="Times New Roman"/>
          <w:sz w:val="20"/>
          <w:szCs w:val="20"/>
        </w:rPr>
        <w:t xml:space="preserve">. They are </w:t>
      </w:r>
      <w:r w:rsidRPr="00F8269F">
        <w:rPr>
          <w:rFonts w:ascii="Times New Roman" w:hAnsi="Times New Roman"/>
          <w:sz w:val="20"/>
          <w:szCs w:val="20"/>
        </w:rPr>
        <w:t xml:space="preserve">organized communities of coffee producers with an elected administration. Cooperative membership may or may not extend to the families of the primary coffee producers, who are the </w:t>
      </w:r>
      <w:r>
        <w:rPr>
          <w:rFonts w:ascii="Times New Roman" w:hAnsi="Times New Roman"/>
          <w:sz w:val="20"/>
          <w:szCs w:val="20"/>
        </w:rPr>
        <w:t>recognise</w:t>
      </w:r>
      <w:r w:rsidRPr="00F8269F">
        <w:rPr>
          <w:rFonts w:ascii="Times New Roman" w:hAnsi="Times New Roman"/>
          <w:sz w:val="20"/>
          <w:szCs w:val="20"/>
        </w:rPr>
        <w:t>d owners of the land used for coffee cultivation. Each primary level cooperative is represented by a secondary and tertiary level cooperative</w:t>
      </w:r>
      <w:r w:rsidRPr="00F925B5">
        <w:rPr>
          <w:rFonts w:ascii="Times New Roman" w:hAnsi="Times New Roman"/>
          <w:sz w:val="20"/>
          <w:szCs w:val="20"/>
        </w:rPr>
        <w:t>. </w:t>
      </w:r>
    </w:p>
  </w:footnote>
  <w:footnote w:id="81">
    <w:p w14:paraId="3EFF6B3C" w14:textId="1C414913" w:rsidR="00A96CF7" w:rsidRPr="00B37194" w:rsidRDefault="00A96CF7" w:rsidP="00293176">
      <w:pPr>
        <w:pStyle w:val="p1"/>
      </w:pPr>
      <w:r w:rsidRPr="00B37194">
        <w:rPr>
          <w:rStyle w:val="FootnoteReference"/>
          <w:rFonts w:ascii="Times New Roman" w:hAnsi="Times New Roman"/>
          <w:sz w:val="20"/>
          <w:szCs w:val="20"/>
        </w:rPr>
        <w:footnoteRef/>
      </w:r>
      <w:r w:rsidRPr="00B37194">
        <w:rPr>
          <w:rFonts w:ascii="Times New Roman" w:hAnsi="Times New Roman"/>
          <w:sz w:val="20"/>
          <w:szCs w:val="20"/>
        </w:rPr>
        <w:t xml:space="preserve"> The Body Shop International set up its Community Fair Trade sourcing</w:t>
      </w:r>
      <w:r>
        <w:rPr>
          <w:rFonts w:ascii="Times New Roman" w:hAnsi="Times New Roman"/>
          <w:sz w:val="20"/>
          <w:szCs w:val="20"/>
        </w:rPr>
        <w:t xml:space="preserve"> </w:t>
      </w:r>
      <w:r w:rsidRPr="00B37194">
        <w:rPr>
          <w:rFonts w:ascii="Times New Roman" w:hAnsi="Times New Roman"/>
          <w:sz w:val="20"/>
          <w:szCs w:val="20"/>
        </w:rPr>
        <w:t>programme in 1987. Originally known as ‘Trade not Aid’, the programme was started as a</w:t>
      </w:r>
      <w:r>
        <w:rPr>
          <w:rFonts w:ascii="Times New Roman" w:hAnsi="Times New Roman"/>
          <w:sz w:val="20"/>
          <w:szCs w:val="20"/>
        </w:rPr>
        <w:t xml:space="preserve"> </w:t>
      </w:r>
      <w:r w:rsidRPr="00B37194">
        <w:rPr>
          <w:rFonts w:ascii="Times New Roman" w:hAnsi="Times New Roman"/>
          <w:sz w:val="20"/>
          <w:szCs w:val="20"/>
        </w:rPr>
        <w:t>mechanism for the company to source some of its key accessories and ingredients directly from</w:t>
      </w:r>
      <w:r>
        <w:rPr>
          <w:rFonts w:ascii="Times New Roman" w:hAnsi="Times New Roman"/>
          <w:sz w:val="20"/>
          <w:szCs w:val="20"/>
        </w:rPr>
        <w:t xml:space="preserve"> </w:t>
      </w:r>
      <w:r w:rsidRPr="00B37194">
        <w:rPr>
          <w:rFonts w:ascii="Times New Roman" w:hAnsi="Times New Roman"/>
          <w:sz w:val="20"/>
          <w:szCs w:val="20"/>
        </w:rPr>
        <w:t>small producer groups in marginalised countries. Over 20 years later the programme is still working</w:t>
      </w:r>
      <w:r>
        <w:rPr>
          <w:rFonts w:ascii="Times New Roman" w:hAnsi="Times New Roman"/>
          <w:sz w:val="20"/>
          <w:szCs w:val="20"/>
        </w:rPr>
        <w:t xml:space="preserve"> </w:t>
      </w:r>
      <w:r w:rsidRPr="00B37194">
        <w:rPr>
          <w:rFonts w:ascii="Times New Roman" w:hAnsi="Times New Roman"/>
          <w:sz w:val="20"/>
          <w:szCs w:val="20"/>
        </w:rPr>
        <w:t>to achieve this aim, and has developed this operating framework to lay out the criteria for selection</w:t>
      </w:r>
      <w:r>
        <w:rPr>
          <w:rFonts w:ascii="Times New Roman" w:hAnsi="Times New Roman"/>
          <w:sz w:val="20"/>
          <w:szCs w:val="20"/>
        </w:rPr>
        <w:t xml:space="preserve"> </w:t>
      </w:r>
      <w:r w:rsidRPr="00B37194">
        <w:rPr>
          <w:rFonts w:ascii="Times New Roman" w:hAnsi="Times New Roman"/>
          <w:sz w:val="20"/>
          <w:szCs w:val="20"/>
        </w:rPr>
        <w:t>of new supplier groups and what commitments are expected of suppliers and indeed of The Body</w:t>
      </w:r>
      <w:r>
        <w:rPr>
          <w:rFonts w:ascii="Times New Roman" w:hAnsi="Times New Roman"/>
          <w:sz w:val="20"/>
          <w:szCs w:val="20"/>
        </w:rPr>
        <w:t xml:space="preserve"> </w:t>
      </w:r>
      <w:r w:rsidRPr="00B37194">
        <w:rPr>
          <w:rFonts w:ascii="Times New Roman" w:hAnsi="Times New Roman"/>
          <w:sz w:val="20"/>
          <w:szCs w:val="20"/>
        </w:rPr>
        <w:t>Shop itself, once a trading relationship has started</w:t>
      </w:r>
      <w:r>
        <w:rPr>
          <w:rFonts w:ascii="Times New Roman" w:hAnsi="Times New Roman"/>
          <w:sz w:val="20"/>
          <w:szCs w:val="20"/>
        </w:rPr>
        <w:t>.</w:t>
      </w:r>
    </w:p>
  </w:footnote>
  <w:footnote w:id="82">
    <w:p w14:paraId="6F0737D7" w14:textId="01B694AF" w:rsidR="00A96CF7" w:rsidRPr="003503CE" w:rsidRDefault="00A96CF7">
      <w:pPr>
        <w:pStyle w:val="FootnoteText"/>
        <w:rPr>
          <w:lang w:val="en-GB"/>
        </w:rPr>
      </w:pPr>
      <w:r>
        <w:rPr>
          <w:rStyle w:val="FootnoteReference"/>
        </w:rPr>
        <w:footnoteRef/>
      </w:r>
      <w:r>
        <w:t xml:space="preserve"> </w:t>
      </w:r>
      <w:r>
        <w:rPr>
          <w:lang w:val="en-GB"/>
        </w:rPr>
        <w:t xml:space="preserve">See more here: </w:t>
      </w:r>
      <w:hyperlink r:id="rId19" w:history="1">
        <w:r w:rsidRPr="00B172B8">
          <w:rPr>
            <w:rStyle w:val="Hyperlink"/>
            <w:lang w:val="en-GB"/>
          </w:rPr>
          <w:t>https://etico.net</w:t>
        </w:r>
      </w:hyperlink>
    </w:p>
  </w:footnote>
  <w:footnote w:id="83">
    <w:p w14:paraId="67C1AE51" w14:textId="3D521A84" w:rsidR="00A96CF7" w:rsidRPr="00F32F33" w:rsidRDefault="00A96CF7" w:rsidP="006D76AB">
      <w:pPr>
        <w:pStyle w:val="FootnoteText"/>
        <w:rPr>
          <w:sz w:val="20"/>
          <w:szCs w:val="20"/>
        </w:rPr>
      </w:pPr>
      <w:r w:rsidRPr="007A3A29">
        <w:rPr>
          <w:rStyle w:val="FootnoteReference"/>
          <w:sz w:val="20"/>
          <w:szCs w:val="20"/>
        </w:rPr>
        <w:footnoteRef/>
      </w:r>
      <w:r w:rsidRPr="007A3A29">
        <w:rPr>
          <w:sz w:val="20"/>
          <w:szCs w:val="20"/>
        </w:rPr>
        <w:t xml:space="preserve"> </w:t>
      </w:r>
      <w:r w:rsidRPr="00F14ED1">
        <w:rPr>
          <w:sz w:val="20"/>
          <w:szCs w:val="20"/>
        </w:rPr>
        <w:t>Named</w:t>
      </w:r>
      <w:r w:rsidRPr="00F32F33">
        <w:rPr>
          <w:sz w:val="20"/>
          <w:szCs w:val="20"/>
        </w:rPr>
        <w:t xml:space="preserve"> after Anita Roddrick and </w:t>
      </w:r>
      <w:r>
        <w:rPr>
          <w:sz w:val="20"/>
          <w:szCs w:val="20"/>
        </w:rPr>
        <w:t>Maria Zunilda, a woman who was killed in the Revolution and whose brother is a president of one of the village committes.</w:t>
      </w:r>
    </w:p>
  </w:footnote>
  <w:footnote w:id="84">
    <w:p w14:paraId="0C494B3F" w14:textId="77777777" w:rsidR="00A96CF7" w:rsidRPr="00410E14" w:rsidRDefault="00A96CF7" w:rsidP="006D76AB">
      <w:pPr>
        <w:pStyle w:val="p1"/>
        <w:rPr>
          <w:rFonts w:ascii="Times New Roman" w:hAnsi="Times New Roman"/>
          <w:sz w:val="18"/>
          <w:szCs w:val="18"/>
        </w:rPr>
      </w:pPr>
      <w:r>
        <w:rPr>
          <w:rStyle w:val="FootnoteReference"/>
        </w:rPr>
        <w:footnoteRef/>
      </w:r>
      <w:r>
        <w:t xml:space="preserve"> </w:t>
      </w:r>
      <w:r w:rsidRPr="00410E14">
        <w:rPr>
          <w:rFonts w:ascii="Times New Roman" w:hAnsi="Times New Roman"/>
          <w:sz w:val="20"/>
          <w:szCs w:val="20"/>
        </w:rPr>
        <w:t xml:space="preserve">Known in full as the Unión de Cooperativas Agropecuarias Augusto César Sandino, the Cooperative Union of San Ramón. </w:t>
      </w:r>
      <w:r>
        <w:rPr>
          <w:rFonts w:ascii="Times New Roman" w:hAnsi="Times New Roman"/>
          <w:sz w:val="20"/>
          <w:szCs w:val="20"/>
        </w:rPr>
        <w:t xml:space="preserve">The </w:t>
      </w:r>
      <w:r w:rsidRPr="00410E14">
        <w:rPr>
          <w:rFonts w:ascii="Times New Roman" w:hAnsi="Times New Roman"/>
          <w:sz w:val="20"/>
          <w:szCs w:val="20"/>
        </w:rPr>
        <w:t>UCA San Ramón is affiliated with CECOCAFEN. </w:t>
      </w:r>
    </w:p>
    <w:p w14:paraId="72D85FFD" w14:textId="77777777" w:rsidR="00A96CF7" w:rsidRPr="00410E14" w:rsidRDefault="00A96CF7" w:rsidP="006D76AB">
      <w:pPr>
        <w:pStyle w:val="FootnoteText"/>
        <w:rPr>
          <w:lang w:val="en-GB"/>
        </w:rPr>
      </w:pPr>
    </w:p>
  </w:footnote>
  <w:footnote w:id="85">
    <w:p w14:paraId="37F9BDB7" w14:textId="77777777" w:rsidR="00A96CF7" w:rsidRPr="00CA5337" w:rsidRDefault="00A96CF7" w:rsidP="0004022E">
      <w:pPr>
        <w:pStyle w:val="FootnoteText"/>
        <w:rPr>
          <w:sz w:val="20"/>
        </w:rPr>
      </w:pPr>
      <w:r w:rsidRPr="00293176">
        <w:rPr>
          <w:rStyle w:val="FootnoteReference"/>
          <w:sz w:val="20"/>
        </w:rPr>
        <w:footnoteRef/>
      </w:r>
      <w:r w:rsidRPr="00293176">
        <w:rPr>
          <w:sz w:val="20"/>
        </w:rPr>
        <w:t xml:space="preserve"> Cafenica, short for the </w:t>
      </w:r>
      <w:r w:rsidRPr="00293176">
        <w:rPr>
          <w:iCs/>
          <w:sz w:val="20"/>
        </w:rPr>
        <w:t xml:space="preserve">Asociación de Cooperativas de Pequeños Productores de Café de Nicaragua </w:t>
      </w:r>
      <w:r w:rsidRPr="00293176">
        <w:rPr>
          <w:sz w:val="20"/>
        </w:rPr>
        <w:t>(</w:t>
      </w:r>
      <w:r w:rsidRPr="00CA5337">
        <w:rPr>
          <w:sz w:val="20"/>
        </w:rPr>
        <w:t xml:space="preserve">The Nicaraguan Association of Smallholder Coffee Cooperatives), is a non-profit organisation comprised of 11 national coffee producer organisations and that brings together over 10,000 small coffee producers – all of which produce fair trade coffee. It was founded in 2002. For more information, see </w:t>
      </w:r>
      <w:hyperlink r:id="rId20" w:history="1">
        <w:r w:rsidRPr="00CA5337">
          <w:rPr>
            <w:rStyle w:val="Hyperlink"/>
            <w:sz w:val="20"/>
            <w:lang w:eastAsia="en-GB"/>
          </w:rPr>
          <w:t>http://cafenica.net</w:t>
        </w:r>
      </w:hyperlink>
      <w:r w:rsidRPr="00CA5337">
        <w:rPr>
          <w:color w:val="000000" w:themeColor="text1"/>
          <w:sz w:val="20"/>
          <w:lang w:eastAsia="en-GB"/>
        </w:rPr>
        <w:t>.</w:t>
      </w:r>
    </w:p>
  </w:footnote>
  <w:footnote w:id="86">
    <w:p w14:paraId="02EFDBB1" w14:textId="7307CD48" w:rsidR="00A96CF7" w:rsidRDefault="00A96CF7" w:rsidP="0004022E">
      <w:pPr>
        <w:pStyle w:val="FootnoteText"/>
      </w:pPr>
      <w:r w:rsidRPr="00CA5337">
        <w:rPr>
          <w:rStyle w:val="FootnoteReference"/>
          <w:sz w:val="20"/>
        </w:rPr>
        <w:footnoteRef/>
      </w:r>
      <w:r w:rsidRPr="00CA5337">
        <w:rPr>
          <w:sz w:val="20"/>
        </w:rPr>
        <w:t xml:space="preserve"> FENACOOP</w:t>
      </w:r>
      <w:r>
        <w:rPr>
          <w:sz w:val="20"/>
        </w:rPr>
        <w:t xml:space="preserve"> </w:t>
      </w:r>
      <w:r w:rsidRPr="00CA5337">
        <w:rPr>
          <w:iCs/>
          <w:sz w:val="20"/>
        </w:rPr>
        <w:t xml:space="preserve">was formed in 1990 by a group of agricultural cooperatives </w:t>
      </w:r>
      <w:r w:rsidRPr="00CA5337">
        <w:rPr>
          <w:sz w:val="20"/>
        </w:rPr>
        <w:t>that represented over 400 cooperatives in Nicaragua and more than 15,000 producers. It was dissolved by the government in 2015.</w:t>
      </w:r>
    </w:p>
  </w:footnote>
  <w:footnote w:id="87">
    <w:p w14:paraId="46CBD058" w14:textId="3131E20B" w:rsidR="00A96CF7" w:rsidRPr="00991675" w:rsidRDefault="00A96CF7" w:rsidP="0004022E">
      <w:pPr>
        <w:pStyle w:val="FootnoteText"/>
      </w:pPr>
      <w:r w:rsidRPr="00293176">
        <w:rPr>
          <w:rStyle w:val="FootnoteReference"/>
          <w:sz w:val="20"/>
        </w:rPr>
        <w:footnoteRef/>
      </w:r>
      <w:r w:rsidRPr="00293176">
        <w:rPr>
          <w:sz w:val="20"/>
        </w:rPr>
        <w:t xml:space="preserve"> Small livestock refers to pigs, sheep or goats, and large livestock refers to cattle, mule</w:t>
      </w:r>
      <w:r>
        <w:rPr>
          <w:sz w:val="20"/>
        </w:rPr>
        <w:t>s</w:t>
      </w:r>
      <w:r w:rsidRPr="00293176">
        <w:rPr>
          <w:sz w:val="20"/>
        </w:rPr>
        <w:t xml:space="preserve"> and/or horses.</w:t>
      </w:r>
    </w:p>
  </w:footnote>
  <w:footnote w:id="88">
    <w:p w14:paraId="14049EE9" w14:textId="2AB0A93D" w:rsidR="00A96CF7" w:rsidRPr="00293176" w:rsidRDefault="00A96CF7" w:rsidP="0004022E">
      <w:pPr>
        <w:pStyle w:val="FootnoteText"/>
        <w:rPr>
          <w:sz w:val="20"/>
          <w:szCs w:val="20"/>
        </w:rPr>
      </w:pPr>
      <w:r w:rsidRPr="00293176">
        <w:rPr>
          <w:rStyle w:val="FootnoteReference"/>
          <w:sz w:val="20"/>
          <w:szCs w:val="20"/>
        </w:rPr>
        <w:footnoteRef/>
      </w:r>
      <w:r w:rsidRPr="00293176">
        <w:rPr>
          <w:sz w:val="20"/>
          <w:szCs w:val="20"/>
        </w:rPr>
        <w:t xml:space="preserve"> </w:t>
      </w:r>
      <w:r w:rsidRPr="00293176">
        <w:rPr>
          <w:rFonts w:eastAsia="MS Mincho"/>
          <w:sz w:val="20"/>
          <w:szCs w:val="20"/>
          <w:lang w:val="en-GB"/>
        </w:rPr>
        <w:t>At the time of the interview</w:t>
      </w:r>
      <w:r>
        <w:rPr>
          <w:rFonts w:eastAsia="MS Mincho"/>
          <w:sz w:val="20"/>
          <w:szCs w:val="20"/>
          <w:lang w:val="en-GB"/>
        </w:rPr>
        <w:t>,</w:t>
      </w:r>
      <w:r w:rsidRPr="00293176">
        <w:rPr>
          <w:rFonts w:eastAsia="MS Mincho"/>
          <w:sz w:val="20"/>
          <w:szCs w:val="20"/>
          <w:lang w:val="en-GB"/>
        </w:rPr>
        <w:t xml:space="preserve"> she was Director of the United Nations Development Programme in Nicaragua</w:t>
      </w:r>
      <w:r>
        <w:rPr>
          <w:rFonts w:eastAsia="MS Mincho"/>
          <w:sz w:val="20"/>
          <w:szCs w:val="20"/>
          <w:lang w:val="en-GB"/>
        </w:rPr>
        <w:t>.</w:t>
      </w:r>
    </w:p>
  </w:footnote>
  <w:footnote w:id="89">
    <w:p w14:paraId="76676339" w14:textId="04D3086E" w:rsidR="00A96CF7" w:rsidRPr="007A3A29" w:rsidRDefault="00A96CF7">
      <w:pPr>
        <w:pStyle w:val="FootnoteText"/>
        <w:rPr>
          <w:sz w:val="20"/>
          <w:szCs w:val="20"/>
          <w:lang w:val="en-GB"/>
        </w:rPr>
      </w:pPr>
      <w:r w:rsidRPr="007A3A29">
        <w:rPr>
          <w:rStyle w:val="FootnoteReference"/>
          <w:sz w:val="20"/>
          <w:szCs w:val="20"/>
        </w:rPr>
        <w:footnoteRef/>
      </w:r>
      <w:r w:rsidRPr="007A3A29">
        <w:rPr>
          <w:sz w:val="20"/>
          <w:szCs w:val="20"/>
        </w:rPr>
        <w:t xml:space="preserve"> </w:t>
      </w:r>
      <w:r w:rsidRPr="00F14ED1">
        <w:rPr>
          <w:sz w:val="20"/>
          <w:szCs w:val="20"/>
        </w:rPr>
        <w:t xml:space="preserve">There is a recent </w:t>
      </w:r>
      <w:r w:rsidRPr="00F14ED1">
        <w:rPr>
          <w:sz w:val="20"/>
          <w:szCs w:val="20"/>
          <w:lang w:val="en-GB"/>
        </w:rPr>
        <w:t xml:space="preserve">example of a town </w:t>
      </w:r>
      <w:r>
        <w:rPr>
          <w:sz w:val="20"/>
          <w:szCs w:val="20"/>
          <w:lang w:val="en-GB"/>
        </w:rPr>
        <w:t xml:space="preserve">located on the </w:t>
      </w:r>
      <w:r w:rsidRPr="00B8734B">
        <w:rPr>
          <w:sz w:val="20"/>
          <w:szCs w:val="20"/>
          <w:lang w:val="en-GB"/>
        </w:rPr>
        <w:t>the Nicaraguan border with Honduras</w:t>
      </w:r>
      <w:r>
        <w:rPr>
          <w:sz w:val="20"/>
          <w:szCs w:val="20"/>
          <w:lang w:val="en-GB"/>
        </w:rPr>
        <w:t xml:space="preserve"> that</w:t>
      </w:r>
      <w:r w:rsidRPr="00F14ED1">
        <w:rPr>
          <w:sz w:val="20"/>
          <w:szCs w:val="20"/>
          <w:lang w:val="en-GB"/>
        </w:rPr>
        <w:t xml:space="preserve"> </w:t>
      </w:r>
      <w:r w:rsidRPr="008B238A">
        <w:rPr>
          <w:sz w:val="20"/>
          <w:szCs w:val="20"/>
          <w:lang w:val="en-GB"/>
        </w:rPr>
        <w:t xml:space="preserve">used </w:t>
      </w:r>
      <w:r w:rsidRPr="003B7977">
        <w:rPr>
          <w:sz w:val="20"/>
          <w:szCs w:val="20"/>
          <w:lang w:val="en-GB"/>
        </w:rPr>
        <w:t xml:space="preserve">bartering until a shop was opened in 2016. Read more details in the Nicaraguan newspaper here: </w:t>
      </w:r>
      <w:hyperlink r:id="rId21" w:history="1">
        <w:r w:rsidRPr="007A3A29">
          <w:rPr>
            <w:rStyle w:val="Hyperlink"/>
          </w:rPr>
          <w:t>https://www.elnuevodiario.com.ni/nacionales/398593-mercados-trueque-noroccidente-se-modernizan/</w:t>
        </w:r>
      </w:hyperlink>
      <w:r w:rsidRPr="003B7977">
        <w:rPr>
          <w:sz w:val="20"/>
          <w:szCs w:val="20"/>
          <w:lang w:val="en-GB"/>
        </w:rPr>
        <w:t>.</w:t>
      </w:r>
    </w:p>
  </w:footnote>
  <w:footnote w:id="90">
    <w:p w14:paraId="12958D0A" w14:textId="2EF723E0" w:rsidR="00A96CF7" w:rsidRPr="00700365" w:rsidRDefault="00A96CF7" w:rsidP="0004022E">
      <w:pPr>
        <w:pStyle w:val="FootnoteText"/>
        <w:rPr>
          <w:lang w:val="en-GB"/>
        </w:rPr>
      </w:pPr>
      <w:r w:rsidRPr="00293176">
        <w:rPr>
          <w:rStyle w:val="FootnoteReference"/>
          <w:sz w:val="20"/>
        </w:rPr>
        <w:footnoteRef/>
      </w:r>
      <w:r w:rsidRPr="00293176">
        <w:rPr>
          <w:sz w:val="20"/>
        </w:rPr>
        <w:t xml:space="preserve"> In Spanish, Fundación entre Mujeres. For more information, see: </w:t>
      </w:r>
      <w:hyperlink r:id="rId22" w:history="1">
        <w:r w:rsidRPr="00293176">
          <w:rPr>
            <w:rStyle w:val="Hyperlink"/>
            <w:sz w:val="20"/>
          </w:rPr>
          <w:t>https://www.facebook.com/FundacionEntreMujeres/</w:t>
        </w:r>
      </w:hyperlink>
      <w:r>
        <w:rPr>
          <w:lang w:val="en-GB"/>
        </w:rPr>
        <w:t>.</w:t>
      </w:r>
    </w:p>
  </w:footnote>
  <w:footnote w:id="91">
    <w:p w14:paraId="0E506990" w14:textId="77777777" w:rsidR="00A96CF7" w:rsidRPr="00293176" w:rsidRDefault="00A96CF7" w:rsidP="0004022E">
      <w:pPr>
        <w:pStyle w:val="FootnoteText"/>
        <w:rPr>
          <w:sz w:val="20"/>
          <w:lang w:val="en-GB"/>
        </w:rPr>
      </w:pPr>
      <w:r w:rsidRPr="00293176">
        <w:rPr>
          <w:rStyle w:val="FootnoteReference"/>
          <w:sz w:val="20"/>
        </w:rPr>
        <w:footnoteRef/>
      </w:r>
      <w:r w:rsidRPr="00293176">
        <w:rPr>
          <w:sz w:val="20"/>
        </w:rPr>
        <w:t xml:space="preserve"> In this particular finding, the men are referring to the price paid for coffee and sesame, which does not reflect the all the work that the men undertake all year. They also mentioned the very low daily rate paid for a day’s work as day laborer.</w:t>
      </w:r>
    </w:p>
  </w:footnote>
  <w:footnote w:id="92">
    <w:p w14:paraId="54C1EF7A" w14:textId="77777777" w:rsidR="00A96CF7" w:rsidRPr="00B14367" w:rsidRDefault="00A96CF7" w:rsidP="00AD31FD">
      <w:pPr>
        <w:pStyle w:val="FootnoteText"/>
        <w:rPr>
          <w:lang w:val="en-GB"/>
        </w:rPr>
      </w:pPr>
      <w:r w:rsidRPr="00293176">
        <w:rPr>
          <w:rStyle w:val="FootnoteReference"/>
          <w:sz w:val="20"/>
        </w:rPr>
        <w:footnoteRef/>
      </w:r>
      <w:r w:rsidRPr="00293176">
        <w:rPr>
          <w:sz w:val="20"/>
        </w:rPr>
        <w:t xml:space="preserve"> At the time of the 1979 revolution and during the decades following the 1990 Sandinista electoral defeat, the official Sandinista </w:t>
      </w:r>
      <w:r w:rsidRPr="00293176">
        <w:rPr>
          <w:sz w:val="20"/>
          <w:lang w:val="en-GB"/>
        </w:rPr>
        <w:t>colours were black</w:t>
      </w:r>
      <w:r w:rsidRPr="00293176">
        <w:rPr>
          <w:sz w:val="20"/>
        </w:rPr>
        <w:t xml:space="preserve"> and red. The post-2006 FSLN Sandinista changed the red to bright pink as the government rebranded their image. The new slogan was ‘Cristiana, Socialista, Solidaría’ (Christian, Socialist, in Solidarity).</w:t>
      </w:r>
    </w:p>
  </w:footnote>
  <w:footnote w:id="93">
    <w:p w14:paraId="02540A94" w14:textId="77777777" w:rsidR="00A96CF7" w:rsidRPr="004B7059" w:rsidRDefault="00A96CF7" w:rsidP="0004022E">
      <w:pPr>
        <w:pStyle w:val="FootnoteText"/>
        <w:rPr>
          <w:lang w:val="en-GB"/>
        </w:rPr>
      </w:pPr>
      <w:r w:rsidRPr="00293176">
        <w:rPr>
          <w:rStyle w:val="FootnoteReference"/>
          <w:sz w:val="20"/>
        </w:rPr>
        <w:footnoteRef/>
      </w:r>
      <w:r w:rsidRPr="00293176">
        <w:rPr>
          <w:sz w:val="20"/>
        </w:rPr>
        <w:t xml:space="preserve"> </w:t>
      </w:r>
      <w:r w:rsidRPr="00293176">
        <w:rPr>
          <w:sz w:val="20"/>
          <w:lang w:val="en-GB"/>
        </w:rPr>
        <w:t>In this scoping exercise, one TUS was carried out with one family.</w:t>
      </w:r>
    </w:p>
  </w:footnote>
  <w:footnote w:id="94">
    <w:p w14:paraId="6D269140" w14:textId="77777777" w:rsidR="00A96CF7" w:rsidRPr="00293176" w:rsidRDefault="00A96CF7" w:rsidP="0004022E">
      <w:pPr>
        <w:pStyle w:val="FootnoteText"/>
        <w:rPr>
          <w:sz w:val="20"/>
          <w:lang w:val="en-GB"/>
        </w:rPr>
      </w:pPr>
      <w:r w:rsidRPr="00293176">
        <w:rPr>
          <w:rStyle w:val="FootnoteReference"/>
          <w:sz w:val="20"/>
        </w:rPr>
        <w:footnoteRef/>
      </w:r>
      <w:r w:rsidRPr="00293176">
        <w:rPr>
          <w:sz w:val="20"/>
        </w:rPr>
        <w:t xml:space="preserve"> </w:t>
      </w:r>
      <w:r w:rsidRPr="00293176">
        <w:rPr>
          <w:sz w:val="20"/>
          <w:lang w:val="en-GB"/>
        </w:rPr>
        <w:t>Grupo Venancia is a feminist popular education and communications collective in Matagalpa, Nicaragua.</w:t>
      </w:r>
    </w:p>
  </w:footnote>
  <w:footnote w:id="95">
    <w:p w14:paraId="7B9F3B03" w14:textId="7A652281" w:rsidR="00A96CF7" w:rsidRPr="00F876C8" w:rsidRDefault="00A96CF7" w:rsidP="0004022E">
      <w:pPr>
        <w:pStyle w:val="FootnoteText"/>
      </w:pPr>
      <w:r w:rsidRPr="00293176">
        <w:rPr>
          <w:rStyle w:val="FootnoteReference"/>
          <w:sz w:val="20"/>
        </w:rPr>
        <w:footnoteRef/>
      </w:r>
      <w:r w:rsidRPr="00293176">
        <w:rPr>
          <w:sz w:val="20"/>
        </w:rPr>
        <w:t xml:space="preserve"> </w:t>
      </w:r>
      <w:r w:rsidRPr="00293176">
        <w:rPr>
          <w:sz w:val="20"/>
          <w:lang w:val="en-GB"/>
        </w:rPr>
        <w:t>The roundtable discussion</w:t>
      </w:r>
      <w:r w:rsidRPr="00293176">
        <w:rPr>
          <w:sz w:val="20"/>
        </w:rPr>
        <w:t xml:space="preserve"> organized by myself and BSI was held with the private sector to gain additional perspectives and inputs, Se</w:t>
      </w:r>
      <w:r>
        <w:rPr>
          <w:sz w:val="20"/>
        </w:rPr>
        <w:t>ptember 22, 2015. See Appendix B</w:t>
      </w:r>
      <w:r w:rsidRPr="00293176">
        <w:rPr>
          <w:sz w:val="20"/>
        </w:rPr>
        <w:t xml:space="preserve"> for a summary of the roundtable discussion.</w:t>
      </w:r>
    </w:p>
  </w:footnote>
  <w:footnote w:id="96">
    <w:p w14:paraId="26A7CF1D" w14:textId="77777777" w:rsidR="00A96CF7" w:rsidRPr="00293176" w:rsidRDefault="00A96CF7" w:rsidP="0004022E">
      <w:pPr>
        <w:pStyle w:val="FootnoteText"/>
        <w:rPr>
          <w:sz w:val="20"/>
        </w:rPr>
      </w:pPr>
      <w:r w:rsidRPr="00293176">
        <w:rPr>
          <w:rStyle w:val="FootnoteReference"/>
          <w:sz w:val="20"/>
        </w:rPr>
        <w:footnoteRef/>
      </w:r>
      <w:r w:rsidRPr="00293176">
        <w:rPr>
          <w:sz w:val="20"/>
        </w:rPr>
        <w:t xml:space="preserve"> The exchange rate for April 2017 was USD$1 = C$29.50 </w:t>
      </w:r>
      <w:r w:rsidRPr="00293176">
        <w:rPr>
          <w:sz w:val="20"/>
          <w:lang w:val="en-GB"/>
        </w:rPr>
        <w:t xml:space="preserve">according to the National Nicaraguan Bank website: </w:t>
      </w:r>
      <w:hyperlink r:id="rId23" w:history="1">
        <w:r w:rsidRPr="00293176">
          <w:rPr>
            <w:rStyle w:val="Hyperlink"/>
            <w:sz w:val="20"/>
            <w:lang w:val="en-GB"/>
          </w:rPr>
          <w:t>http://www.bcn.gob.ni/estadisticas/mercados_cambiarios/tipo_cambio/cordoba_dolar/index.php</w:t>
        </w:r>
      </w:hyperlink>
      <w:r w:rsidRPr="00293176">
        <w:rPr>
          <w:sz w:val="20"/>
          <w:lang w:val="en-GB"/>
        </w:rPr>
        <w:t>.</w:t>
      </w:r>
    </w:p>
  </w:footnote>
  <w:footnote w:id="97">
    <w:p w14:paraId="0EC14A1B" w14:textId="5A281FE4" w:rsidR="00A96CF7" w:rsidRPr="00A871BD" w:rsidRDefault="00A96CF7" w:rsidP="0004022E">
      <w:pPr>
        <w:pStyle w:val="FootnoteText"/>
      </w:pPr>
      <w:r w:rsidRPr="00293176">
        <w:rPr>
          <w:rStyle w:val="FootnoteReference"/>
          <w:sz w:val="20"/>
        </w:rPr>
        <w:footnoteRef/>
      </w:r>
      <w:r w:rsidRPr="00293176">
        <w:rPr>
          <w:sz w:val="20"/>
        </w:rPr>
        <w:t xml:space="preserve"> See the Ministry of Labour (MITRAB) official minimum wage tables for 2016: </w:t>
      </w:r>
      <w:hyperlink r:id="rId24" w:history="1">
        <w:r w:rsidRPr="00293176">
          <w:rPr>
            <w:rStyle w:val="Hyperlink"/>
            <w:sz w:val="20"/>
          </w:rPr>
          <w:t>http://www.mitrab.gob.ni/documentos/salario-minimo/Acta%20No.%202%20CNSM%2018.08.16-%20Ratificacion%20Salario%20Minimo.pdf/view</w:t>
        </w:r>
      </w:hyperlink>
    </w:p>
  </w:footnote>
  <w:footnote w:id="98">
    <w:p w14:paraId="7B2D0996" w14:textId="7A4123FC" w:rsidR="00A96CF7" w:rsidRPr="007A3A29" w:rsidRDefault="00A96CF7">
      <w:pPr>
        <w:pStyle w:val="FootnoteText"/>
        <w:rPr>
          <w:lang w:val="en-GB"/>
        </w:rPr>
      </w:pPr>
      <w:r w:rsidRPr="007A3A29">
        <w:rPr>
          <w:rStyle w:val="FootnoteReference"/>
          <w:sz w:val="20"/>
          <w:szCs w:val="20"/>
        </w:rPr>
        <w:footnoteRef/>
      </w:r>
      <w:r w:rsidRPr="007A3A29">
        <w:rPr>
          <w:sz w:val="20"/>
          <w:szCs w:val="20"/>
        </w:rPr>
        <w:t xml:space="preserve"> </w:t>
      </w:r>
      <w:r w:rsidRPr="007A3A29">
        <w:rPr>
          <w:sz w:val="20"/>
          <w:szCs w:val="20"/>
          <w:lang w:val="en-GB"/>
        </w:rPr>
        <w:t>These numbers are according to the</w:t>
      </w:r>
      <w:r>
        <w:rPr>
          <w:sz w:val="20"/>
          <w:szCs w:val="20"/>
          <w:lang w:val="en-GB"/>
        </w:rPr>
        <w:t xml:space="preserve"> figures given by</w:t>
      </w:r>
      <w:r w:rsidRPr="007A3A29">
        <w:rPr>
          <w:sz w:val="20"/>
          <w:szCs w:val="20"/>
          <w:lang w:val="en-GB"/>
        </w:rPr>
        <w:t xml:space="preserve"> expert interviewees and friends. I verified </w:t>
      </w:r>
      <w:r>
        <w:rPr>
          <w:sz w:val="20"/>
          <w:szCs w:val="20"/>
          <w:lang w:val="en-GB"/>
        </w:rPr>
        <w:t>with independent sources.</w:t>
      </w:r>
    </w:p>
  </w:footnote>
  <w:footnote w:id="99">
    <w:p w14:paraId="284494A0" w14:textId="505C4DA9" w:rsidR="00A96CF7" w:rsidRPr="00293176" w:rsidRDefault="00A96CF7" w:rsidP="0004022E">
      <w:pPr>
        <w:pStyle w:val="FootnoteText"/>
        <w:rPr>
          <w:sz w:val="20"/>
          <w:szCs w:val="20"/>
        </w:rPr>
      </w:pPr>
      <w:r w:rsidRPr="00293176">
        <w:rPr>
          <w:rStyle w:val="FootnoteReference"/>
          <w:sz w:val="20"/>
          <w:szCs w:val="20"/>
        </w:rPr>
        <w:footnoteRef/>
      </w:r>
      <w:r w:rsidRPr="00293176">
        <w:rPr>
          <w:sz w:val="20"/>
          <w:szCs w:val="20"/>
        </w:rPr>
        <w:t xml:space="preserve"> See</w:t>
      </w:r>
      <w:r>
        <w:rPr>
          <w:sz w:val="20"/>
          <w:szCs w:val="20"/>
        </w:rPr>
        <w:t xml:space="preserve"> </w:t>
      </w:r>
      <w:hyperlink r:id="rId25" w:history="1">
        <w:r w:rsidRPr="00E82DD7">
          <w:rPr>
            <w:rStyle w:val="Hyperlink"/>
            <w:sz w:val="20"/>
            <w:szCs w:val="20"/>
          </w:rPr>
          <w:t>http://legislacion.asamblea.gob.ni/Normaweb.nsf/($All)/D4A4AB6A3935BB7906257331005B6D2C?OpenDocument</w:t>
        </w:r>
      </w:hyperlink>
      <w:r>
        <w:rPr>
          <w:sz w:val="20"/>
          <w:szCs w:val="20"/>
        </w:rPr>
        <w:t xml:space="preserve"> </w:t>
      </w:r>
    </w:p>
  </w:footnote>
  <w:footnote w:id="100">
    <w:p w14:paraId="6A06750C" w14:textId="6BBB709B" w:rsidR="00A96CF7" w:rsidRPr="00171CF0" w:rsidRDefault="00A96CF7" w:rsidP="0004022E">
      <w:pPr>
        <w:rPr>
          <w:color w:val="FF0000"/>
          <w:sz w:val="20"/>
          <w:szCs w:val="20"/>
        </w:rPr>
      </w:pPr>
      <w:r w:rsidRPr="008C041F">
        <w:rPr>
          <w:rStyle w:val="FootnoteReference"/>
          <w:sz w:val="20"/>
          <w:szCs w:val="20"/>
        </w:rPr>
        <w:footnoteRef/>
      </w:r>
      <w:r w:rsidRPr="008C041F">
        <w:rPr>
          <w:sz w:val="20"/>
          <w:szCs w:val="20"/>
        </w:rPr>
        <w:t xml:space="preserve"> See </w:t>
      </w:r>
      <w:hyperlink r:id="rId26" w:history="1">
        <w:r w:rsidRPr="003613EF">
          <w:rPr>
            <w:rStyle w:val="Hyperlink"/>
            <w:sz w:val="20"/>
            <w:szCs w:val="20"/>
          </w:rPr>
          <w:t>https://construir.esnicaragua.com/tabla-salario-minimo-nicaragua-2016/</w:t>
        </w:r>
      </w:hyperlink>
      <w:r>
        <w:rPr>
          <w:sz w:val="20"/>
          <w:szCs w:val="20"/>
        </w:rPr>
        <w:t>.</w:t>
      </w:r>
    </w:p>
  </w:footnote>
  <w:footnote w:id="101">
    <w:p w14:paraId="14C52CAC" w14:textId="77777777" w:rsidR="00A96CF7" w:rsidRPr="00293176" w:rsidRDefault="00A96CF7" w:rsidP="0004022E">
      <w:pPr>
        <w:pStyle w:val="FootnoteText"/>
        <w:rPr>
          <w:sz w:val="20"/>
          <w:szCs w:val="20"/>
          <w:lang w:val="en-GB"/>
        </w:rPr>
      </w:pPr>
      <w:r w:rsidRPr="00293176">
        <w:rPr>
          <w:rStyle w:val="FootnoteReference"/>
          <w:sz w:val="20"/>
          <w:szCs w:val="20"/>
        </w:rPr>
        <w:footnoteRef/>
      </w:r>
      <w:r w:rsidRPr="00293176">
        <w:rPr>
          <w:sz w:val="20"/>
          <w:szCs w:val="20"/>
        </w:rPr>
        <w:t xml:space="preserve"> See prices published by National Institute of Development Information (INIDE): </w:t>
      </w:r>
      <w:hyperlink r:id="rId27" w:history="1">
        <w:r w:rsidRPr="00293176">
          <w:rPr>
            <w:rStyle w:val="Hyperlink"/>
            <w:sz w:val="20"/>
            <w:szCs w:val="20"/>
          </w:rPr>
          <w:t>http://www.inide.gob.ni/CanastaB/CanastaB.htm</w:t>
        </w:r>
      </w:hyperlink>
      <w:r w:rsidRPr="00293176">
        <w:rPr>
          <w:sz w:val="20"/>
          <w:szCs w:val="20"/>
        </w:rPr>
        <w:t xml:space="preserve">. </w:t>
      </w:r>
    </w:p>
  </w:footnote>
  <w:footnote w:id="102">
    <w:p w14:paraId="6B4F77C2" w14:textId="77777777" w:rsidR="00A96CF7" w:rsidRPr="00293176" w:rsidRDefault="00A96CF7" w:rsidP="0004022E">
      <w:pPr>
        <w:pStyle w:val="FootnoteText"/>
        <w:rPr>
          <w:sz w:val="20"/>
          <w:szCs w:val="20"/>
          <w:lang w:val="en-GB"/>
        </w:rPr>
      </w:pPr>
      <w:r w:rsidRPr="00293176">
        <w:rPr>
          <w:rStyle w:val="FootnoteReference"/>
          <w:sz w:val="20"/>
          <w:szCs w:val="20"/>
        </w:rPr>
        <w:footnoteRef/>
      </w:r>
      <w:r w:rsidRPr="00293176">
        <w:rPr>
          <w:sz w:val="20"/>
          <w:szCs w:val="20"/>
        </w:rPr>
        <w:t xml:space="preserve"> </w:t>
      </w:r>
      <w:r w:rsidRPr="00293176">
        <w:rPr>
          <w:sz w:val="20"/>
          <w:szCs w:val="20"/>
          <w:lang w:val="en-GB"/>
        </w:rPr>
        <w:t xml:space="preserve">Exchange rate for June 30, 2017, was USD$1 = C$30 according to the National Nicaraguan Bank website: </w:t>
      </w:r>
      <w:hyperlink r:id="rId28" w:history="1">
        <w:r w:rsidRPr="00293176">
          <w:rPr>
            <w:rStyle w:val="Hyperlink"/>
            <w:sz w:val="20"/>
            <w:szCs w:val="20"/>
            <w:lang w:val="en-GB"/>
          </w:rPr>
          <w:t>http://www.bcn.gob.ni/estadisticas/mercados_cambiarios/tipo_cambio/cordoba_dolar/index.php</w:t>
        </w:r>
      </w:hyperlink>
      <w:r w:rsidRPr="00293176">
        <w:rPr>
          <w:sz w:val="20"/>
          <w:szCs w:val="20"/>
          <w:lang w:val="en-GB"/>
        </w:rPr>
        <w:t xml:space="preserve">. </w:t>
      </w:r>
    </w:p>
  </w:footnote>
  <w:footnote w:id="103">
    <w:p w14:paraId="52ED1FD4" w14:textId="41A3FA36" w:rsidR="00A96CF7" w:rsidRPr="00295CEC" w:rsidRDefault="00A96CF7">
      <w:pPr>
        <w:pStyle w:val="FootnoteText"/>
        <w:rPr>
          <w:sz w:val="20"/>
          <w:szCs w:val="20"/>
          <w:lang w:val="en-GB"/>
        </w:rPr>
      </w:pPr>
      <w:r w:rsidRPr="007A3A29">
        <w:rPr>
          <w:rStyle w:val="FootnoteReference"/>
          <w:sz w:val="20"/>
          <w:szCs w:val="20"/>
        </w:rPr>
        <w:footnoteRef/>
      </w:r>
      <w:r w:rsidRPr="007A3A29">
        <w:rPr>
          <w:sz w:val="20"/>
          <w:szCs w:val="20"/>
        </w:rPr>
        <w:t xml:space="preserve"> </w:t>
      </w:r>
      <w:r w:rsidRPr="00250728">
        <w:rPr>
          <w:sz w:val="20"/>
          <w:szCs w:val="20"/>
        </w:rPr>
        <w:t>The</w:t>
      </w:r>
      <w:r w:rsidRPr="00295CEC">
        <w:rPr>
          <w:sz w:val="20"/>
          <w:szCs w:val="20"/>
        </w:rPr>
        <w:t xml:space="preserve"> definition of a living wage is the following: </w:t>
      </w:r>
      <w:r>
        <w:rPr>
          <w:sz w:val="20"/>
          <w:szCs w:val="20"/>
          <w:lang w:val="en-GB"/>
        </w:rPr>
        <w:t>‘</w:t>
      </w:r>
      <w:r w:rsidRPr="00295CEC">
        <w:rPr>
          <w:sz w:val="20"/>
          <w:szCs w:val="20"/>
          <w:lang w:val="en-GB"/>
        </w:rPr>
        <w:t>Remuneration received for a standard work week by a worker in a particular place sufficient to afford a decent standard of living for the worker and her or his family. Elements of a decent standard of living include food, water, housing, education, health care, transport, clothing, and other essential needs, including provision for unexpected events’ (Anker, 2013</w:t>
      </w:r>
      <w:r>
        <w:rPr>
          <w:sz w:val="20"/>
          <w:szCs w:val="20"/>
          <w:lang w:val="en-GB"/>
        </w:rPr>
        <w:t>, p. 2</w:t>
      </w:r>
      <w:r w:rsidRPr="00295CEC">
        <w:rPr>
          <w:sz w:val="20"/>
          <w:szCs w:val="20"/>
          <w:lang w:val="en-GB"/>
        </w:rPr>
        <w:t>)</w:t>
      </w:r>
      <w:r>
        <w:rPr>
          <w:sz w:val="20"/>
          <w:szCs w:val="20"/>
          <w:lang w:val="en-GB"/>
        </w:rPr>
        <w:t>.</w:t>
      </w:r>
    </w:p>
  </w:footnote>
  <w:footnote w:id="104">
    <w:p w14:paraId="6872B68C" w14:textId="4AC2B1FF" w:rsidR="00A96CF7" w:rsidRPr="007A3A29" w:rsidRDefault="00A96CF7" w:rsidP="00293176">
      <w:pPr>
        <w:pStyle w:val="p1"/>
        <w:rPr>
          <w:rFonts w:ascii="Times New Roman" w:hAnsi="Times New Roman" w:cs="Times New Roman"/>
        </w:rPr>
      </w:pPr>
      <w:r w:rsidRPr="007A3A29">
        <w:rPr>
          <w:rStyle w:val="FootnoteReference"/>
          <w:rFonts w:ascii="Times New Roman" w:hAnsi="Times New Roman" w:cs="Times New Roman"/>
          <w:sz w:val="20"/>
          <w:szCs w:val="20"/>
        </w:rPr>
        <w:footnoteRef/>
      </w:r>
      <w:r w:rsidRPr="007A3A29">
        <w:rPr>
          <w:rFonts w:ascii="Times New Roman" w:hAnsi="Times New Roman" w:cs="Times New Roman"/>
          <w:sz w:val="20"/>
          <w:szCs w:val="20"/>
        </w:rPr>
        <w:t xml:space="preserve"> This connects to the living wage debate. Almost a century after the ILO Constitution </w:t>
      </w:r>
      <w:r>
        <w:rPr>
          <w:rFonts w:ascii="Times New Roman" w:hAnsi="Times New Roman" w:cs="Times New Roman"/>
          <w:sz w:val="20"/>
          <w:szCs w:val="20"/>
        </w:rPr>
        <w:t>recognise</w:t>
      </w:r>
      <w:r w:rsidRPr="007A3A29">
        <w:rPr>
          <w:rFonts w:ascii="Times New Roman" w:hAnsi="Times New Roman" w:cs="Times New Roman"/>
          <w:sz w:val="20"/>
          <w:szCs w:val="20"/>
        </w:rPr>
        <w:t>d the need for workers to earn a living wage, the question of whether wages enable workers to meet their needs and those of their families has gained renewed momentum. </w:t>
      </w:r>
    </w:p>
  </w:footnote>
  <w:footnote w:id="105">
    <w:p w14:paraId="3B0CCDBE" w14:textId="77777777" w:rsidR="00A96CF7" w:rsidRPr="00AA43DF" w:rsidRDefault="00A96CF7" w:rsidP="00E2458D">
      <w:pPr>
        <w:pStyle w:val="FootnoteText"/>
        <w:rPr>
          <w:lang w:val="en-GB"/>
        </w:rPr>
      </w:pPr>
      <w:r w:rsidRPr="00293176">
        <w:rPr>
          <w:rStyle w:val="FootnoteReference"/>
          <w:sz w:val="20"/>
        </w:rPr>
        <w:footnoteRef/>
      </w:r>
      <w:r w:rsidRPr="00293176">
        <w:rPr>
          <w:sz w:val="20"/>
        </w:rPr>
        <w:t xml:space="preserve"> </w:t>
      </w:r>
      <w:r w:rsidRPr="00293176">
        <w:rPr>
          <w:sz w:val="20"/>
          <w:lang w:val="en-GB"/>
        </w:rPr>
        <w:t>Unit of weight: 1 quintal is equal to 100 kg.</w:t>
      </w:r>
    </w:p>
  </w:footnote>
  <w:footnote w:id="106">
    <w:p w14:paraId="62C4B162" w14:textId="53E578FF" w:rsidR="00A96CF7" w:rsidRPr="00E2458D" w:rsidRDefault="00A96CF7" w:rsidP="00FB3E5E">
      <w:pPr>
        <w:rPr>
          <w:color w:val="444444"/>
          <w:sz w:val="20"/>
          <w:szCs w:val="20"/>
          <w:shd w:val="clear" w:color="auto" w:fill="FFFFFF"/>
        </w:rPr>
      </w:pPr>
      <w:r w:rsidRPr="007A3A29">
        <w:rPr>
          <w:rStyle w:val="FootnoteReference"/>
          <w:sz w:val="20"/>
          <w:szCs w:val="20"/>
        </w:rPr>
        <w:footnoteRef/>
      </w:r>
      <w:r w:rsidRPr="007A3A29">
        <w:rPr>
          <w:sz w:val="20"/>
          <w:szCs w:val="20"/>
        </w:rPr>
        <w:t xml:space="preserve"> </w:t>
      </w:r>
      <w:r w:rsidRPr="00E2458D">
        <w:rPr>
          <w:sz w:val="20"/>
          <w:szCs w:val="20"/>
        </w:rPr>
        <w:t>It has been reported that T</w:t>
      </w:r>
      <w:r w:rsidRPr="00E2458D">
        <w:rPr>
          <w:color w:val="444444"/>
          <w:sz w:val="20"/>
          <w:szCs w:val="20"/>
          <w:shd w:val="clear" w:color="auto" w:fill="FFFFFF"/>
        </w:rPr>
        <w:t xml:space="preserve">he Body Shop customers are 80% female and between the age of 20-60 years old. </w:t>
      </w:r>
      <w:hyperlink r:id="rId29" w:history="1">
        <w:r w:rsidRPr="00E2458D">
          <w:rPr>
            <w:rStyle w:val="Hyperlink"/>
            <w:sz w:val="20"/>
            <w:szCs w:val="20"/>
            <w:shd w:val="clear" w:color="auto" w:fill="FFFFFF"/>
          </w:rPr>
          <w:t>https://www.theguardian.com/business/2005/jul/17/lifeandhealth.beauty</w:t>
        </w:r>
      </w:hyperlink>
      <w:r w:rsidRPr="00E2458D">
        <w:rPr>
          <w:color w:val="444444"/>
          <w:sz w:val="20"/>
          <w:szCs w:val="20"/>
          <w:shd w:val="clear" w:color="auto" w:fill="FFFFFF"/>
        </w:rPr>
        <w:t xml:space="preserve"> and ‘the</w:t>
      </w:r>
    </w:p>
    <w:p w14:paraId="3B34BFA5" w14:textId="567B5E48" w:rsidR="00A96CF7" w:rsidRPr="00E2458D" w:rsidRDefault="00A96CF7" w:rsidP="00FB3E5E">
      <w:pPr>
        <w:rPr>
          <w:color w:val="444444"/>
          <w:sz w:val="20"/>
          <w:szCs w:val="20"/>
          <w:shd w:val="clear" w:color="auto" w:fill="FFFFFF"/>
        </w:rPr>
      </w:pPr>
      <w:r w:rsidRPr="00E2458D">
        <w:rPr>
          <w:color w:val="444444"/>
          <w:sz w:val="20"/>
          <w:szCs w:val="20"/>
          <w:shd w:val="clear" w:color="auto" w:fill="FFFFFF"/>
        </w:rPr>
        <w:t>has range of customers from middle to upper class who are both women and men. Although the brand began with women beauty products offer, it started to focus on men in the recent years. Indeed, men are tending increasingly to take care of their skin and to have comfortable bath. The Body Shop main target audience is 20-55-year-old women.</w:t>
      </w:r>
      <w:r w:rsidRPr="00E2458D">
        <w:rPr>
          <w:sz w:val="20"/>
          <w:szCs w:val="20"/>
        </w:rPr>
        <w:t xml:space="preserve"> </w:t>
      </w:r>
      <w:hyperlink r:id="rId30" w:history="1">
        <w:r w:rsidRPr="00E2458D">
          <w:rPr>
            <w:rStyle w:val="Hyperlink"/>
            <w:sz w:val="20"/>
            <w:szCs w:val="20"/>
            <w:shd w:val="clear" w:color="auto" w:fill="FFFFFF"/>
          </w:rPr>
          <w:t>https://naturalcosmeticslovers.wordpress.com/xxxxxxxxxxxxx/the-body-shop/consumer-analysis-of-the-body-shop/</w:t>
        </w:r>
      </w:hyperlink>
    </w:p>
    <w:p w14:paraId="2FE7B5B1" w14:textId="77777777" w:rsidR="00A96CF7" w:rsidRPr="00FB3E5E" w:rsidRDefault="00A96CF7" w:rsidP="00FB3E5E">
      <w:pPr>
        <w:rPr>
          <w:sz w:val="20"/>
          <w:szCs w:val="20"/>
        </w:rPr>
      </w:pPr>
    </w:p>
    <w:p w14:paraId="6B933F1F" w14:textId="371D48EB" w:rsidR="00A96CF7" w:rsidRPr="00FB3E5E" w:rsidRDefault="00A96CF7">
      <w:pPr>
        <w:pStyle w:val="FootnoteText"/>
        <w:rPr>
          <w:lang w:val="en-GB"/>
        </w:rPr>
      </w:pPr>
    </w:p>
  </w:footnote>
  <w:footnote w:id="107">
    <w:p w14:paraId="459BFE61" w14:textId="2A336F4F" w:rsidR="00A96CF7" w:rsidRPr="009477FD" w:rsidRDefault="00A96CF7" w:rsidP="00E53E84">
      <w:pPr>
        <w:pStyle w:val="FootnoteText"/>
        <w:rPr>
          <w:sz w:val="20"/>
          <w:szCs w:val="20"/>
          <w:lang w:val="en-GB"/>
        </w:rPr>
      </w:pPr>
      <w:r w:rsidRPr="00305073">
        <w:rPr>
          <w:rStyle w:val="FootnoteReference"/>
          <w:sz w:val="20"/>
          <w:szCs w:val="20"/>
        </w:rPr>
        <w:footnoteRef/>
      </w:r>
      <w:r>
        <w:rPr>
          <w:sz w:val="20"/>
          <w:szCs w:val="20"/>
        </w:rPr>
        <w:t xml:space="preserve"> </w:t>
      </w:r>
      <w:r w:rsidRPr="009477FD">
        <w:rPr>
          <w:sz w:val="20"/>
          <w:szCs w:val="20"/>
        </w:rPr>
        <w:t xml:space="preserve">Emotional abuse </w:t>
      </w:r>
      <w:r w:rsidRPr="009477FD">
        <w:rPr>
          <w:sz w:val="20"/>
          <w:szCs w:val="20"/>
          <w:lang w:val="en-GB"/>
        </w:rPr>
        <w:t>by an intimate partner can be a</w:t>
      </w:r>
      <w:r w:rsidRPr="009477FD">
        <w:rPr>
          <w:iCs/>
          <w:sz w:val="20"/>
          <w:szCs w:val="20"/>
          <w:lang w:val="en-GB"/>
        </w:rPr>
        <w:t xml:space="preserve">ny of the following acts: </w:t>
      </w:r>
      <w:r>
        <w:rPr>
          <w:sz w:val="20"/>
          <w:szCs w:val="20"/>
          <w:lang w:val="en-GB"/>
        </w:rPr>
        <w:t>i</w:t>
      </w:r>
      <w:r w:rsidRPr="009477FD">
        <w:rPr>
          <w:sz w:val="20"/>
          <w:szCs w:val="20"/>
          <w:lang w:val="en-GB"/>
        </w:rPr>
        <w:t>nsulted h</w:t>
      </w:r>
      <w:r>
        <w:rPr>
          <w:sz w:val="20"/>
          <w:szCs w:val="20"/>
          <w:lang w:val="en-GB"/>
        </w:rPr>
        <w:t>er; belittled or humiliated her;</w:t>
      </w:r>
      <w:r w:rsidRPr="009477FD">
        <w:rPr>
          <w:sz w:val="20"/>
          <w:szCs w:val="20"/>
          <w:lang w:val="en-GB"/>
        </w:rPr>
        <w:t xml:space="preserve"> scared or intimidated her (e.g. by </w:t>
      </w:r>
      <w:r>
        <w:rPr>
          <w:sz w:val="20"/>
          <w:szCs w:val="20"/>
          <w:lang w:val="en-GB"/>
        </w:rPr>
        <w:t>destroying her personal things);</w:t>
      </w:r>
      <w:r w:rsidRPr="009477FD">
        <w:rPr>
          <w:sz w:val="20"/>
          <w:szCs w:val="20"/>
          <w:lang w:val="en-GB"/>
        </w:rPr>
        <w:t xml:space="preserve"> threatened to harm</w:t>
      </w:r>
      <w:r>
        <w:rPr>
          <w:sz w:val="20"/>
          <w:szCs w:val="20"/>
          <w:lang w:val="en-GB"/>
        </w:rPr>
        <w:t xml:space="preserve"> her or someone she cared about; threatened to abandon her;</w:t>
      </w:r>
      <w:r w:rsidRPr="009477FD">
        <w:rPr>
          <w:sz w:val="20"/>
          <w:szCs w:val="20"/>
          <w:lang w:val="en-GB"/>
        </w:rPr>
        <w:t xml:space="preserve"> threa</w:t>
      </w:r>
      <w:r>
        <w:rPr>
          <w:sz w:val="20"/>
          <w:szCs w:val="20"/>
          <w:lang w:val="en-GB"/>
        </w:rPr>
        <w:t>tened to take her children away; or</w:t>
      </w:r>
      <w:r w:rsidRPr="009477FD">
        <w:rPr>
          <w:sz w:val="20"/>
          <w:szCs w:val="20"/>
          <w:lang w:val="en-GB"/>
        </w:rPr>
        <w:t xml:space="preserve"> threatened to withhold economic support (Bott et al, 2012).</w:t>
      </w:r>
      <w:r>
        <w:rPr>
          <w:sz w:val="20"/>
          <w:szCs w:val="20"/>
          <w:lang w:val="en-GB"/>
        </w:rPr>
        <w:t xml:space="preserve"> </w:t>
      </w:r>
      <w:r w:rsidRPr="009477FD">
        <w:rPr>
          <w:bCs/>
          <w:sz w:val="20"/>
          <w:szCs w:val="20"/>
          <w:lang w:val="en-GB"/>
        </w:rPr>
        <w:t>Intimate partner violence (IPV) which is prevalent in Nicaragua is one of the most common forms of violence against wome</w:t>
      </w:r>
      <w:r>
        <w:rPr>
          <w:bCs/>
          <w:sz w:val="20"/>
          <w:szCs w:val="20"/>
          <w:lang w:val="en-GB"/>
        </w:rPr>
        <w:t>n and includes physical, sexual</w:t>
      </w:r>
      <w:r w:rsidRPr="009477FD">
        <w:rPr>
          <w:bCs/>
          <w:sz w:val="20"/>
          <w:szCs w:val="20"/>
          <w:lang w:val="en-GB"/>
        </w:rPr>
        <w:t xml:space="preserve"> and emotional abuse and controlling behaviours by an intimate partner. </w:t>
      </w:r>
      <w:r w:rsidRPr="009477FD">
        <w:rPr>
          <w:sz w:val="20"/>
          <w:szCs w:val="20"/>
          <w:lang w:val="en-GB"/>
        </w:rPr>
        <w:t>IPV occurs in all settings and among all socioeconomic, religious and cultural groups. The overwhelming global burden of IPV is borne by women</w:t>
      </w:r>
      <w:r>
        <w:rPr>
          <w:sz w:val="20"/>
          <w:szCs w:val="20"/>
          <w:lang w:val="en-GB"/>
        </w:rPr>
        <w:t xml:space="preserve"> (WHO, 2012, p. 1).</w:t>
      </w:r>
    </w:p>
  </w:footnote>
  <w:footnote w:id="108">
    <w:p w14:paraId="30646834" w14:textId="3763BFAF" w:rsidR="00A96CF7" w:rsidRPr="007A3A29" w:rsidRDefault="00A96CF7">
      <w:pPr>
        <w:pStyle w:val="FootnoteText"/>
        <w:rPr>
          <w:lang w:val="en-GB"/>
        </w:rPr>
      </w:pPr>
      <w:r>
        <w:rPr>
          <w:rStyle w:val="FootnoteReference"/>
        </w:rPr>
        <w:footnoteRef/>
      </w:r>
      <w:r>
        <w:t xml:space="preserve"> </w:t>
      </w:r>
      <w:r w:rsidRPr="007A3A29">
        <w:rPr>
          <w:sz w:val="20"/>
          <w:szCs w:val="20"/>
          <w:lang w:val="en-GB"/>
        </w:rPr>
        <w:t>A typical type of Mexican country music.</w:t>
      </w:r>
    </w:p>
  </w:footnote>
  <w:footnote w:id="109">
    <w:p w14:paraId="18FE539D" w14:textId="1EB5EF3E" w:rsidR="00A96CF7" w:rsidRPr="00EF5DC5" w:rsidRDefault="00A96CF7" w:rsidP="00E53E84">
      <w:pPr>
        <w:pStyle w:val="FootnoteText"/>
        <w:rPr>
          <w:color w:val="000000" w:themeColor="text1"/>
          <w:sz w:val="20"/>
          <w:szCs w:val="20"/>
          <w:lang w:val="en-GB"/>
        </w:rPr>
      </w:pPr>
      <w:r w:rsidRPr="007F0A91">
        <w:rPr>
          <w:rStyle w:val="FootnoteReference"/>
          <w:color w:val="000000" w:themeColor="text1"/>
        </w:rPr>
        <w:footnoteRef/>
      </w:r>
      <w:r w:rsidRPr="007F0A91">
        <w:rPr>
          <w:color w:val="000000" w:themeColor="text1"/>
        </w:rPr>
        <w:t xml:space="preserve"> </w:t>
      </w:r>
      <w:r w:rsidRPr="00EF5DC5">
        <w:rPr>
          <w:color w:val="000000" w:themeColor="text1"/>
          <w:sz w:val="20"/>
          <w:szCs w:val="20"/>
          <w:lang w:val="en-GB"/>
        </w:rPr>
        <w:t>El Rey is originally sung by José Alfredo Jiménez Sandoval</w:t>
      </w:r>
      <w:r>
        <w:rPr>
          <w:rStyle w:val="Hyperlink"/>
          <w:color w:val="000000" w:themeColor="text1"/>
          <w:sz w:val="20"/>
          <w:szCs w:val="20"/>
          <w:u w:val="none"/>
          <w:lang w:val="en-GB"/>
        </w:rPr>
        <w:t>.</w:t>
      </w:r>
    </w:p>
  </w:footnote>
  <w:footnote w:id="110">
    <w:p w14:paraId="17F8411F" w14:textId="45D8B055" w:rsidR="00A96CF7" w:rsidRPr="00E25502" w:rsidRDefault="00A96CF7" w:rsidP="00E53E84">
      <w:pPr>
        <w:autoSpaceDE w:val="0"/>
        <w:autoSpaceDN w:val="0"/>
        <w:adjustRightInd w:val="0"/>
        <w:rPr>
          <w:rFonts w:eastAsiaTheme="minorHAnsi"/>
          <w:sz w:val="20"/>
          <w:szCs w:val="20"/>
          <w:lang w:val="en-US"/>
        </w:rPr>
      </w:pPr>
      <w:r w:rsidRPr="007A3A29">
        <w:rPr>
          <w:rStyle w:val="FootnoteReference"/>
        </w:rPr>
        <w:footnoteRef/>
      </w:r>
      <w:r w:rsidRPr="007A3A29">
        <w:t xml:space="preserve"> </w:t>
      </w:r>
      <w:r w:rsidRPr="007A3A29">
        <w:rPr>
          <w:rFonts w:eastAsiaTheme="minorHAnsi"/>
          <w:sz w:val="20"/>
          <w:szCs w:val="20"/>
          <w:lang w:val="en-US"/>
        </w:rPr>
        <w:t>Machismo is an ideology on masculinity that emphasizes</w:t>
      </w:r>
      <w:r w:rsidRPr="00E25502">
        <w:rPr>
          <w:rFonts w:eastAsiaTheme="minorHAnsi"/>
          <w:sz w:val="20"/>
          <w:szCs w:val="20"/>
          <w:lang w:val="en-US"/>
        </w:rPr>
        <w:t xml:space="preserve"> the notion of men as sexually-driven and in need of exercising domination and which strongly influences gender</w:t>
      </w:r>
      <w:r>
        <w:rPr>
          <w:rFonts w:eastAsiaTheme="minorHAnsi"/>
          <w:sz w:val="20"/>
          <w:szCs w:val="20"/>
          <w:lang w:val="en-US"/>
        </w:rPr>
        <w:t xml:space="preserve"> relation in Latin America and m</w:t>
      </w:r>
      <w:r w:rsidRPr="00E25502">
        <w:rPr>
          <w:rFonts w:eastAsiaTheme="minorHAnsi"/>
          <w:sz w:val="20"/>
          <w:szCs w:val="20"/>
          <w:lang w:val="en-US"/>
        </w:rPr>
        <w:t>arianismo represents a cult around virginity and motherhood that idealizes the figure of the Virgin Mary as a model of chastity, submission and sacrifice for women, and that highly influences gender relations espec</w:t>
      </w:r>
      <w:r>
        <w:rPr>
          <w:rFonts w:eastAsiaTheme="minorHAnsi"/>
          <w:sz w:val="20"/>
          <w:szCs w:val="20"/>
          <w:lang w:val="en-US"/>
        </w:rPr>
        <w:t>ially in Latin American context</w:t>
      </w:r>
      <w:r w:rsidRPr="00E25502">
        <w:rPr>
          <w:rFonts w:eastAsiaTheme="minorHAnsi"/>
          <w:sz w:val="20"/>
          <w:szCs w:val="20"/>
          <w:lang w:val="en-US"/>
        </w:rPr>
        <w:t xml:space="preserve"> (Torres, 2011, p.</w:t>
      </w:r>
      <w:r>
        <w:rPr>
          <w:rFonts w:eastAsiaTheme="minorHAnsi"/>
          <w:sz w:val="20"/>
          <w:szCs w:val="20"/>
          <w:lang w:val="en-US"/>
        </w:rPr>
        <w:t xml:space="preserve"> </w:t>
      </w:r>
      <w:r w:rsidRPr="00E25502">
        <w:rPr>
          <w:rFonts w:eastAsiaTheme="minorHAnsi"/>
          <w:sz w:val="20"/>
          <w:szCs w:val="20"/>
          <w:lang w:val="en-US"/>
        </w:rPr>
        <w:t xml:space="preserve">vii). </w:t>
      </w:r>
      <w:r>
        <w:rPr>
          <w:rFonts w:eastAsiaTheme="minorHAnsi"/>
          <w:sz w:val="20"/>
          <w:szCs w:val="20"/>
          <w:lang w:val="en-US"/>
        </w:rPr>
        <w:t>S</w:t>
      </w:r>
      <w:r w:rsidRPr="00BC35AF">
        <w:rPr>
          <w:rFonts w:eastAsiaTheme="minorHAnsi"/>
          <w:sz w:val="20"/>
          <w:szCs w:val="20"/>
          <w:lang w:val="en-US"/>
        </w:rPr>
        <w:t>o, whilst men’s identity is centered on dominance and aggression</w:t>
      </w:r>
      <w:r>
        <w:rPr>
          <w:rFonts w:eastAsiaTheme="minorHAnsi"/>
          <w:sz w:val="20"/>
          <w:szCs w:val="20"/>
          <w:lang w:val="en-US"/>
        </w:rPr>
        <w:t>, ‘</w:t>
      </w:r>
      <w:r w:rsidRPr="00BC35AF">
        <w:rPr>
          <w:rFonts w:eastAsiaTheme="minorHAnsi"/>
          <w:sz w:val="20"/>
          <w:szCs w:val="20"/>
          <w:lang w:val="en-US"/>
        </w:rPr>
        <w:t>Marian devotion encourages women to be dependent and sub-missive. This is particularly signifi</w:t>
      </w:r>
      <w:r>
        <w:rPr>
          <w:rFonts w:eastAsiaTheme="minorHAnsi"/>
          <w:sz w:val="20"/>
          <w:szCs w:val="20"/>
          <w:lang w:val="en-US"/>
        </w:rPr>
        <w:t>cant for women liv</w:t>
      </w:r>
      <w:r w:rsidRPr="00BC35AF">
        <w:rPr>
          <w:rFonts w:eastAsiaTheme="minorHAnsi"/>
          <w:sz w:val="20"/>
          <w:szCs w:val="20"/>
          <w:lang w:val="en-US"/>
        </w:rPr>
        <w:t>ing in abusive relationships. Rather than taking active steps to change her situation, a devout woman is expected to hold the family together at all costs, to</w:t>
      </w:r>
      <w:r>
        <w:rPr>
          <w:rFonts w:eastAsiaTheme="minorHAnsi"/>
          <w:sz w:val="20"/>
          <w:szCs w:val="20"/>
          <w:lang w:val="en-US"/>
        </w:rPr>
        <w:t xml:space="preserve"> </w:t>
      </w:r>
      <w:r w:rsidRPr="00BC35AF">
        <w:rPr>
          <w:rFonts w:eastAsiaTheme="minorHAnsi"/>
          <w:sz w:val="20"/>
          <w:szCs w:val="20"/>
          <w:lang w:val="en-US"/>
        </w:rPr>
        <w:t>endure abuse patiently and to pray to the Virgin for her husband's conversion</w:t>
      </w:r>
      <w:r>
        <w:rPr>
          <w:rFonts w:eastAsiaTheme="minorHAnsi"/>
          <w:sz w:val="20"/>
          <w:szCs w:val="20"/>
          <w:lang w:val="en-US"/>
        </w:rPr>
        <w:t>’ (Ellsberg et al., 2000, p. 1606).</w:t>
      </w:r>
    </w:p>
  </w:footnote>
  <w:footnote w:id="111">
    <w:p w14:paraId="2820808E" w14:textId="44A7EF1F" w:rsidR="00A96CF7" w:rsidRDefault="00A96CF7" w:rsidP="0004022E">
      <w:pPr>
        <w:pStyle w:val="FootnoteText"/>
      </w:pPr>
      <w:r w:rsidRPr="00293176">
        <w:rPr>
          <w:rStyle w:val="FootnoteReference"/>
          <w:sz w:val="20"/>
        </w:rPr>
        <w:footnoteRef/>
      </w:r>
      <w:r w:rsidRPr="00293176">
        <w:rPr>
          <w:sz w:val="20"/>
        </w:rPr>
        <w:t xml:space="preserve"> </w:t>
      </w:r>
      <w:r w:rsidRPr="00293176">
        <w:rPr>
          <w:rFonts w:eastAsia="MS Mincho"/>
          <w:color w:val="000000" w:themeColor="text1"/>
          <w:sz w:val="20"/>
          <w:lang w:val="en-GB"/>
        </w:rPr>
        <w:t xml:space="preserve">The mechanism by which the initiative operates is described in Chapter </w:t>
      </w:r>
      <w:r>
        <w:rPr>
          <w:rFonts w:eastAsia="MS Mincho"/>
          <w:color w:val="000000" w:themeColor="text1"/>
          <w:sz w:val="20"/>
          <w:lang w:val="en-GB"/>
        </w:rPr>
        <w:t>Four</w:t>
      </w:r>
      <w:r w:rsidRPr="00293176">
        <w:rPr>
          <w:rFonts w:eastAsia="MS Mincho"/>
          <w:color w:val="000000" w:themeColor="text1"/>
          <w:sz w:val="20"/>
          <w:lang w:val="en-GB"/>
        </w:rPr>
        <w:t xml:space="preserve">. </w:t>
      </w:r>
    </w:p>
  </w:footnote>
  <w:footnote w:id="112">
    <w:p w14:paraId="0711483C" w14:textId="798D4AAE" w:rsidR="00A96CF7" w:rsidRPr="0012567C" w:rsidRDefault="00A96CF7" w:rsidP="00293176">
      <w:pPr>
        <w:rPr>
          <w:sz w:val="20"/>
          <w:szCs w:val="20"/>
        </w:rPr>
      </w:pPr>
      <w:r w:rsidRPr="007A3A29">
        <w:rPr>
          <w:rStyle w:val="FootnoteReference"/>
          <w:sz w:val="20"/>
          <w:szCs w:val="20"/>
          <w:lang w:val="en-US"/>
        </w:rPr>
        <w:footnoteRef/>
      </w:r>
      <w:r w:rsidRPr="0012567C">
        <w:rPr>
          <w:sz w:val="20"/>
          <w:szCs w:val="20"/>
        </w:rPr>
        <w:t xml:space="preserve"> The sample was divided into </w:t>
      </w:r>
      <w:r>
        <w:rPr>
          <w:sz w:val="20"/>
          <w:szCs w:val="20"/>
        </w:rPr>
        <w:t xml:space="preserve">the </w:t>
      </w:r>
      <w:r w:rsidRPr="0012567C">
        <w:rPr>
          <w:sz w:val="20"/>
          <w:szCs w:val="20"/>
        </w:rPr>
        <w:t>overall group (all the women who participated in each research round) and then the sample group (who were in more than three rounds of research). The overall group provide broad findings from all the women who participated in some of the stages. The sample group provided an opportunity to look more closely at time use patterns and triangulate data with the overall group.</w:t>
      </w:r>
    </w:p>
  </w:footnote>
  <w:footnote w:id="113">
    <w:p w14:paraId="7E85BE54" w14:textId="3C76EDEC" w:rsidR="00A96CF7" w:rsidRPr="007A3A29" w:rsidRDefault="00A96CF7">
      <w:pPr>
        <w:pStyle w:val="FootnoteText"/>
        <w:rPr>
          <w:sz w:val="20"/>
          <w:szCs w:val="20"/>
          <w:lang w:val="en-GB"/>
        </w:rPr>
      </w:pPr>
      <w:r w:rsidRPr="007A3A29">
        <w:rPr>
          <w:rStyle w:val="FootnoteReference"/>
          <w:sz w:val="20"/>
          <w:szCs w:val="20"/>
        </w:rPr>
        <w:footnoteRef/>
      </w:r>
      <w:r w:rsidRPr="007A3A29">
        <w:rPr>
          <w:sz w:val="20"/>
          <w:szCs w:val="20"/>
        </w:rPr>
        <w:t xml:space="preserve"> </w:t>
      </w:r>
      <w:r w:rsidRPr="007A3A29">
        <w:rPr>
          <w:sz w:val="20"/>
          <w:szCs w:val="20"/>
          <w:lang w:val="en-GB"/>
        </w:rPr>
        <w:t>Harvest time refers to the period of the sesame harvest. At the time beans and corn are also harvested. Non</w:t>
      </w:r>
      <w:r>
        <w:rPr>
          <w:sz w:val="20"/>
          <w:szCs w:val="20"/>
          <w:lang w:val="en-GB"/>
        </w:rPr>
        <w:t>-</w:t>
      </w:r>
      <w:r w:rsidRPr="007A3A29">
        <w:rPr>
          <w:sz w:val="20"/>
          <w:szCs w:val="20"/>
          <w:lang w:val="en-GB"/>
        </w:rPr>
        <w:t>harvest is the period where the above crops are not ha</w:t>
      </w:r>
      <w:r>
        <w:rPr>
          <w:sz w:val="20"/>
          <w:szCs w:val="20"/>
          <w:lang w:val="en-GB"/>
        </w:rPr>
        <w:t>r</w:t>
      </w:r>
      <w:r w:rsidRPr="007A3A29">
        <w:rPr>
          <w:sz w:val="20"/>
          <w:szCs w:val="20"/>
          <w:lang w:val="en-GB"/>
        </w:rPr>
        <w:t>ve</w:t>
      </w:r>
      <w:r>
        <w:rPr>
          <w:sz w:val="20"/>
          <w:szCs w:val="20"/>
          <w:lang w:val="en-GB"/>
        </w:rPr>
        <w:t>s</w:t>
      </w:r>
      <w:r w:rsidRPr="007A3A29">
        <w:rPr>
          <w:sz w:val="20"/>
          <w:szCs w:val="20"/>
          <w:lang w:val="en-GB"/>
        </w:rPr>
        <w:t>ted.</w:t>
      </w:r>
    </w:p>
  </w:footnote>
  <w:footnote w:id="114">
    <w:p w14:paraId="2A073E31" w14:textId="77777777" w:rsidR="00A96CF7" w:rsidRPr="00293176" w:rsidRDefault="00A96CF7" w:rsidP="00C20FCD">
      <w:pPr>
        <w:pStyle w:val="FootnoteText"/>
        <w:rPr>
          <w:sz w:val="20"/>
          <w:szCs w:val="20"/>
        </w:rPr>
      </w:pPr>
      <w:r w:rsidRPr="00293176">
        <w:rPr>
          <w:rStyle w:val="FootnoteReference"/>
          <w:sz w:val="20"/>
          <w:szCs w:val="20"/>
        </w:rPr>
        <w:footnoteRef/>
      </w:r>
      <w:r w:rsidRPr="00293176">
        <w:rPr>
          <w:sz w:val="20"/>
          <w:szCs w:val="20"/>
        </w:rPr>
        <w:t xml:space="preserve"> </w:t>
      </w:r>
      <w:r w:rsidRPr="008C041F">
        <w:rPr>
          <w:sz w:val="20"/>
          <w:szCs w:val="20"/>
        </w:rPr>
        <w:t>Non-producer means that the women does not own the land to grow and harvest the sesame. However, this does not mean she is not necessarily involved in production.</w:t>
      </w:r>
    </w:p>
  </w:footnote>
  <w:footnote w:id="115">
    <w:p w14:paraId="6C68AAA7" w14:textId="77777777" w:rsidR="00A96CF7" w:rsidRPr="00B13369" w:rsidRDefault="00A96CF7" w:rsidP="00C20FCD">
      <w:pPr>
        <w:pStyle w:val="FootnoteText"/>
      </w:pPr>
      <w:r w:rsidRPr="00293176">
        <w:rPr>
          <w:rStyle w:val="FootnoteReference"/>
          <w:sz w:val="20"/>
        </w:rPr>
        <w:footnoteRef/>
      </w:r>
      <w:r w:rsidRPr="00293176">
        <w:rPr>
          <w:sz w:val="20"/>
        </w:rPr>
        <w:t xml:space="preserve"> This figure does not include leisure or self-care activities.</w:t>
      </w:r>
    </w:p>
  </w:footnote>
  <w:footnote w:id="116">
    <w:p w14:paraId="288F8D69" w14:textId="77777777" w:rsidR="00A96CF7" w:rsidRPr="00A133BF" w:rsidRDefault="00A96CF7" w:rsidP="00C20FCD">
      <w:pPr>
        <w:pStyle w:val="FootnoteText"/>
        <w:rPr>
          <w:sz w:val="20"/>
          <w:szCs w:val="20"/>
        </w:rPr>
      </w:pPr>
      <w:r w:rsidRPr="008C041F">
        <w:rPr>
          <w:rStyle w:val="FootnoteReference"/>
          <w:sz w:val="20"/>
          <w:szCs w:val="20"/>
        </w:rPr>
        <w:footnoteRef/>
      </w:r>
      <w:r w:rsidRPr="00A133BF">
        <w:rPr>
          <w:sz w:val="20"/>
          <w:szCs w:val="20"/>
        </w:rPr>
        <w:t xml:space="preserve"> See article: </w:t>
      </w:r>
      <w:hyperlink r:id="rId31" w:history="1">
        <w:r w:rsidRPr="00A133BF">
          <w:rPr>
            <w:rStyle w:val="Hyperlink"/>
            <w:rFonts w:eastAsiaTheme="minorEastAsia"/>
            <w:sz w:val="20"/>
            <w:szCs w:val="20"/>
          </w:rPr>
          <w:t>http://www.w-edigest.org/dirt-women-taking-risks-experimentation-with-solutions-to-the-coffee-leaf-rust-crisis-in-nicaragua/</w:t>
        </w:r>
      </w:hyperlink>
    </w:p>
  </w:footnote>
  <w:footnote w:id="117">
    <w:p w14:paraId="2630CA0A" w14:textId="77777777" w:rsidR="00A96CF7" w:rsidRPr="003F4DB5" w:rsidRDefault="00A96CF7" w:rsidP="00C20FCD">
      <w:pPr>
        <w:pStyle w:val="CommentText"/>
        <w:rPr>
          <w:sz w:val="20"/>
          <w:szCs w:val="20"/>
        </w:rPr>
      </w:pPr>
      <w:r w:rsidRPr="00293176">
        <w:rPr>
          <w:rStyle w:val="FootnoteReference"/>
          <w:rFonts w:ascii="Times New Roman" w:hAnsi="Times New Roman" w:cs="Times New Roman"/>
          <w:sz w:val="20"/>
          <w:szCs w:val="20"/>
        </w:rPr>
        <w:footnoteRef/>
      </w:r>
      <w:r w:rsidRPr="00293176">
        <w:rPr>
          <w:rFonts w:ascii="Times New Roman" w:hAnsi="Times New Roman" w:cs="Times New Roman"/>
          <w:sz w:val="20"/>
          <w:szCs w:val="20"/>
        </w:rPr>
        <w:t xml:space="preserve"> </w:t>
      </w:r>
      <w:r w:rsidRPr="008C041F">
        <w:rPr>
          <w:rFonts w:ascii="Times New Roman" w:hAnsi="Times New Roman" w:cs="Times New Roman"/>
          <w:sz w:val="20"/>
          <w:szCs w:val="20"/>
        </w:rPr>
        <w:t>Castells (2000) speaks of the fourth burden for married women of providing sexual intercourse with their husbands at night.</w:t>
      </w:r>
    </w:p>
  </w:footnote>
  <w:footnote w:id="118">
    <w:p w14:paraId="38C3B3C1" w14:textId="77777777" w:rsidR="00A96CF7" w:rsidRPr="00293176" w:rsidRDefault="00A96CF7" w:rsidP="00C20FCD">
      <w:pPr>
        <w:pStyle w:val="FootnoteText"/>
        <w:rPr>
          <w:sz w:val="20"/>
          <w:szCs w:val="20"/>
        </w:rPr>
      </w:pPr>
      <w:r w:rsidRPr="008C041F">
        <w:rPr>
          <w:rStyle w:val="FootnoteReference"/>
          <w:sz w:val="20"/>
          <w:szCs w:val="20"/>
        </w:rPr>
        <w:footnoteRef/>
      </w:r>
      <w:r w:rsidRPr="00A133BF">
        <w:rPr>
          <w:sz w:val="20"/>
          <w:szCs w:val="20"/>
        </w:rPr>
        <w:t xml:space="preserve"> Exchange rate for February 6, 2015 is: 26.7302 cordabos for $1 UDS. </w:t>
      </w:r>
      <w:hyperlink r:id="rId32" w:history="1">
        <w:r w:rsidRPr="00A133BF">
          <w:rPr>
            <w:rStyle w:val="Hyperlink"/>
            <w:rFonts w:eastAsiaTheme="minorEastAsia"/>
            <w:sz w:val="20"/>
            <w:szCs w:val="20"/>
          </w:rPr>
          <w:t>http://www.bcn.gob.ni/estadisticas/mercados_cambiarios/tipo_cambio/cordoba_dolar/</w:t>
        </w:r>
      </w:hyperlink>
    </w:p>
  </w:footnote>
  <w:footnote w:id="119">
    <w:p w14:paraId="1177647B" w14:textId="77777777" w:rsidR="00A96CF7" w:rsidRPr="00B13369" w:rsidRDefault="00A96CF7" w:rsidP="00C20FCD">
      <w:pPr>
        <w:pStyle w:val="FootnoteText"/>
      </w:pPr>
      <w:r w:rsidRPr="00293176">
        <w:rPr>
          <w:rStyle w:val="FootnoteReference"/>
          <w:sz w:val="20"/>
        </w:rPr>
        <w:footnoteRef/>
      </w:r>
      <w:r w:rsidRPr="00293176">
        <w:rPr>
          <w:sz w:val="20"/>
        </w:rPr>
        <w:t xml:space="preserve"> Nine out of 12 women attended. Three had gone to San Ramón (nearby town) for a religious event.</w:t>
      </w:r>
    </w:p>
  </w:footnote>
  <w:footnote w:id="120">
    <w:p w14:paraId="553C172A" w14:textId="570FEC49" w:rsidR="00A96CF7" w:rsidRPr="00073778" w:rsidRDefault="00A96CF7" w:rsidP="00293176">
      <w:pPr>
        <w:widowControl w:val="0"/>
        <w:suppressAutoHyphens/>
        <w:jc w:val="both"/>
        <w:rPr>
          <w:sz w:val="20"/>
          <w:szCs w:val="20"/>
        </w:rPr>
      </w:pPr>
      <w:r w:rsidRPr="00FD799A">
        <w:rPr>
          <w:rStyle w:val="FootnoteReference"/>
          <w:sz w:val="20"/>
          <w:szCs w:val="20"/>
        </w:rPr>
        <w:footnoteRef/>
      </w:r>
      <w:r w:rsidRPr="00FD799A">
        <w:rPr>
          <w:sz w:val="20"/>
          <w:szCs w:val="20"/>
        </w:rPr>
        <w:t xml:space="preserve"> </w:t>
      </w:r>
      <w:r w:rsidRPr="00073778">
        <w:rPr>
          <w:sz w:val="20"/>
          <w:szCs w:val="20"/>
        </w:rPr>
        <w:t xml:space="preserve">Notes from </w:t>
      </w:r>
      <w:r>
        <w:rPr>
          <w:sz w:val="20"/>
          <w:szCs w:val="20"/>
        </w:rPr>
        <w:t xml:space="preserve">my </w:t>
      </w:r>
      <w:r w:rsidRPr="00073778">
        <w:rPr>
          <w:sz w:val="20"/>
          <w:szCs w:val="20"/>
        </w:rPr>
        <w:t xml:space="preserve">Fieldwork </w:t>
      </w:r>
      <w:r>
        <w:rPr>
          <w:sz w:val="20"/>
          <w:szCs w:val="20"/>
        </w:rPr>
        <w:t>D</w:t>
      </w:r>
      <w:r w:rsidRPr="00073778">
        <w:rPr>
          <w:sz w:val="20"/>
          <w:szCs w:val="20"/>
        </w:rPr>
        <w:t xml:space="preserve">iary (October 8, 2014) </w:t>
      </w:r>
      <w:r>
        <w:rPr>
          <w:sz w:val="20"/>
          <w:szCs w:val="20"/>
        </w:rPr>
        <w:t>on an interview</w:t>
      </w:r>
      <w:r w:rsidRPr="00073778">
        <w:rPr>
          <w:sz w:val="20"/>
          <w:szCs w:val="20"/>
        </w:rPr>
        <w:t xml:space="preserve"> note that it takes anything between 2.5-3 hours in total per day to prepare tortillas from the corn. This calculation is based on using two bowls of corn (weighing 3 pounds) and which makes 20 tortillas. This is the details of the process explained by one participant: ‘You have to clean the grains which takes around 5 minutes, then mix the ash or lime to boil and soften or remove the husk from the corn grains. If its newly harvested maize this takes between 50-60 minutes to an hour. If it is stored and dried maize it can take an hour and a half. Then you have to leave it to cool and then wash it which can take 10-15minutes and mill it (in a grinder or on stone with a cylindrical stone) which is another 10-15minutes and then you knead the dough and pat out the tortillas</w:t>
      </w:r>
      <w:r>
        <w:rPr>
          <w:sz w:val="20"/>
          <w:szCs w:val="20"/>
        </w:rPr>
        <w:t xml:space="preserve"> which takes an hour (Individual interview, Achuapa, October 8, 2014).</w:t>
      </w:r>
    </w:p>
    <w:p w14:paraId="7D519047" w14:textId="77777777" w:rsidR="00A96CF7" w:rsidRPr="00C12E43" w:rsidRDefault="00A96CF7" w:rsidP="00C20FCD">
      <w:pPr>
        <w:widowControl w:val="0"/>
        <w:suppressAutoHyphens/>
        <w:jc w:val="both"/>
        <w:rPr>
          <w:lang w:val="es-NI"/>
        </w:rPr>
      </w:pPr>
    </w:p>
  </w:footnote>
  <w:footnote w:id="121">
    <w:p w14:paraId="3D18F4D2" w14:textId="77777777" w:rsidR="00A96CF7" w:rsidRPr="00293176" w:rsidRDefault="00A96CF7" w:rsidP="00C20FCD">
      <w:pPr>
        <w:pStyle w:val="FootnoteText"/>
        <w:rPr>
          <w:sz w:val="20"/>
          <w:szCs w:val="20"/>
          <w:lang w:val="es-NI"/>
        </w:rPr>
      </w:pPr>
      <w:r w:rsidRPr="00293176">
        <w:rPr>
          <w:rStyle w:val="FootnoteReference"/>
          <w:sz w:val="20"/>
          <w:szCs w:val="20"/>
        </w:rPr>
        <w:footnoteRef/>
      </w:r>
      <w:r w:rsidRPr="00293176">
        <w:rPr>
          <w:sz w:val="20"/>
          <w:szCs w:val="20"/>
          <w:lang w:val="es-NI"/>
        </w:rPr>
        <w:t xml:space="preserve"> </w:t>
      </w:r>
      <w:r w:rsidRPr="008C041F">
        <w:rPr>
          <w:color w:val="000000"/>
          <w:sz w:val="20"/>
          <w:szCs w:val="20"/>
          <w:lang w:val="es-NI"/>
        </w:rPr>
        <w:t>For example Maria de Pedro or Pedro’s Maria.</w:t>
      </w:r>
    </w:p>
  </w:footnote>
  <w:footnote w:id="122">
    <w:p w14:paraId="28160F4A" w14:textId="5790CA85" w:rsidR="00A96CF7" w:rsidRPr="006F2953" w:rsidRDefault="00A96CF7" w:rsidP="00012297">
      <w:pPr>
        <w:pStyle w:val="FootnoteText"/>
        <w:rPr>
          <w:bCs/>
          <w:lang w:val="en-GB"/>
        </w:rPr>
      </w:pPr>
      <w:r>
        <w:rPr>
          <w:rStyle w:val="FootnoteReference"/>
        </w:rPr>
        <w:footnoteRef/>
      </w:r>
      <w:r>
        <w:t xml:space="preserve"> </w:t>
      </w:r>
      <w:r w:rsidRPr="00EC76B9">
        <w:rPr>
          <w:sz w:val="20"/>
          <w:szCs w:val="20"/>
        </w:rPr>
        <w:t xml:space="preserve">See here for a timeline on BSI campaigns: </w:t>
      </w:r>
      <w:hyperlink r:id="rId33" w:history="1">
        <w:r w:rsidRPr="00EC76B9">
          <w:rPr>
            <w:rStyle w:val="Hyperlink"/>
            <w:sz w:val="20"/>
            <w:szCs w:val="20"/>
          </w:rPr>
          <w:t>https://www.thebodyshop.com/en-gb/about-us/our-campaigns</w:t>
        </w:r>
      </w:hyperlink>
      <w:r w:rsidRPr="00EC76B9">
        <w:rPr>
          <w:sz w:val="20"/>
          <w:szCs w:val="20"/>
        </w:rPr>
        <w:t xml:space="preserve">. As documented, in 2003, </w:t>
      </w:r>
      <w:r w:rsidRPr="00EC76B9">
        <w:rPr>
          <w:bCs/>
          <w:sz w:val="20"/>
          <w:szCs w:val="20"/>
          <w:lang w:val="en-GB"/>
        </w:rPr>
        <w:t xml:space="preserve">BSI ran a “Stop Violence in the home” campaign. </w:t>
      </w:r>
      <w:r w:rsidRPr="00EC76B9">
        <w:rPr>
          <w:sz w:val="20"/>
          <w:szCs w:val="20"/>
          <w:lang w:val="en-GB"/>
        </w:rPr>
        <w:t>In 2003 they launched a global campaign with MTV to raise awareness and funds to help those affected by domestic violence. The Stop Violence in The Home campaign built on almost a decade of campaigning on the issue.</w:t>
      </w:r>
    </w:p>
    <w:p w14:paraId="49C68426" w14:textId="24313576" w:rsidR="00A96CF7" w:rsidRPr="00012297" w:rsidRDefault="00A96CF7">
      <w:pPr>
        <w:pStyle w:val="FootnoteText"/>
        <w:rPr>
          <w:lang w:val="en-GB"/>
        </w:rPr>
      </w:pPr>
    </w:p>
  </w:footnote>
  <w:footnote w:id="123">
    <w:p w14:paraId="33547F89" w14:textId="18E87F8B" w:rsidR="00A96CF7" w:rsidRPr="00293176" w:rsidRDefault="00A96CF7" w:rsidP="00FD4ABA">
      <w:pPr>
        <w:pStyle w:val="FootnoteText"/>
        <w:rPr>
          <w:sz w:val="20"/>
        </w:rPr>
      </w:pPr>
      <w:r w:rsidRPr="00293176">
        <w:rPr>
          <w:rStyle w:val="FootnoteReference"/>
          <w:sz w:val="20"/>
        </w:rPr>
        <w:footnoteRef/>
      </w:r>
      <w:r w:rsidRPr="00293176">
        <w:rPr>
          <w:sz w:val="20"/>
        </w:rPr>
        <w:t xml:space="preserve"> The British Embassy for Nicaragua, located in Costa Rica, financed a project to support the ‘recognition of the unpaid work of women’. Part of the funding was used to pay for vocational training and the ladies received courses to learn how to make: cakes for special occasions, piñatas, health medicine etc. </w:t>
      </w:r>
    </w:p>
  </w:footnote>
  <w:footnote w:id="124">
    <w:p w14:paraId="4BAD68E2" w14:textId="77777777" w:rsidR="00A96CF7" w:rsidRPr="00583952" w:rsidRDefault="00A96CF7" w:rsidP="00FD4ABA">
      <w:pPr>
        <w:pStyle w:val="FootnoteText"/>
        <w:rPr>
          <w:color w:val="4472C4" w:themeColor="accent1"/>
        </w:rPr>
      </w:pPr>
      <w:r w:rsidRPr="00293176">
        <w:rPr>
          <w:rStyle w:val="FootnoteReference"/>
          <w:sz w:val="20"/>
        </w:rPr>
        <w:footnoteRef/>
      </w:r>
      <w:r w:rsidRPr="00293176">
        <w:rPr>
          <w:sz w:val="20"/>
        </w:rPr>
        <w:t xml:space="preserve"> Larrochea (2011), in her analysis on empowerment in Nicaragua, explains how ‘women often thank god and the president, in this order, and often link god directly with the </w:t>
      </w:r>
      <w:r w:rsidRPr="0063397C">
        <w:rPr>
          <w:color w:val="000000" w:themeColor="text1"/>
          <w:sz w:val="20"/>
        </w:rPr>
        <w:t xml:space="preserve">government’ (p. 58). </w:t>
      </w:r>
    </w:p>
  </w:footnote>
  <w:footnote w:id="125">
    <w:p w14:paraId="569D9631" w14:textId="2A71B4DD" w:rsidR="00A96CF7" w:rsidRPr="00293176" w:rsidRDefault="00A96CF7" w:rsidP="00FD4ABA">
      <w:pPr>
        <w:pStyle w:val="FootnoteText"/>
        <w:rPr>
          <w:sz w:val="20"/>
        </w:rPr>
      </w:pPr>
      <w:r w:rsidRPr="00293176">
        <w:rPr>
          <w:rStyle w:val="FootnoteReference"/>
          <w:sz w:val="20"/>
        </w:rPr>
        <w:footnoteRef/>
      </w:r>
      <w:r w:rsidRPr="00293176">
        <w:rPr>
          <w:sz w:val="20"/>
        </w:rPr>
        <w:t xml:space="preserve"> As cited in Narayan (2005, p. 21), Appadurai (2004) argue</w:t>
      </w:r>
      <w:r>
        <w:rPr>
          <w:sz w:val="20"/>
        </w:rPr>
        <w:t>s</w:t>
      </w:r>
      <w:r w:rsidRPr="00293176">
        <w:rPr>
          <w:sz w:val="20"/>
        </w:rPr>
        <w:t xml:space="preserve"> that the capacity to aspire is embedded in social groups and determined by their collective cultural experience. Poor and excluded groups are defined by more powerful social groups and held in place by social norms and expectations of behavior, often reified in public debate and even interpretation of scriptures.</w:t>
      </w:r>
    </w:p>
  </w:footnote>
  <w:footnote w:id="126">
    <w:p w14:paraId="3872C7A0" w14:textId="5D6338F2" w:rsidR="00A96CF7" w:rsidRPr="00293176" w:rsidRDefault="00A96CF7" w:rsidP="00FD4ABA">
      <w:pPr>
        <w:pStyle w:val="FootnoteText"/>
        <w:rPr>
          <w:sz w:val="20"/>
        </w:rPr>
      </w:pPr>
      <w:r w:rsidRPr="00293176">
        <w:rPr>
          <w:rStyle w:val="FootnoteReference"/>
          <w:sz w:val="20"/>
        </w:rPr>
        <w:footnoteRef/>
      </w:r>
      <w:r w:rsidRPr="00293176">
        <w:rPr>
          <w:sz w:val="20"/>
        </w:rPr>
        <w:t xml:space="preserve"> CAN is a US-based </w:t>
      </w:r>
      <w:r>
        <w:rPr>
          <w:sz w:val="20"/>
        </w:rPr>
        <w:t>nongovernment</w:t>
      </w:r>
      <w:r w:rsidRPr="00293176">
        <w:rPr>
          <w:sz w:val="20"/>
        </w:rPr>
        <w:t xml:space="preserve"> organization dedicated to strengthening rural livelihoods for smallholder producers. The relationship between CAN and the UCA San Ramon is multi-faceted and long term, having been established first informally through a researcher collaboration in 2000 and evolving as CAN and the UCA San Ramon developed programs in the following decade for student field studies in the cooperatives and alternative coffee chain models (Putnam, 2015). See more here: </w:t>
      </w:r>
      <w:hyperlink r:id="rId34" w:history="1">
        <w:r w:rsidRPr="00293176">
          <w:rPr>
            <w:rStyle w:val="Hyperlink"/>
            <w:sz w:val="20"/>
          </w:rPr>
          <w:t>https://canunite.org/about-us/</w:t>
        </w:r>
      </w:hyperlink>
    </w:p>
  </w:footnote>
  <w:footnote w:id="127">
    <w:p w14:paraId="26610FAE" w14:textId="77777777" w:rsidR="00A96CF7" w:rsidRPr="00293176" w:rsidRDefault="00A96CF7" w:rsidP="00FD4ABA">
      <w:pPr>
        <w:pStyle w:val="FootnoteText"/>
        <w:rPr>
          <w:sz w:val="20"/>
          <w:szCs w:val="20"/>
        </w:rPr>
      </w:pPr>
      <w:r w:rsidRPr="00293176">
        <w:rPr>
          <w:rStyle w:val="FootnoteReference"/>
          <w:sz w:val="20"/>
          <w:szCs w:val="20"/>
        </w:rPr>
        <w:footnoteRef/>
      </w:r>
      <w:r w:rsidRPr="00293176">
        <w:rPr>
          <w:sz w:val="20"/>
          <w:szCs w:val="20"/>
        </w:rPr>
        <w:t xml:space="preserve"> CAN presented achieved outputs at AAG conference as: Women in two cooperatives trained and producing branded agroecological coffee (AgroEco® Coffee) (Putnam, 2015). </w:t>
      </w:r>
    </w:p>
  </w:footnote>
  <w:footnote w:id="128">
    <w:p w14:paraId="74A355C8" w14:textId="428C753B" w:rsidR="00A96CF7" w:rsidRPr="00035726" w:rsidRDefault="00A96CF7" w:rsidP="00FD4ABA">
      <w:pPr>
        <w:pStyle w:val="FootnoteText"/>
      </w:pPr>
      <w:r w:rsidRPr="00293176">
        <w:rPr>
          <w:rStyle w:val="FootnoteReference"/>
          <w:sz w:val="20"/>
          <w:szCs w:val="20"/>
        </w:rPr>
        <w:footnoteRef/>
      </w:r>
      <w:r w:rsidRPr="00293176">
        <w:rPr>
          <w:sz w:val="20"/>
          <w:szCs w:val="20"/>
        </w:rPr>
        <w:t xml:space="preserve"> </w:t>
      </w:r>
      <w:r w:rsidRPr="008C041F">
        <w:rPr>
          <w:sz w:val="20"/>
          <w:szCs w:val="20"/>
        </w:rPr>
        <w:t>The women run coffee shop sells coffee from a woman only cooperative. Although the women in the interviews did not mention the coffee in relation to the premium for the unpaid work of women, implying that they did not know the premium had been spent on that, they did mention how they were berated that the coffee shop had promised em</w:t>
      </w:r>
      <w:r w:rsidRPr="003F7611">
        <w:rPr>
          <w:sz w:val="20"/>
          <w:szCs w:val="20"/>
        </w:rPr>
        <w:t>ployment. In reality, a few women had been cherry picked to work there based on: ‘willingness’, ‘motivation’, ‘energy’ and ‘availability’ of time (and if they were ‘bright’ (Fieldwork notes: March 2015-May 2016: Interviews and informal conversations with the women in La Reina-San Ramon).</w:t>
      </w:r>
      <w:r>
        <w:t xml:space="preserve"> </w:t>
      </w:r>
    </w:p>
  </w:footnote>
  <w:footnote w:id="129">
    <w:p w14:paraId="391ED61D" w14:textId="217A1FB1" w:rsidR="00A96CF7" w:rsidRDefault="00A96CF7" w:rsidP="00FD4ABA">
      <w:pPr>
        <w:pStyle w:val="FootnoteText"/>
      </w:pPr>
      <w:r w:rsidRPr="00293176">
        <w:rPr>
          <w:rStyle w:val="FootnoteReference"/>
          <w:sz w:val="20"/>
        </w:rPr>
        <w:footnoteRef/>
      </w:r>
      <w:r w:rsidRPr="00293176">
        <w:rPr>
          <w:sz w:val="20"/>
        </w:rPr>
        <w:t xml:space="preserve"> Interestingly from the point of view of the UCA San Ramon, CAN and the buyers, all the women in La Reina-San Ramón are part of the initiative. This participant claims she is not.</w:t>
      </w:r>
    </w:p>
  </w:footnote>
  <w:footnote w:id="130">
    <w:p w14:paraId="6F08E522" w14:textId="77777777" w:rsidR="00A96CF7" w:rsidRDefault="00A96CF7" w:rsidP="00FD4ABA">
      <w:pPr>
        <w:pStyle w:val="FootnoteText"/>
      </w:pPr>
      <w:r w:rsidRPr="00293176">
        <w:rPr>
          <w:rStyle w:val="FootnoteReference"/>
          <w:sz w:val="20"/>
        </w:rPr>
        <w:footnoteRef/>
      </w:r>
      <w:r w:rsidRPr="00293176">
        <w:rPr>
          <w:sz w:val="20"/>
        </w:rPr>
        <w:t xml:space="preserve"> Studies suggest that formal regular waged work has the greatest transformative potential although paid work outside the domestic domain can also have positive impacts on women’s live, the least is work performed within the home (Kabeer, 2012).</w:t>
      </w:r>
    </w:p>
  </w:footnote>
  <w:footnote w:id="131">
    <w:p w14:paraId="434B37F2" w14:textId="651E992C" w:rsidR="00A96CF7" w:rsidRPr="00293176" w:rsidRDefault="00A96CF7" w:rsidP="00293176">
      <w:pPr>
        <w:rPr>
          <w:sz w:val="20"/>
          <w:szCs w:val="20"/>
        </w:rPr>
      </w:pPr>
      <w:r w:rsidRPr="001F64C0">
        <w:rPr>
          <w:rStyle w:val="FootnoteReference"/>
          <w:sz w:val="20"/>
          <w:szCs w:val="20"/>
        </w:rPr>
        <w:footnoteRef/>
      </w:r>
      <w:r w:rsidRPr="001F64C0">
        <w:rPr>
          <w:sz w:val="20"/>
          <w:szCs w:val="20"/>
        </w:rPr>
        <w:t xml:space="preserve">  It’s important to note that Chant and Brickell (2010) state that altruism in itself is not negative, but what they warn is that female altruism can be used and abused by the state and the development industry.</w:t>
      </w:r>
    </w:p>
  </w:footnote>
  <w:footnote w:id="132">
    <w:p w14:paraId="37AE1CA6" w14:textId="77777777" w:rsidR="00A96CF7" w:rsidRPr="00293176" w:rsidRDefault="00A96CF7" w:rsidP="008C041F">
      <w:pPr>
        <w:pStyle w:val="FootnoteText"/>
        <w:rPr>
          <w:sz w:val="20"/>
          <w:szCs w:val="20"/>
        </w:rPr>
      </w:pPr>
      <w:r w:rsidRPr="00293176">
        <w:rPr>
          <w:rStyle w:val="FootnoteReference"/>
          <w:sz w:val="20"/>
          <w:szCs w:val="20"/>
        </w:rPr>
        <w:footnoteRef/>
      </w:r>
      <w:r w:rsidRPr="00293176">
        <w:rPr>
          <w:sz w:val="20"/>
          <w:szCs w:val="20"/>
        </w:rPr>
        <w:t xml:space="preserve"> </w:t>
      </w:r>
      <w:r w:rsidRPr="001F64C0">
        <w:rPr>
          <w:sz w:val="20"/>
          <w:szCs w:val="20"/>
        </w:rPr>
        <w:t>Resiliency is understood here as: ‘</w:t>
      </w:r>
      <w:r w:rsidRPr="001F64C0">
        <w:rPr>
          <w:iCs/>
          <w:sz w:val="20"/>
          <w:szCs w:val="20"/>
        </w:rPr>
        <w:t>The ability of a social or ecological system to absorb disturbances while retaining the same basic structure and ways of functioning, the capacity for self-organization, and the capacity to adapt to stress and change’</w:t>
      </w:r>
      <w:r w:rsidRPr="001F64C0">
        <w:rPr>
          <w:sz w:val="20"/>
          <w:szCs w:val="20"/>
        </w:rPr>
        <w:t xml:space="preserve"> </w:t>
      </w:r>
      <w:r w:rsidRPr="001F64C0">
        <w:rPr>
          <w:iCs/>
          <w:sz w:val="20"/>
          <w:szCs w:val="20"/>
        </w:rPr>
        <w:t>(The Intergovernmental Panel on Climate Change, 2007).</w:t>
      </w:r>
    </w:p>
    <w:p w14:paraId="2D8DEF10" w14:textId="77777777" w:rsidR="00A96CF7" w:rsidRPr="00293176" w:rsidRDefault="00A96CF7" w:rsidP="00FD4ABA">
      <w:pPr>
        <w:pStyle w:val="FootnoteText"/>
        <w:rPr>
          <w:sz w:val="20"/>
          <w:szCs w:val="20"/>
        </w:rPr>
      </w:pPr>
    </w:p>
  </w:footnote>
  <w:footnote w:id="133">
    <w:p w14:paraId="0E7DC9EB" w14:textId="66EB1716" w:rsidR="00A96CF7" w:rsidRPr="003F7611" w:rsidRDefault="00A96CF7" w:rsidP="00FD4ABA">
      <w:pPr>
        <w:pStyle w:val="FootnoteText"/>
        <w:rPr>
          <w:sz w:val="20"/>
          <w:szCs w:val="20"/>
        </w:rPr>
      </w:pPr>
      <w:r w:rsidRPr="00293176">
        <w:rPr>
          <w:rStyle w:val="FootnoteReference"/>
          <w:sz w:val="20"/>
          <w:szCs w:val="20"/>
        </w:rPr>
        <w:footnoteRef/>
      </w:r>
      <w:r w:rsidRPr="00293176">
        <w:rPr>
          <w:sz w:val="20"/>
          <w:szCs w:val="20"/>
        </w:rPr>
        <w:t xml:space="preserve"> </w:t>
      </w:r>
      <w:r w:rsidRPr="008C041F">
        <w:rPr>
          <w:sz w:val="20"/>
          <w:szCs w:val="20"/>
        </w:rPr>
        <w:t>Key points expressed at the closing of the roundtable session underscored important elements of the discussion. Regarding the needs of businesses, companies agreed that a tool to quantify the risks to business if unpaid work disappeared (i.e., a way to show the impact of this unpaid work a</w:t>
      </w:r>
      <w:r w:rsidRPr="003F7611">
        <w:rPr>
          <w:sz w:val="20"/>
          <w:szCs w:val="20"/>
        </w:rPr>
        <w:t xml:space="preserve">nd what it means to businesses in reality) would be very useful (Roundtable discussion held by RHUL and </w:t>
      </w:r>
      <w:r>
        <w:rPr>
          <w:sz w:val="20"/>
          <w:szCs w:val="20"/>
        </w:rPr>
        <w:t>BSI</w:t>
      </w:r>
      <w:r w:rsidRPr="003F7611">
        <w:rPr>
          <w:sz w:val="20"/>
          <w:szCs w:val="20"/>
        </w:rPr>
        <w:t xml:space="preserve"> on ‘Women in Supply Chains: Unpaid work’, September 13, 2015, p. 16). A roundtable discussion at the Ethical Trading Initiative organized by </w:t>
      </w:r>
      <w:r>
        <w:rPr>
          <w:sz w:val="20"/>
          <w:szCs w:val="20"/>
        </w:rPr>
        <w:t>BSI</w:t>
      </w:r>
      <w:r w:rsidRPr="003F7611">
        <w:rPr>
          <w:sz w:val="20"/>
          <w:szCs w:val="20"/>
        </w:rPr>
        <w:t xml:space="preserve"> in collaboration with </w:t>
      </w:r>
      <w:r>
        <w:rPr>
          <w:sz w:val="20"/>
          <w:szCs w:val="20"/>
        </w:rPr>
        <w:t>RHUL</w:t>
      </w:r>
      <w:r w:rsidRPr="003F7611">
        <w:rPr>
          <w:sz w:val="20"/>
          <w:szCs w:val="20"/>
        </w:rPr>
        <w:t xml:space="preserve"> took place on September 22, 2015. Ten organizations (Neal’s Yard Cosmetics, Innocent drinks, Unilver etc.) were invited to participate in a discussion on ‘Women in Supply Chains: Unpaid Care Work’. The objective of this was to further our understanding of the role of women in supply chains and unpaid care work. Furthermore, the roundtable discussion was organized to gain additional perspectives and inputs on what kind of outputs from the present doctoral research on pricing women’s unpaid work in community trade would be useful for other business stakeholders.</w:t>
      </w:r>
    </w:p>
  </w:footnote>
  <w:footnote w:id="134">
    <w:p w14:paraId="4A646202" w14:textId="77777777" w:rsidR="00A96CF7" w:rsidRDefault="00A96CF7" w:rsidP="00FD4ABA">
      <w:pPr>
        <w:pStyle w:val="FootnoteText"/>
      </w:pPr>
      <w:r w:rsidRPr="00293176">
        <w:rPr>
          <w:rStyle w:val="FootnoteReference"/>
          <w:sz w:val="20"/>
        </w:rPr>
        <w:footnoteRef/>
      </w:r>
      <w:r w:rsidRPr="00293176">
        <w:rPr>
          <w:sz w:val="20"/>
        </w:rPr>
        <w:t xml:space="preserve"> Deepta Chopra, online lecture on online course: ‘Why We Care About Care’. An online Moderate Course in Care Economy. UN Women Training Centre. September 14- November 15, 2015.</w:t>
      </w:r>
    </w:p>
  </w:footnote>
  <w:footnote w:id="135">
    <w:p w14:paraId="09F87468" w14:textId="51D73252" w:rsidR="00A96CF7" w:rsidRPr="00446C7A" w:rsidRDefault="00A96CF7" w:rsidP="00FD4ABA">
      <w:pPr>
        <w:pStyle w:val="FootnoteText"/>
      </w:pPr>
      <w:r w:rsidRPr="00293176">
        <w:rPr>
          <w:rStyle w:val="FootnoteReference"/>
          <w:sz w:val="20"/>
        </w:rPr>
        <w:footnoteRef/>
      </w:r>
      <w:r w:rsidRPr="00293176">
        <w:rPr>
          <w:sz w:val="20"/>
        </w:rPr>
        <w:t xml:space="preserve"> </w:t>
      </w:r>
      <w:r>
        <w:rPr>
          <w:sz w:val="20"/>
        </w:rPr>
        <w:t>Eybend (2012) states: ‘</w:t>
      </w:r>
      <w:r w:rsidRPr="00293176">
        <w:rPr>
          <w:sz w:val="20"/>
        </w:rPr>
        <w:t>In this instance, system bias works through the circular logic of the discourse of Evidence Based Policy: the argument runs if there were sound evidence and it is adequately communicated, then it goes without saying that decision-makers would take note and respond. That they have ignored the evidence means it is flawed and/or badly communicated. Thus the discourse of evidence-based policy nullifies the possibility of admitting to strategic ignorance of inconvenient truths – truths that would oblige a reassessment of policy priorities and budgets and might even challenge one’s understanding of how the world works</w:t>
      </w:r>
      <w:r>
        <w:rPr>
          <w:sz w:val="20"/>
        </w:rPr>
        <w:t>’ (</w:t>
      </w:r>
      <w:r w:rsidRPr="00293176">
        <w:rPr>
          <w:sz w:val="20"/>
        </w:rPr>
        <w:t>p.</w:t>
      </w:r>
      <w:r>
        <w:rPr>
          <w:sz w:val="20"/>
        </w:rPr>
        <w:t xml:space="preserve"> </w:t>
      </w:r>
      <w:r w:rsidRPr="00293176">
        <w:rPr>
          <w:sz w:val="20"/>
        </w:rPr>
        <w:t>12)</w:t>
      </w:r>
      <w:r>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C8D1D" w14:textId="77777777" w:rsidR="00A96CF7" w:rsidRDefault="00A96CF7">
    <w:pPr>
      <w:pStyle w:val="Header"/>
    </w:pPr>
  </w:p>
  <w:p w14:paraId="33BBF637" w14:textId="77777777" w:rsidR="00A96CF7" w:rsidRDefault="00A96CF7"/>
  <w:p w14:paraId="72417C4B" w14:textId="77777777" w:rsidR="00A96CF7" w:rsidRDefault="00A96C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1994B" w14:textId="77777777" w:rsidR="00A96CF7" w:rsidRDefault="00A96CF7">
    <w:pPr>
      <w:pStyle w:val="Header"/>
    </w:pPr>
  </w:p>
  <w:p w14:paraId="75B5282C" w14:textId="77777777" w:rsidR="00A96CF7" w:rsidRDefault="00A96CF7"/>
  <w:p w14:paraId="4A6FAA52" w14:textId="77777777" w:rsidR="00A96CF7" w:rsidRDefault="00A96C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EDA3" w14:textId="77777777" w:rsidR="00A96CF7" w:rsidRDefault="00A96C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B64FE"/>
    <w:multiLevelType w:val="hybridMultilevel"/>
    <w:tmpl w:val="A6F0B4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79731B"/>
    <w:multiLevelType w:val="hybridMultilevel"/>
    <w:tmpl w:val="547EB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93AF1"/>
    <w:multiLevelType w:val="multilevel"/>
    <w:tmpl w:val="CE0C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E1758"/>
    <w:multiLevelType w:val="multilevel"/>
    <w:tmpl w:val="7BA61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C759C1"/>
    <w:multiLevelType w:val="hybridMultilevel"/>
    <w:tmpl w:val="0F72C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5B7349"/>
    <w:multiLevelType w:val="multilevel"/>
    <w:tmpl w:val="10AA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972E6"/>
    <w:multiLevelType w:val="multilevel"/>
    <w:tmpl w:val="47144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D46441"/>
    <w:multiLevelType w:val="hybridMultilevel"/>
    <w:tmpl w:val="A6F0B4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201395"/>
    <w:multiLevelType w:val="multilevel"/>
    <w:tmpl w:val="D76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4A1AFF"/>
    <w:multiLevelType w:val="multilevel"/>
    <w:tmpl w:val="CAC2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365C62"/>
    <w:multiLevelType w:val="hybridMultilevel"/>
    <w:tmpl w:val="E26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C07B6"/>
    <w:multiLevelType w:val="multilevel"/>
    <w:tmpl w:val="F4C0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030759"/>
    <w:multiLevelType w:val="multilevel"/>
    <w:tmpl w:val="95C2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8030E"/>
    <w:multiLevelType w:val="multilevel"/>
    <w:tmpl w:val="DD300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7B2797"/>
    <w:multiLevelType w:val="multilevel"/>
    <w:tmpl w:val="231C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0A147F"/>
    <w:multiLevelType w:val="hybridMultilevel"/>
    <w:tmpl w:val="0B389D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78465B5"/>
    <w:multiLevelType w:val="hybridMultilevel"/>
    <w:tmpl w:val="5D7CD9CE"/>
    <w:lvl w:ilvl="0" w:tplc="B120AD0C">
      <w:numFmt w:val="bullet"/>
      <w:lvlText w:val="-"/>
      <w:lvlJc w:val="left"/>
      <w:pPr>
        <w:ind w:left="720" w:hanging="360"/>
      </w:pPr>
      <w:rPr>
        <w:rFonts w:ascii="Calibri" w:eastAsiaTheme="minorEastAsia" w:hAnsi="Calibri" w:cs="Calibri" w:hint="default"/>
      </w:rPr>
    </w:lvl>
    <w:lvl w:ilvl="1" w:tplc="B120AD0C">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094C08"/>
    <w:multiLevelType w:val="hybridMultilevel"/>
    <w:tmpl w:val="87CAC52C"/>
    <w:lvl w:ilvl="0" w:tplc="B07C081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9579FE"/>
    <w:multiLevelType w:val="hybridMultilevel"/>
    <w:tmpl w:val="ADD8C826"/>
    <w:lvl w:ilvl="0" w:tplc="FCA8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910BB"/>
    <w:multiLevelType w:val="multilevel"/>
    <w:tmpl w:val="F87C3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104C30"/>
    <w:multiLevelType w:val="hybridMultilevel"/>
    <w:tmpl w:val="EC58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41FA4"/>
    <w:multiLevelType w:val="hybridMultilevel"/>
    <w:tmpl w:val="26B6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32DA9"/>
    <w:multiLevelType w:val="hybridMultilevel"/>
    <w:tmpl w:val="D82E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D05AF"/>
    <w:multiLevelType w:val="hybridMultilevel"/>
    <w:tmpl w:val="566AAFD4"/>
    <w:lvl w:ilvl="0" w:tplc="04090001">
      <w:start w:val="1"/>
      <w:numFmt w:val="bullet"/>
      <w:lvlText w:val=""/>
      <w:lvlJc w:val="left"/>
      <w:pPr>
        <w:ind w:left="720" w:hanging="360"/>
      </w:pPr>
      <w:rPr>
        <w:rFonts w:ascii="Symbol" w:hAnsi="Symbol" w:hint="default"/>
      </w:rPr>
    </w:lvl>
    <w:lvl w:ilvl="1" w:tplc="B120AD0C">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943AE2"/>
    <w:multiLevelType w:val="multilevel"/>
    <w:tmpl w:val="4FFA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EC1C09"/>
    <w:multiLevelType w:val="multilevel"/>
    <w:tmpl w:val="9A285FE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65D0357C"/>
    <w:multiLevelType w:val="hybridMultilevel"/>
    <w:tmpl w:val="23ACE1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673A5A"/>
    <w:multiLevelType w:val="hybridMultilevel"/>
    <w:tmpl w:val="B28C49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A3D90"/>
    <w:multiLevelType w:val="multilevel"/>
    <w:tmpl w:val="E8DAB4C8"/>
    <w:lvl w:ilvl="0">
      <w:start w:val="1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81FFA"/>
    <w:multiLevelType w:val="hybridMultilevel"/>
    <w:tmpl w:val="96C0F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76426"/>
    <w:multiLevelType w:val="multilevel"/>
    <w:tmpl w:val="8C8AF3AA"/>
    <w:lvl w:ilvl="0">
      <w:start w:val="1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4A4A73"/>
    <w:multiLevelType w:val="hybridMultilevel"/>
    <w:tmpl w:val="AFF6E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655C02"/>
    <w:multiLevelType w:val="hybridMultilevel"/>
    <w:tmpl w:val="EC04F5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7706820"/>
    <w:multiLevelType w:val="hybridMultilevel"/>
    <w:tmpl w:val="5212C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A2769E3"/>
    <w:multiLevelType w:val="hybridMultilevel"/>
    <w:tmpl w:val="F4700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8"/>
  </w:num>
  <w:num w:numId="3">
    <w:abstractNumId w:val="22"/>
  </w:num>
  <w:num w:numId="4">
    <w:abstractNumId w:val="23"/>
  </w:num>
  <w:num w:numId="5">
    <w:abstractNumId w:val="11"/>
  </w:num>
  <w:num w:numId="6">
    <w:abstractNumId w:val="26"/>
  </w:num>
  <w:num w:numId="7">
    <w:abstractNumId w:val="1"/>
  </w:num>
  <w:num w:numId="8">
    <w:abstractNumId w:val="32"/>
  </w:num>
  <w:num w:numId="9">
    <w:abstractNumId w:val="16"/>
  </w:num>
  <w:num w:numId="10">
    <w:abstractNumId w:val="2"/>
  </w:num>
  <w:num w:numId="11">
    <w:abstractNumId w:val="21"/>
  </w:num>
  <w:num w:numId="12">
    <w:abstractNumId w:val="5"/>
  </w:num>
  <w:num w:numId="13">
    <w:abstractNumId w:val="35"/>
  </w:num>
  <w:num w:numId="14">
    <w:abstractNumId w:val="18"/>
  </w:num>
  <w:num w:numId="15">
    <w:abstractNumId w:val="30"/>
  </w:num>
  <w:num w:numId="16">
    <w:abstractNumId w:val="19"/>
  </w:num>
  <w:num w:numId="17">
    <w:abstractNumId w:val="24"/>
  </w:num>
  <w:num w:numId="18">
    <w:abstractNumId w:val="17"/>
  </w:num>
  <w:num w:numId="19">
    <w:abstractNumId w:val="34"/>
  </w:num>
  <w:num w:numId="20">
    <w:abstractNumId w:val="13"/>
  </w:num>
  <w:num w:numId="21">
    <w:abstractNumId w:val="33"/>
  </w:num>
  <w:num w:numId="22">
    <w:abstractNumId w:val="9"/>
  </w:num>
  <w:num w:numId="23">
    <w:abstractNumId w:val="25"/>
  </w:num>
  <w:num w:numId="24">
    <w:abstractNumId w:val="27"/>
  </w:num>
  <w:num w:numId="25">
    <w:abstractNumId w:val="6"/>
  </w:num>
  <w:num w:numId="26">
    <w:abstractNumId w:val="4"/>
  </w:num>
  <w:num w:numId="27">
    <w:abstractNumId w:val="10"/>
  </w:num>
  <w:num w:numId="28">
    <w:abstractNumId w:val="7"/>
  </w:num>
  <w:num w:numId="29">
    <w:abstractNumId w:val="29"/>
  </w:num>
  <w:num w:numId="30">
    <w:abstractNumId w:val="3"/>
  </w:num>
  <w:num w:numId="31">
    <w:abstractNumId w:val="14"/>
  </w:num>
  <w:num w:numId="32">
    <w:abstractNumId w:val="20"/>
  </w:num>
  <w:num w:numId="33">
    <w:abstractNumId w:val="15"/>
  </w:num>
  <w:num w:numId="34">
    <w:abstractNumId w:val="31"/>
  </w:num>
  <w:num w:numId="3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NI"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s-HN" w:vendorID="64" w:dllVersion="6" w:nlCheck="1" w:checkStyle="0"/>
  <w:activeWritingStyle w:appName="MSWord" w:lang="es-A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s-NI"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727"/>
    <w:rsid w:val="00000426"/>
    <w:rsid w:val="00001391"/>
    <w:rsid w:val="00002DBB"/>
    <w:rsid w:val="0000353F"/>
    <w:rsid w:val="00003D75"/>
    <w:rsid w:val="00004BF4"/>
    <w:rsid w:val="00005BCF"/>
    <w:rsid w:val="00005E2A"/>
    <w:rsid w:val="0000738A"/>
    <w:rsid w:val="0000765E"/>
    <w:rsid w:val="00007EBD"/>
    <w:rsid w:val="00012297"/>
    <w:rsid w:val="00013006"/>
    <w:rsid w:val="000146BD"/>
    <w:rsid w:val="00015205"/>
    <w:rsid w:val="000173C5"/>
    <w:rsid w:val="00017F80"/>
    <w:rsid w:val="00020823"/>
    <w:rsid w:val="00020877"/>
    <w:rsid w:val="00020A19"/>
    <w:rsid w:val="00020F6B"/>
    <w:rsid w:val="00021D80"/>
    <w:rsid w:val="00024C5A"/>
    <w:rsid w:val="00026EFC"/>
    <w:rsid w:val="00027E44"/>
    <w:rsid w:val="00030B2E"/>
    <w:rsid w:val="000313A4"/>
    <w:rsid w:val="00031ACB"/>
    <w:rsid w:val="000320C1"/>
    <w:rsid w:val="00032298"/>
    <w:rsid w:val="00033E0D"/>
    <w:rsid w:val="00034564"/>
    <w:rsid w:val="0003529B"/>
    <w:rsid w:val="000376DF"/>
    <w:rsid w:val="0004022E"/>
    <w:rsid w:val="0004045F"/>
    <w:rsid w:val="0004090B"/>
    <w:rsid w:val="00042403"/>
    <w:rsid w:val="000426CC"/>
    <w:rsid w:val="00042953"/>
    <w:rsid w:val="000441B1"/>
    <w:rsid w:val="000451F9"/>
    <w:rsid w:val="0004602B"/>
    <w:rsid w:val="000526B0"/>
    <w:rsid w:val="0005374A"/>
    <w:rsid w:val="000549B6"/>
    <w:rsid w:val="0005521C"/>
    <w:rsid w:val="00055650"/>
    <w:rsid w:val="00056327"/>
    <w:rsid w:val="0005669E"/>
    <w:rsid w:val="00061939"/>
    <w:rsid w:val="0006204D"/>
    <w:rsid w:val="00062389"/>
    <w:rsid w:val="000632D6"/>
    <w:rsid w:val="00064CEE"/>
    <w:rsid w:val="00064DAA"/>
    <w:rsid w:val="00064EC0"/>
    <w:rsid w:val="00065F8D"/>
    <w:rsid w:val="00066ED3"/>
    <w:rsid w:val="0006724B"/>
    <w:rsid w:val="00067F13"/>
    <w:rsid w:val="000706AC"/>
    <w:rsid w:val="00070AD5"/>
    <w:rsid w:val="00070FA7"/>
    <w:rsid w:val="00071548"/>
    <w:rsid w:val="0007159D"/>
    <w:rsid w:val="00071A89"/>
    <w:rsid w:val="0007201B"/>
    <w:rsid w:val="00073D04"/>
    <w:rsid w:val="000741C7"/>
    <w:rsid w:val="00074AE5"/>
    <w:rsid w:val="0007571D"/>
    <w:rsid w:val="00075A4D"/>
    <w:rsid w:val="00077AC8"/>
    <w:rsid w:val="00077CA5"/>
    <w:rsid w:val="00080EC8"/>
    <w:rsid w:val="000826AB"/>
    <w:rsid w:val="00083E7B"/>
    <w:rsid w:val="00084AD3"/>
    <w:rsid w:val="00085381"/>
    <w:rsid w:val="00085920"/>
    <w:rsid w:val="000860D2"/>
    <w:rsid w:val="000870CA"/>
    <w:rsid w:val="0008715C"/>
    <w:rsid w:val="00090FC2"/>
    <w:rsid w:val="000910CC"/>
    <w:rsid w:val="00091AE2"/>
    <w:rsid w:val="00091F60"/>
    <w:rsid w:val="00092E5D"/>
    <w:rsid w:val="00095AA5"/>
    <w:rsid w:val="000974D4"/>
    <w:rsid w:val="000977D2"/>
    <w:rsid w:val="00097B91"/>
    <w:rsid w:val="000A05A9"/>
    <w:rsid w:val="000A1428"/>
    <w:rsid w:val="000A1C35"/>
    <w:rsid w:val="000A1D06"/>
    <w:rsid w:val="000A329B"/>
    <w:rsid w:val="000A5845"/>
    <w:rsid w:val="000A6449"/>
    <w:rsid w:val="000A76E7"/>
    <w:rsid w:val="000B1824"/>
    <w:rsid w:val="000B1872"/>
    <w:rsid w:val="000B244E"/>
    <w:rsid w:val="000B2D64"/>
    <w:rsid w:val="000B4CD2"/>
    <w:rsid w:val="000B4DA1"/>
    <w:rsid w:val="000B6EBA"/>
    <w:rsid w:val="000B7042"/>
    <w:rsid w:val="000B72AC"/>
    <w:rsid w:val="000B7D1D"/>
    <w:rsid w:val="000C6891"/>
    <w:rsid w:val="000C6AF7"/>
    <w:rsid w:val="000C7B82"/>
    <w:rsid w:val="000C7D9F"/>
    <w:rsid w:val="000D1EC1"/>
    <w:rsid w:val="000D5C2C"/>
    <w:rsid w:val="000D5F18"/>
    <w:rsid w:val="000D7CC3"/>
    <w:rsid w:val="000E1606"/>
    <w:rsid w:val="000E28DE"/>
    <w:rsid w:val="000E3E91"/>
    <w:rsid w:val="000E59D6"/>
    <w:rsid w:val="000E5B16"/>
    <w:rsid w:val="000E70C7"/>
    <w:rsid w:val="000F051C"/>
    <w:rsid w:val="000F3650"/>
    <w:rsid w:val="000F3B09"/>
    <w:rsid w:val="000F3C18"/>
    <w:rsid w:val="000F54BE"/>
    <w:rsid w:val="000F6061"/>
    <w:rsid w:val="000F6305"/>
    <w:rsid w:val="000F642A"/>
    <w:rsid w:val="000F6659"/>
    <w:rsid w:val="000F693F"/>
    <w:rsid w:val="000F7A98"/>
    <w:rsid w:val="00100C2B"/>
    <w:rsid w:val="00101624"/>
    <w:rsid w:val="00101E06"/>
    <w:rsid w:val="0010243E"/>
    <w:rsid w:val="00102A1A"/>
    <w:rsid w:val="00103B1A"/>
    <w:rsid w:val="00104366"/>
    <w:rsid w:val="0010438C"/>
    <w:rsid w:val="00104BEE"/>
    <w:rsid w:val="00105783"/>
    <w:rsid w:val="001061D5"/>
    <w:rsid w:val="001061E1"/>
    <w:rsid w:val="00106873"/>
    <w:rsid w:val="00110169"/>
    <w:rsid w:val="00110424"/>
    <w:rsid w:val="001107D3"/>
    <w:rsid w:val="00110B3C"/>
    <w:rsid w:val="00113DE3"/>
    <w:rsid w:val="00114453"/>
    <w:rsid w:val="00116A0B"/>
    <w:rsid w:val="001201CA"/>
    <w:rsid w:val="00121ACF"/>
    <w:rsid w:val="0012411E"/>
    <w:rsid w:val="001253A9"/>
    <w:rsid w:val="0012567C"/>
    <w:rsid w:val="0013004F"/>
    <w:rsid w:val="0013073E"/>
    <w:rsid w:val="00130AF6"/>
    <w:rsid w:val="001338B2"/>
    <w:rsid w:val="00134195"/>
    <w:rsid w:val="00137408"/>
    <w:rsid w:val="00137873"/>
    <w:rsid w:val="00137C6C"/>
    <w:rsid w:val="0014059F"/>
    <w:rsid w:val="00140832"/>
    <w:rsid w:val="001409EE"/>
    <w:rsid w:val="00141F1A"/>
    <w:rsid w:val="001420D6"/>
    <w:rsid w:val="001429FE"/>
    <w:rsid w:val="001430B6"/>
    <w:rsid w:val="001440CF"/>
    <w:rsid w:val="001441DA"/>
    <w:rsid w:val="0014487C"/>
    <w:rsid w:val="00145204"/>
    <w:rsid w:val="00146952"/>
    <w:rsid w:val="001474EF"/>
    <w:rsid w:val="00151F94"/>
    <w:rsid w:val="00152E60"/>
    <w:rsid w:val="00153072"/>
    <w:rsid w:val="00153D02"/>
    <w:rsid w:val="001553E1"/>
    <w:rsid w:val="00155A84"/>
    <w:rsid w:val="00155BAC"/>
    <w:rsid w:val="00155D79"/>
    <w:rsid w:val="0015606A"/>
    <w:rsid w:val="0015631E"/>
    <w:rsid w:val="001564DE"/>
    <w:rsid w:val="00157B43"/>
    <w:rsid w:val="00157CBC"/>
    <w:rsid w:val="001608DD"/>
    <w:rsid w:val="00160C2F"/>
    <w:rsid w:val="00160D12"/>
    <w:rsid w:val="00164B50"/>
    <w:rsid w:val="00165E1A"/>
    <w:rsid w:val="00166214"/>
    <w:rsid w:val="001662C8"/>
    <w:rsid w:val="00166B06"/>
    <w:rsid w:val="001707DA"/>
    <w:rsid w:val="00171CF0"/>
    <w:rsid w:val="00172856"/>
    <w:rsid w:val="00175209"/>
    <w:rsid w:val="001752D4"/>
    <w:rsid w:val="001756E8"/>
    <w:rsid w:val="00176580"/>
    <w:rsid w:val="001766F4"/>
    <w:rsid w:val="001770CA"/>
    <w:rsid w:val="0018113B"/>
    <w:rsid w:val="00181E5B"/>
    <w:rsid w:val="00181E66"/>
    <w:rsid w:val="0018589D"/>
    <w:rsid w:val="001863DB"/>
    <w:rsid w:val="001865B1"/>
    <w:rsid w:val="00186CE9"/>
    <w:rsid w:val="00187A0D"/>
    <w:rsid w:val="00187C63"/>
    <w:rsid w:val="001925A9"/>
    <w:rsid w:val="00193E5A"/>
    <w:rsid w:val="00194DE4"/>
    <w:rsid w:val="00194EA2"/>
    <w:rsid w:val="00195E71"/>
    <w:rsid w:val="00196534"/>
    <w:rsid w:val="00197741"/>
    <w:rsid w:val="001A1228"/>
    <w:rsid w:val="001A140D"/>
    <w:rsid w:val="001A147D"/>
    <w:rsid w:val="001A2B40"/>
    <w:rsid w:val="001A2BDA"/>
    <w:rsid w:val="001A2D82"/>
    <w:rsid w:val="001A43F0"/>
    <w:rsid w:val="001A44CF"/>
    <w:rsid w:val="001A48D9"/>
    <w:rsid w:val="001A5414"/>
    <w:rsid w:val="001A666E"/>
    <w:rsid w:val="001A68A8"/>
    <w:rsid w:val="001A6BB1"/>
    <w:rsid w:val="001A6E80"/>
    <w:rsid w:val="001A7CBF"/>
    <w:rsid w:val="001B0360"/>
    <w:rsid w:val="001B0BEC"/>
    <w:rsid w:val="001B27B4"/>
    <w:rsid w:val="001B31D5"/>
    <w:rsid w:val="001B3600"/>
    <w:rsid w:val="001B5154"/>
    <w:rsid w:val="001B536B"/>
    <w:rsid w:val="001B5BE5"/>
    <w:rsid w:val="001B739F"/>
    <w:rsid w:val="001B7623"/>
    <w:rsid w:val="001B7CAB"/>
    <w:rsid w:val="001C1137"/>
    <w:rsid w:val="001C1B76"/>
    <w:rsid w:val="001C23B2"/>
    <w:rsid w:val="001C2E3C"/>
    <w:rsid w:val="001C3962"/>
    <w:rsid w:val="001C39AB"/>
    <w:rsid w:val="001C443C"/>
    <w:rsid w:val="001C52FF"/>
    <w:rsid w:val="001C5BE1"/>
    <w:rsid w:val="001C7ADD"/>
    <w:rsid w:val="001C7FEF"/>
    <w:rsid w:val="001D0CA4"/>
    <w:rsid w:val="001D167F"/>
    <w:rsid w:val="001D1EF4"/>
    <w:rsid w:val="001D29A9"/>
    <w:rsid w:val="001D2A0C"/>
    <w:rsid w:val="001D2CDA"/>
    <w:rsid w:val="001D31B4"/>
    <w:rsid w:val="001D674B"/>
    <w:rsid w:val="001D6C74"/>
    <w:rsid w:val="001E0542"/>
    <w:rsid w:val="001E137C"/>
    <w:rsid w:val="001E19D4"/>
    <w:rsid w:val="001E1AE5"/>
    <w:rsid w:val="001E2E23"/>
    <w:rsid w:val="001E3E16"/>
    <w:rsid w:val="001E4855"/>
    <w:rsid w:val="001E55F2"/>
    <w:rsid w:val="001F19F5"/>
    <w:rsid w:val="001F2241"/>
    <w:rsid w:val="001F3242"/>
    <w:rsid w:val="001F3E54"/>
    <w:rsid w:val="001F4E0F"/>
    <w:rsid w:val="001F53BE"/>
    <w:rsid w:val="001F64C0"/>
    <w:rsid w:val="001F671E"/>
    <w:rsid w:val="001F718F"/>
    <w:rsid w:val="001F71A7"/>
    <w:rsid w:val="001F7E0A"/>
    <w:rsid w:val="0020199E"/>
    <w:rsid w:val="00202273"/>
    <w:rsid w:val="00202958"/>
    <w:rsid w:val="00203A79"/>
    <w:rsid w:val="002064B0"/>
    <w:rsid w:val="002079CE"/>
    <w:rsid w:val="00210A3E"/>
    <w:rsid w:val="002111C2"/>
    <w:rsid w:val="002127A6"/>
    <w:rsid w:val="00213104"/>
    <w:rsid w:val="00213948"/>
    <w:rsid w:val="00213F91"/>
    <w:rsid w:val="00215D0C"/>
    <w:rsid w:val="002165A6"/>
    <w:rsid w:val="00216E85"/>
    <w:rsid w:val="0022052F"/>
    <w:rsid w:val="0022065A"/>
    <w:rsid w:val="002207A0"/>
    <w:rsid w:val="00221391"/>
    <w:rsid w:val="00221D12"/>
    <w:rsid w:val="00222933"/>
    <w:rsid w:val="00222A22"/>
    <w:rsid w:val="002245B9"/>
    <w:rsid w:val="002248D5"/>
    <w:rsid w:val="00224BE1"/>
    <w:rsid w:val="00225D50"/>
    <w:rsid w:val="00226524"/>
    <w:rsid w:val="00227C4C"/>
    <w:rsid w:val="0023004C"/>
    <w:rsid w:val="002303C1"/>
    <w:rsid w:val="002306D7"/>
    <w:rsid w:val="00230F10"/>
    <w:rsid w:val="002317DE"/>
    <w:rsid w:val="00232298"/>
    <w:rsid w:val="00233390"/>
    <w:rsid w:val="00236C6F"/>
    <w:rsid w:val="00237889"/>
    <w:rsid w:val="00240EB4"/>
    <w:rsid w:val="00242E40"/>
    <w:rsid w:val="002431FE"/>
    <w:rsid w:val="00245E98"/>
    <w:rsid w:val="00250728"/>
    <w:rsid w:val="002507C1"/>
    <w:rsid w:val="00250A67"/>
    <w:rsid w:val="00250B59"/>
    <w:rsid w:val="002510AF"/>
    <w:rsid w:val="00251370"/>
    <w:rsid w:val="00251DAB"/>
    <w:rsid w:val="00254B5E"/>
    <w:rsid w:val="00254D9D"/>
    <w:rsid w:val="00254E8D"/>
    <w:rsid w:val="00254EE2"/>
    <w:rsid w:val="002579C3"/>
    <w:rsid w:val="002618F0"/>
    <w:rsid w:val="00261FF1"/>
    <w:rsid w:val="0026279B"/>
    <w:rsid w:val="002629A5"/>
    <w:rsid w:val="00263DE3"/>
    <w:rsid w:val="0026485C"/>
    <w:rsid w:val="00264D31"/>
    <w:rsid w:val="002664DA"/>
    <w:rsid w:val="0026754A"/>
    <w:rsid w:val="002679DA"/>
    <w:rsid w:val="00270466"/>
    <w:rsid w:val="0027075A"/>
    <w:rsid w:val="00271153"/>
    <w:rsid w:val="002753EC"/>
    <w:rsid w:val="0027564D"/>
    <w:rsid w:val="00275A29"/>
    <w:rsid w:val="00276249"/>
    <w:rsid w:val="0028076A"/>
    <w:rsid w:val="002811BD"/>
    <w:rsid w:val="00281478"/>
    <w:rsid w:val="00281AFD"/>
    <w:rsid w:val="002820E4"/>
    <w:rsid w:val="0028651D"/>
    <w:rsid w:val="00286FF5"/>
    <w:rsid w:val="00290860"/>
    <w:rsid w:val="00290C8B"/>
    <w:rsid w:val="00292233"/>
    <w:rsid w:val="0029309C"/>
    <w:rsid w:val="00293176"/>
    <w:rsid w:val="00294112"/>
    <w:rsid w:val="00294A35"/>
    <w:rsid w:val="00294B09"/>
    <w:rsid w:val="00294D4B"/>
    <w:rsid w:val="00295616"/>
    <w:rsid w:val="00295CEC"/>
    <w:rsid w:val="00296456"/>
    <w:rsid w:val="002A057C"/>
    <w:rsid w:val="002A1D22"/>
    <w:rsid w:val="002A3081"/>
    <w:rsid w:val="002A361E"/>
    <w:rsid w:val="002A3BC1"/>
    <w:rsid w:val="002A62BD"/>
    <w:rsid w:val="002A664C"/>
    <w:rsid w:val="002A6F67"/>
    <w:rsid w:val="002B0613"/>
    <w:rsid w:val="002B190A"/>
    <w:rsid w:val="002B2D54"/>
    <w:rsid w:val="002B41C9"/>
    <w:rsid w:val="002B61D1"/>
    <w:rsid w:val="002B739D"/>
    <w:rsid w:val="002B7531"/>
    <w:rsid w:val="002B7F05"/>
    <w:rsid w:val="002C1A0F"/>
    <w:rsid w:val="002C1DC4"/>
    <w:rsid w:val="002C1F39"/>
    <w:rsid w:val="002C2A09"/>
    <w:rsid w:val="002C3361"/>
    <w:rsid w:val="002C37E1"/>
    <w:rsid w:val="002C5C1A"/>
    <w:rsid w:val="002C5CB1"/>
    <w:rsid w:val="002C63A8"/>
    <w:rsid w:val="002C660D"/>
    <w:rsid w:val="002C6789"/>
    <w:rsid w:val="002C707D"/>
    <w:rsid w:val="002C7C96"/>
    <w:rsid w:val="002D03A3"/>
    <w:rsid w:val="002D07CB"/>
    <w:rsid w:val="002D27D9"/>
    <w:rsid w:val="002D4C78"/>
    <w:rsid w:val="002D6300"/>
    <w:rsid w:val="002D7CA1"/>
    <w:rsid w:val="002E0ABA"/>
    <w:rsid w:val="002E2A5C"/>
    <w:rsid w:val="002E351C"/>
    <w:rsid w:val="002E6A58"/>
    <w:rsid w:val="002E705E"/>
    <w:rsid w:val="002E7219"/>
    <w:rsid w:val="002E782A"/>
    <w:rsid w:val="002F2EE5"/>
    <w:rsid w:val="002F3702"/>
    <w:rsid w:val="002F569D"/>
    <w:rsid w:val="002F73E9"/>
    <w:rsid w:val="002F7E31"/>
    <w:rsid w:val="00300F85"/>
    <w:rsid w:val="00301458"/>
    <w:rsid w:val="00301AB8"/>
    <w:rsid w:val="00301BAD"/>
    <w:rsid w:val="0030200B"/>
    <w:rsid w:val="003047A2"/>
    <w:rsid w:val="00305073"/>
    <w:rsid w:val="0030533E"/>
    <w:rsid w:val="0030568C"/>
    <w:rsid w:val="00306E8E"/>
    <w:rsid w:val="003070BA"/>
    <w:rsid w:val="003104FA"/>
    <w:rsid w:val="00312851"/>
    <w:rsid w:val="003168E0"/>
    <w:rsid w:val="0031764E"/>
    <w:rsid w:val="00317D29"/>
    <w:rsid w:val="003217C2"/>
    <w:rsid w:val="0032445B"/>
    <w:rsid w:val="0032574F"/>
    <w:rsid w:val="00326F59"/>
    <w:rsid w:val="003315AB"/>
    <w:rsid w:val="00332117"/>
    <w:rsid w:val="0033250B"/>
    <w:rsid w:val="00332941"/>
    <w:rsid w:val="00332B31"/>
    <w:rsid w:val="0033372B"/>
    <w:rsid w:val="00333E65"/>
    <w:rsid w:val="00334CF6"/>
    <w:rsid w:val="0033533F"/>
    <w:rsid w:val="00335490"/>
    <w:rsid w:val="003357AA"/>
    <w:rsid w:val="00336B1F"/>
    <w:rsid w:val="0034053F"/>
    <w:rsid w:val="0034095C"/>
    <w:rsid w:val="00340F3F"/>
    <w:rsid w:val="0034314A"/>
    <w:rsid w:val="0034358B"/>
    <w:rsid w:val="003445D7"/>
    <w:rsid w:val="003503CE"/>
    <w:rsid w:val="003508A0"/>
    <w:rsid w:val="00351153"/>
    <w:rsid w:val="0035268B"/>
    <w:rsid w:val="00352D66"/>
    <w:rsid w:val="00352E7E"/>
    <w:rsid w:val="003537E0"/>
    <w:rsid w:val="003547AC"/>
    <w:rsid w:val="003556B3"/>
    <w:rsid w:val="003569ED"/>
    <w:rsid w:val="003607E7"/>
    <w:rsid w:val="003629DF"/>
    <w:rsid w:val="00363A0F"/>
    <w:rsid w:val="00363BF2"/>
    <w:rsid w:val="00364CF9"/>
    <w:rsid w:val="00365698"/>
    <w:rsid w:val="00365D0B"/>
    <w:rsid w:val="00371EB4"/>
    <w:rsid w:val="00373016"/>
    <w:rsid w:val="003739D1"/>
    <w:rsid w:val="00375453"/>
    <w:rsid w:val="0037646F"/>
    <w:rsid w:val="00380F1F"/>
    <w:rsid w:val="003810C4"/>
    <w:rsid w:val="003812F6"/>
    <w:rsid w:val="00381312"/>
    <w:rsid w:val="003814E4"/>
    <w:rsid w:val="00381554"/>
    <w:rsid w:val="003823C0"/>
    <w:rsid w:val="00382597"/>
    <w:rsid w:val="00382964"/>
    <w:rsid w:val="00382A6B"/>
    <w:rsid w:val="00383F81"/>
    <w:rsid w:val="00384E59"/>
    <w:rsid w:val="00385441"/>
    <w:rsid w:val="0038695F"/>
    <w:rsid w:val="00386E55"/>
    <w:rsid w:val="00387946"/>
    <w:rsid w:val="0039187E"/>
    <w:rsid w:val="00392BDC"/>
    <w:rsid w:val="00393961"/>
    <w:rsid w:val="0039465C"/>
    <w:rsid w:val="003958F4"/>
    <w:rsid w:val="00396010"/>
    <w:rsid w:val="003960DE"/>
    <w:rsid w:val="003967E9"/>
    <w:rsid w:val="00396858"/>
    <w:rsid w:val="0039706F"/>
    <w:rsid w:val="003A016A"/>
    <w:rsid w:val="003A0C9B"/>
    <w:rsid w:val="003A1B27"/>
    <w:rsid w:val="003A21D0"/>
    <w:rsid w:val="003A2599"/>
    <w:rsid w:val="003A2C87"/>
    <w:rsid w:val="003A45EE"/>
    <w:rsid w:val="003A4770"/>
    <w:rsid w:val="003B0F04"/>
    <w:rsid w:val="003B2010"/>
    <w:rsid w:val="003B31ED"/>
    <w:rsid w:val="003B3CE3"/>
    <w:rsid w:val="003B40E4"/>
    <w:rsid w:val="003B4751"/>
    <w:rsid w:val="003B532D"/>
    <w:rsid w:val="003B66FA"/>
    <w:rsid w:val="003B7977"/>
    <w:rsid w:val="003C2625"/>
    <w:rsid w:val="003C55E5"/>
    <w:rsid w:val="003C6E5A"/>
    <w:rsid w:val="003C6F7E"/>
    <w:rsid w:val="003C71F9"/>
    <w:rsid w:val="003D197D"/>
    <w:rsid w:val="003D19EF"/>
    <w:rsid w:val="003D35F5"/>
    <w:rsid w:val="003D3676"/>
    <w:rsid w:val="003D38A1"/>
    <w:rsid w:val="003D3C63"/>
    <w:rsid w:val="003D4F51"/>
    <w:rsid w:val="003D566F"/>
    <w:rsid w:val="003D6ED9"/>
    <w:rsid w:val="003D7A5C"/>
    <w:rsid w:val="003D7EB1"/>
    <w:rsid w:val="003E045B"/>
    <w:rsid w:val="003E2490"/>
    <w:rsid w:val="003E2E9E"/>
    <w:rsid w:val="003E5478"/>
    <w:rsid w:val="003E567B"/>
    <w:rsid w:val="003E66BD"/>
    <w:rsid w:val="003E6FC1"/>
    <w:rsid w:val="003E7A75"/>
    <w:rsid w:val="003F0465"/>
    <w:rsid w:val="003F08B7"/>
    <w:rsid w:val="003F22C5"/>
    <w:rsid w:val="003F25C5"/>
    <w:rsid w:val="003F2BC4"/>
    <w:rsid w:val="003F4570"/>
    <w:rsid w:val="003F47CA"/>
    <w:rsid w:val="003F4DB5"/>
    <w:rsid w:val="003F4F1A"/>
    <w:rsid w:val="003F536E"/>
    <w:rsid w:val="003F616F"/>
    <w:rsid w:val="003F7611"/>
    <w:rsid w:val="003F7869"/>
    <w:rsid w:val="003F7E15"/>
    <w:rsid w:val="00402025"/>
    <w:rsid w:val="0040358A"/>
    <w:rsid w:val="00404271"/>
    <w:rsid w:val="00404D64"/>
    <w:rsid w:val="004103EB"/>
    <w:rsid w:val="00410898"/>
    <w:rsid w:val="004113C1"/>
    <w:rsid w:val="00413AEB"/>
    <w:rsid w:val="004157CF"/>
    <w:rsid w:val="0041625A"/>
    <w:rsid w:val="00420071"/>
    <w:rsid w:val="00420E39"/>
    <w:rsid w:val="00421122"/>
    <w:rsid w:val="00422A0A"/>
    <w:rsid w:val="00422A8E"/>
    <w:rsid w:val="00422F86"/>
    <w:rsid w:val="00423D40"/>
    <w:rsid w:val="00423ED3"/>
    <w:rsid w:val="00424BA0"/>
    <w:rsid w:val="00425B45"/>
    <w:rsid w:val="00426335"/>
    <w:rsid w:val="00430AA7"/>
    <w:rsid w:val="00430B10"/>
    <w:rsid w:val="00430E65"/>
    <w:rsid w:val="00430EBE"/>
    <w:rsid w:val="00431533"/>
    <w:rsid w:val="004340A6"/>
    <w:rsid w:val="00434705"/>
    <w:rsid w:val="00435BDE"/>
    <w:rsid w:val="004415DB"/>
    <w:rsid w:val="00442F6A"/>
    <w:rsid w:val="00442F79"/>
    <w:rsid w:val="00443890"/>
    <w:rsid w:val="00446307"/>
    <w:rsid w:val="00446DB7"/>
    <w:rsid w:val="00447A7B"/>
    <w:rsid w:val="00450A5B"/>
    <w:rsid w:val="00454CAE"/>
    <w:rsid w:val="00454E0B"/>
    <w:rsid w:val="00455AF3"/>
    <w:rsid w:val="00456059"/>
    <w:rsid w:val="00456128"/>
    <w:rsid w:val="00456AB9"/>
    <w:rsid w:val="00457092"/>
    <w:rsid w:val="00461532"/>
    <w:rsid w:val="00463045"/>
    <w:rsid w:val="0046520D"/>
    <w:rsid w:val="00465691"/>
    <w:rsid w:val="00466669"/>
    <w:rsid w:val="004671A5"/>
    <w:rsid w:val="00467CE2"/>
    <w:rsid w:val="00467F76"/>
    <w:rsid w:val="00470404"/>
    <w:rsid w:val="00473500"/>
    <w:rsid w:val="004735BC"/>
    <w:rsid w:val="004754FE"/>
    <w:rsid w:val="00475E15"/>
    <w:rsid w:val="00476B33"/>
    <w:rsid w:val="00477330"/>
    <w:rsid w:val="00477CC3"/>
    <w:rsid w:val="00481A51"/>
    <w:rsid w:val="00482B58"/>
    <w:rsid w:val="00483CCB"/>
    <w:rsid w:val="00483F68"/>
    <w:rsid w:val="00490D88"/>
    <w:rsid w:val="00493B5B"/>
    <w:rsid w:val="004942EC"/>
    <w:rsid w:val="0049439C"/>
    <w:rsid w:val="004946EB"/>
    <w:rsid w:val="00494F0F"/>
    <w:rsid w:val="00495B0E"/>
    <w:rsid w:val="00495B17"/>
    <w:rsid w:val="00495ED3"/>
    <w:rsid w:val="00495F0F"/>
    <w:rsid w:val="004963CB"/>
    <w:rsid w:val="00497235"/>
    <w:rsid w:val="004A1718"/>
    <w:rsid w:val="004A20C9"/>
    <w:rsid w:val="004A75A1"/>
    <w:rsid w:val="004A7C3E"/>
    <w:rsid w:val="004B3124"/>
    <w:rsid w:val="004B3334"/>
    <w:rsid w:val="004B375F"/>
    <w:rsid w:val="004B4074"/>
    <w:rsid w:val="004B48A8"/>
    <w:rsid w:val="004B7B12"/>
    <w:rsid w:val="004C0EA4"/>
    <w:rsid w:val="004C126E"/>
    <w:rsid w:val="004C1C93"/>
    <w:rsid w:val="004C2293"/>
    <w:rsid w:val="004C4840"/>
    <w:rsid w:val="004C5653"/>
    <w:rsid w:val="004C5818"/>
    <w:rsid w:val="004C6415"/>
    <w:rsid w:val="004C68EC"/>
    <w:rsid w:val="004D06D8"/>
    <w:rsid w:val="004D21D5"/>
    <w:rsid w:val="004D344D"/>
    <w:rsid w:val="004D4C38"/>
    <w:rsid w:val="004D4C51"/>
    <w:rsid w:val="004D4FBE"/>
    <w:rsid w:val="004D5762"/>
    <w:rsid w:val="004D78B6"/>
    <w:rsid w:val="004E24BD"/>
    <w:rsid w:val="004E259D"/>
    <w:rsid w:val="004E375F"/>
    <w:rsid w:val="004F0A1E"/>
    <w:rsid w:val="004F128E"/>
    <w:rsid w:val="004F198C"/>
    <w:rsid w:val="004F1F71"/>
    <w:rsid w:val="004F4457"/>
    <w:rsid w:val="004F46B5"/>
    <w:rsid w:val="004F5880"/>
    <w:rsid w:val="004F6B63"/>
    <w:rsid w:val="004F6E40"/>
    <w:rsid w:val="004F74EB"/>
    <w:rsid w:val="00500692"/>
    <w:rsid w:val="0050187F"/>
    <w:rsid w:val="00501F10"/>
    <w:rsid w:val="00502F5B"/>
    <w:rsid w:val="005037B1"/>
    <w:rsid w:val="0050440E"/>
    <w:rsid w:val="00506BA1"/>
    <w:rsid w:val="00506E47"/>
    <w:rsid w:val="00507F0F"/>
    <w:rsid w:val="005106E3"/>
    <w:rsid w:val="005113F0"/>
    <w:rsid w:val="00511650"/>
    <w:rsid w:val="00511A37"/>
    <w:rsid w:val="00512975"/>
    <w:rsid w:val="00512D9B"/>
    <w:rsid w:val="00513196"/>
    <w:rsid w:val="0051335D"/>
    <w:rsid w:val="00513DBC"/>
    <w:rsid w:val="00515224"/>
    <w:rsid w:val="0051540D"/>
    <w:rsid w:val="00515D6E"/>
    <w:rsid w:val="00517A72"/>
    <w:rsid w:val="005218D3"/>
    <w:rsid w:val="005218D6"/>
    <w:rsid w:val="00523F57"/>
    <w:rsid w:val="00525530"/>
    <w:rsid w:val="005277C8"/>
    <w:rsid w:val="00531923"/>
    <w:rsid w:val="00533057"/>
    <w:rsid w:val="0053357B"/>
    <w:rsid w:val="005341E9"/>
    <w:rsid w:val="0053483E"/>
    <w:rsid w:val="005349FC"/>
    <w:rsid w:val="00537352"/>
    <w:rsid w:val="00544F9F"/>
    <w:rsid w:val="005453FA"/>
    <w:rsid w:val="005465C7"/>
    <w:rsid w:val="00550024"/>
    <w:rsid w:val="00550735"/>
    <w:rsid w:val="00552B95"/>
    <w:rsid w:val="00552E71"/>
    <w:rsid w:val="005530CC"/>
    <w:rsid w:val="00554363"/>
    <w:rsid w:val="0055527F"/>
    <w:rsid w:val="00555CD5"/>
    <w:rsid w:val="0056046D"/>
    <w:rsid w:val="005610F4"/>
    <w:rsid w:val="0056183A"/>
    <w:rsid w:val="005619E9"/>
    <w:rsid w:val="00562203"/>
    <w:rsid w:val="00562BEF"/>
    <w:rsid w:val="00563851"/>
    <w:rsid w:val="00563AA6"/>
    <w:rsid w:val="0056548A"/>
    <w:rsid w:val="00565B3F"/>
    <w:rsid w:val="00565C64"/>
    <w:rsid w:val="00566764"/>
    <w:rsid w:val="005678D6"/>
    <w:rsid w:val="00570458"/>
    <w:rsid w:val="00570E7B"/>
    <w:rsid w:val="00572849"/>
    <w:rsid w:val="00572C39"/>
    <w:rsid w:val="00572F27"/>
    <w:rsid w:val="005734F3"/>
    <w:rsid w:val="00574B1C"/>
    <w:rsid w:val="00575926"/>
    <w:rsid w:val="00580D3C"/>
    <w:rsid w:val="00580EE9"/>
    <w:rsid w:val="00582B5D"/>
    <w:rsid w:val="005858CD"/>
    <w:rsid w:val="00586537"/>
    <w:rsid w:val="00586F14"/>
    <w:rsid w:val="005903FD"/>
    <w:rsid w:val="0059079A"/>
    <w:rsid w:val="00590AED"/>
    <w:rsid w:val="0059251F"/>
    <w:rsid w:val="00593441"/>
    <w:rsid w:val="0059347E"/>
    <w:rsid w:val="00593BE0"/>
    <w:rsid w:val="00594372"/>
    <w:rsid w:val="00595C06"/>
    <w:rsid w:val="005977A8"/>
    <w:rsid w:val="005A0835"/>
    <w:rsid w:val="005A118F"/>
    <w:rsid w:val="005A1898"/>
    <w:rsid w:val="005A27F4"/>
    <w:rsid w:val="005A3942"/>
    <w:rsid w:val="005A3FA0"/>
    <w:rsid w:val="005A4EF9"/>
    <w:rsid w:val="005A5E25"/>
    <w:rsid w:val="005A661C"/>
    <w:rsid w:val="005B0246"/>
    <w:rsid w:val="005B0320"/>
    <w:rsid w:val="005B1767"/>
    <w:rsid w:val="005B1A7F"/>
    <w:rsid w:val="005B207F"/>
    <w:rsid w:val="005B3BD8"/>
    <w:rsid w:val="005B403D"/>
    <w:rsid w:val="005B494A"/>
    <w:rsid w:val="005B7358"/>
    <w:rsid w:val="005B7C69"/>
    <w:rsid w:val="005B7E60"/>
    <w:rsid w:val="005C34E8"/>
    <w:rsid w:val="005C5C8E"/>
    <w:rsid w:val="005C6956"/>
    <w:rsid w:val="005C7198"/>
    <w:rsid w:val="005D0617"/>
    <w:rsid w:val="005D1207"/>
    <w:rsid w:val="005D1389"/>
    <w:rsid w:val="005D2FA4"/>
    <w:rsid w:val="005D4F8F"/>
    <w:rsid w:val="005D5AAC"/>
    <w:rsid w:val="005D7C5C"/>
    <w:rsid w:val="005E02BE"/>
    <w:rsid w:val="005E05F3"/>
    <w:rsid w:val="005E0A22"/>
    <w:rsid w:val="005E2216"/>
    <w:rsid w:val="005E2762"/>
    <w:rsid w:val="005E51B9"/>
    <w:rsid w:val="005E52DC"/>
    <w:rsid w:val="005E5BC2"/>
    <w:rsid w:val="005E7300"/>
    <w:rsid w:val="005F09F8"/>
    <w:rsid w:val="005F0AFD"/>
    <w:rsid w:val="005F1B50"/>
    <w:rsid w:val="005F2242"/>
    <w:rsid w:val="005F34B3"/>
    <w:rsid w:val="005F4136"/>
    <w:rsid w:val="005F41B9"/>
    <w:rsid w:val="005F43B8"/>
    <w:rsid w:val="005F5040"/>
    <w:rsid w:val="005F5F5A"/>
    <w:rsid w:val="005F6C74"/>
    <w:rsid w:val="006012F7"/>
    <w:rsid w:val="00602252"/>
    <w:rsid w:val="00602432"/>
    <w:rsid w:val="006035D5"/>
    <w:rsid w:val="006037E4"/>
    <w:rsid w:val="006109E2"/>
    <w:rsid w:val="00610F0C"/>
    <w:rsid w:val="00611332"/>
    <w:rsid w:val="00612278"/>
    <w:rsid w:val="00612841"/>
    <w:rsid w:val="00613D3B"/>
    <w:rsid w:val="00614206"/>
    <w:rsid w:val="00614BD8"/>
    <w:rsid w:val="006155BA"/>
    <w:rsid w:val="006214FE"/>
    <w:rsid w:val="00622AF0"/>
    <w:rsid w:val="00622E96"/>
    <w:rsid w:val="006234E1"/>
    <w:rsid w:val="00624C95"/>
    <w:rsid w:val="00624D2B"/>
    <w:rsid w:val="006253CA"/>
    <w:rsid w:val="00626F7A"/>
    <w:rsid w:val="00627EF4"/>
    <w:rsid w:val="00630770"/>
    <w:rsid w:val="00630E32"/>
    <w:rsid w:val="00631671"/>
    <w:rsid w:val="006325A7"/>
    <w:rsid w:val="00632DA2"/>
    <w:rsid w:val="0063397C"/>
    <w:rsid w:val="006366B5"/>
    <w:rsid w:val="00637389"/>
    <w:rsid w:val="006406CC"/>
    <w:rsid w:val="00642A82"/>
    <w:rsid w:val="00643286"/>
    <w:rsid w:val="0064339B"/>
    <w:rsid w:val="00643864"/>
    <w:rsid w:val="00643B6E"/>
    <w:rsid w:val="00643FD5"/>
    <w:rsid w:val="00644227"/>
    <w:rsid w:val="006443EA"/>
    <w:rsid w:val="00644F86"/>
    <w:rsid w:val="00645727"/>
    <w:rsid w:val="0064655A"/>
    <w:rsid w:val="00647658"/>
    <w:rsid w:val="00650276"/>
    <w:rsid w:val="00652998"/>
    <w:rsid w:val="0065348F"/>
    <w:rsid w:val="00653B03"/>
    <w:rsid w:val="0065424E"/>
    <w:rsid w:val="00655D04"/>
    <w:rsid w:val="006563F2"/>
    <w:rsid w:val="0066227A"/>
    <w:rsid w:val="0066243D"/>
    <w:rsid w:val="0066267B"/>
    <w:rsid w:val="00662D42"/>
    <w:rsid w:val="00663534"/>
    <w:rsid w:val="00664646"/>
    <w:rsid w:val="00664706"/>
    <w:rsid w:val="00665354"/>
    <w:rsid w:val="00666962"/>
    <w:rsid w:val="00671C37"/>
    <w:rsid w:val="0067405A"/>
    <w:rsid w:val="00674914"/>
    <w:rsid w:val="006751F5"/>
    <w:rsid w:val="00680336"/>
    <w:rsid w:val="0068216E"/>
    <w:rsid w:val="00682FBB"/>
    <w:rsid w:val="00690179"/>
    <w:rsid w:val="00690984"/>
    <w:rsid w:val="00693A87"/>
    <w:rsid w:val="006954F9"/>
    <w:rsid w:val="00697D8D"/>
    <w:rsid w:val="00697E93"/>
    <w:rsid w:val="006A0214"/>
    <w:rsid w:val="006A114F"/>
    <w:rsid w:val="006A139B"/>
    <w:rsid w:val="006A1E44"/>
    <w:rsid w:val="006A5022"/>
    <w:rsid w:val="006A5DFE"/>
    <w:rsid w:val="006B0BC9"/>
    <w:rsid w:val="006B15EF"/>
    <w:rsid w:val="006B2C46"/>
    <w:rsid w:val="006B2F69"/>
    <w:rsid w:val="006B3210"/>
    <w:rsid w:val="006B33AC"/>
    <w:rsid w:val="006B348C"/>
    <w:rsid w:val="006B37F9"/>
    <w:rsid w:val="006B7F4F"/>
    <w:rsid w:val="006B7F53"/>
    <w:rsid w:val="006C0306"/>
    <w:rsid w:val="006C2381"/>
    <w:rsid w:val="006C2830"/>
    <w:rsid w:val="006C2E6B"/>
    <w:rsid w:val="006C5B83"/>
    <w:rsid w:val="006C6F8A"/>
    <w:rsid w:val="006D0342"/>
    <w:rsid w:val="006D0D2D"/>
    <w:rsid w:val="006D15E3"/>
    <w:rsid w:val="006D3882"/>
    <w:rsid w:val="006D43C2"/>
    <w:rsid w:val="006D5827"/>
    <w:rsid w:val="006D5E68"/>
    <w:rsid w:val="006D76AB"/>
    <w:rsid w:val="006E20AF"/>
    <w:rsid w:val="006E3915"/>
    <w:rsid w:val="006E3F97"/>
    <w:rsid w:val="006E4E01"/>
    <w:rsid w:val="006E540A"/>
    <w:rsid w:val="006E5F76"/>
    <w:rsid w:val="006E6EA2"/>
    <w:rsid w:val="006E7109"/>
    <w:rsid w:val="006F00A0"/>
    <w:rsid w:val="006F1A3C"/>
    <w:rsid w:val="006F2095"/>
    <w:rsid w:val="006F2953"/>
    <w:rsid w:val="006F2EB1"/>
    <w:rsid w:val="006F2FAF"/>
    <w:rsid w:val="006F30DD"/>
    <w:rsid w:val="006F34BF"/>
    <w:rsid w:val="006F379F"/>
    <w:rsid w:val="006F3A50"/>
    <w:rsid w:val="006F7480"/>
    <w:rsid w:val="007001E7"/>
    <w:rsid w:val="00701403"/>
    <w:rsid w:val="0070179E"/>
    <w:rsid w:val="00703114"/>
    <w:rsid w:val="00703A95"/>
    <w:rsid w:val="00704480"/>
    <w:rsid w:val="00704788"/>
    <w:rsid w:val="00705D56"/>
    <w:rsid w:val="00706290"/>
    <w:rsid w:val="00706A5B"/>
    <w:rsid w:val="00706EF1"/>
    <w:rsid w:val="007079EC"/>
    <w:rsid w:val="00710A30"/>
    <w:rsid w:val="00710AFC"/>
    <w:rsid w:val="00712CDE"/>
    <w:rsid w:val="0071397F"/>
    <w:rsid w:val="00714A1B"/>
    <w:rsid w:val="0071591D"/>
    <w:rsid w:val="00715FC8"/>
    <w:rsid w:val="00716421"/>
    <w:rsid w:val="00716487"/>
    <w:rsid w:val="007179A8"/>
    <w:rsid w:val="0072031F"/>
    <w:rsid w:val="0072161F"/>
    <w:rsid w:val="007236CE"/>
    <w:rsid w:val="00723ACA"/>
    <w:rsid w:val="007260E8"/>
    <w:rsid w:val="00726FD0"/>
    <w:rsid w:val="0073031C"/>
    <w:rsid w:val="00730774"/>
    <w:rsid w:val="007314D5"/>
    <w:rsid w:val="00731975"/>
    <w:rsid w:val="00733117"/>
    <w:rsid w:val="0073314E"/>
    <w:rsid w:val="0073322D"/>
    <w:rsid w:val="00734392"/>
    <w:rsid w:val="00734662"/>
    <w:rsid w:val="00734E18"/>
    <w:rsid w:val="00735B15"/>
    <w:rsid w:val="00736F23"/>
    <w:rsid w:val="0074029B"/>
    <w:rsid w:val="0074046E"/>
    <w:rsid w:val="00740D29"/>
    <w:rsid w:val="00741690"/>
    <w:rsid w:val="0074377A"/>
    <w:rsid w:val="0074429D"/>
    <w:rsid w:val="00744435"/>
    <w:rsid w:val="00747023"/>
    <w:rsid w:val="0075227C"/>
    <w:rsid w:val="0075410C"/>
    <w:rsid w:val="007541E2"/>
    <w:rsid w:val="00754AC1"/>
    <w:rsid w:val="007553E1"/>
    <w:rsid w:val="00755A4E"/>
    <w:rsid w:val="00756F7A"/>
    <w:rsid w:val="0076015F"/>
    <w:rsid w:val="007623F0"/>
    <w:rsid w:val="007629AC"/>
    <w:rsid w:val="00763F18"/>
    <w:rsid w:val="00763FE2"/>
    <w:rsid w:val="00764CB3"/>
    <w:rsid w:val="00764F69"/>
    <w:rsid w:val="00766CF7"/>
    <w:rsid w:val="00770954"/>
    <w:rsid w:val="00770F86"/>
    <w:rsid w:val="00771A6E"/>
    <w:rsid w:val="00771AA7"/>
    <w:rsid w:val="007742C7"/>
    <w:rsid w:val="00775177"/>
    <w:rsid w:val="00775B8F"/>
    <w:rsid w:val="00776F9E"/>
    <w:rsid w:val="00780114"/>
    <w:rsid w:val="00780C6D"/>
    <w:rsid w:val="0078309F"/>
    <w:rsid w:val="00783B52"/>
    <w:rsid w:val="007853FC"/>
    <w:rsid w:val="007903C0"/>
    <w:rsid w:val="007905A9"/>
    <w:rsid w:val="007916CD"/>
    <w:rsid w:val="0079230A"/>
    <w:rsid w:val="007927EE"/>
    <w:rsid w:val="00793320"/>
    <w:rsid w:val="0079396A"/>
    <w:rsid w:val="00794FAF"/>
    <w:rsid w:val="00795E9F"/>
    <w:rsid w:val="00797CF3"/>
    <w:rsid w:val="007A0110"/>
    <w:rsid w:val="007A064F"/>
    <w:rsid w:val="007A079F"/>
    <w:rsid w:val="007A0A46"/>
    <w:rsid w:val="007A2359"/>
    <w:rsid w:val="007A241D"/>
    <w:rsid w:val="007A3A29"/>
    <w:rsid w:val="007A3C12"/>
    <w:rsid w:val="007A595D"/>
    <w:rsid w:val="007A59A1"/>
    <w:rsid w:val="007A6002"/>
    <w:rsid w:val="007A6059"/>
    <w:rsid w:val="007A6126"/>
    <w:rsid w:val="007A6511"/>
    <w:rsid w:val="007A6781"/>
    <w:rsid w:val="007B1183"/>
    <w:rsid w:val="007B13FC"/>
    <w:rsid w:val="007B2668"/>
    <w:rsid w:val="007B4701"/>
    <w:rsid w:val="007B69E5"/>
    <w:rsid w:val="007B7A32"/>
    <w:rsid w:val="007B7F2F"/>
    <w:rsid w:val="007C081D"/>
    <w:rsid w:val="007C1249"/>
    <w:rsid w:val="007C1DFF"/>
    <w:rsid w:val="007C32FA"/>
    <w:rsid w:val="007C32FF"/>
    <w:rsid w:val="007C38C1"/>
    <w:rsid w:val="007C48D1"/>
    <w:rsid w:val="007C4EF6"/>
    <w:rsid w:val="007C51EA"/>
    <w:rsid w:val="007C664E"/>
    <w:rsid w:val="007D089E"/>
    <w:rsid w:val="007D4C5B"/>
    <w:rsid w:val="007D78A1"/>
    <w:rsid w:val="007D7CB7"/>
    <w:rsid w:val="007E16ED"/>
    <w:rsid w:val="007E25F0"/>
    <w:rsid w:val="007E277A"/>
    <w:rsid w:val="007E3297"/>
    <w:rsid w:val="007F0112"/>
    <w:rsid w:val="007F0A91"/>
    <w:rsid w:val="007F115D"/>
    <w:rsid w:val="007F2991"/>
    <w:rsid w:val="007F3FB4"/>
    <w:rsid w:val="007F59B3"/>
    <w:rsid w:val="007F5D18"/>
    <w:rsid w:val="007F7A13"/>
    <w:rsid w:val="008007CC"/>
    <w:rsid w:val="008008DD"/>
    <w:rsid w:val="008011AA"/>
    <w:rsid w:val="008012FA"/>
    <w:rsid w:val="00802470"/>
    <w:rsid w:val="0080361A"/>
    <w:rsid w:val="008039DB"/>
    <w:rsid w:val="0080442D"/>
    <w:rsid w:val="00804688"/>
    <w:rsid w:val="00805BCC"/>
    <w:rsid w:val="00806B56"/>
    <w:rsid w:val="008074ED"/>
    <w:rsid w:val="00815510"/>
    <w:rsid w:val="00815513"/>
    <w:rsid w:val="008173E4"/>
    <w:rsid w:val="008213AE"/>
    <w:rsid w:val="00821A53"/>
    <w:rsid w:val="00821E6E"/>
    <w:rsid w:val="0082226D"/>
    <w:rsid w:val="00822887"/>
    <w:rsid w:val="0082537D"/>
    <w:rsid w:val="00825AE3"/>
    <w:rsid w:val="00827FA1"/>
    <w:rsid w:val="00830AEA"/>
    <w:rsid w:val="00831A35"/>
    <w:rsid w:val="00832276"/>
    <w:rsid w:val="00832ECF"/>
    <w:rsid w:val="00833E24"/>
    <w:rsid w:val="00834C86"/>
    <w:rsid w:val="008367CB"/>
    <w:rsid w:val="0083687B"/>
    <w:rsid w:val="0084054D"/>
    <w:rsid w:val="00840A61"/>
    <w:rsid w:val="00840C9B"/>
    <w:rsid w:val="00843033"/>
    <w:rsid w:val="0084307B"/>
    <w:rsid w:val="00843D50"/>
    <w:rsid w:val="0084446A"/>
    <w:rsid w:val="008445E9"/>
    <w:rsid w:val="00844849"/>
    <w:rsid w:val="00845311"/>
    <w:rsid w:val="008459D3"/>
    <w:rsid w:val="0084623D"/>
    <w:rsid w:val="00846989"/>
    <w:rsid w:val="00846A0D"/>
    <w:rsid w:val="00851830"/>
    <w:rsid w:val="008539C0"/>
    <w:rsid w:val="008539E6"/>
    <w:rsid w:val="00854D64"/>
    <w:rsid w:val="008552B5"/>
    <w:rsid w:val="0085582F"/>
    <w:rsid w:val="00856366"/>
    <w:rsid w:val="00856A58"/>
    <w:rsid w:val="00857725"/>
    <w:rsid w:val="00857795"/>
    <w:rsid w:val="00860524"/>
    <w:rsid w:val="008654BF"/>
    <w:rsid w:val="008663F1"/>
    <w:rsid w:val="008671CC"/>
    <w:rsid w:val="008675D2"/>
    <w:rsid w:val="0086762D"/>
    <w:rsid w:val="00867A12"/>
    <w:rsid w:val="00870F4D"/>
    <w:rsid w:val="008714E9"/>
    <w:rsid w:val="00872499"/>
    <w:rsid w:val="008724E3"/>
    <w:rsid w:val="00873A6E"/>
    <w:rsid w:val="00873B6A"/>
    <w:rsid w:val="00876755"/>
    <w:rsid w:val="00876AD1"/>
    <w:rsid w:val="00876B9D"/>
    <w:rsid w:val="008774CC"/>
    <w:rsid w:val="00877D4E"/>
    <w:rsid w:val="00881DBE"/>
    <w:rsid w:val="0088457D"/>
    <w:rsid w:val="0088593E"/>
    <w:rsid w:val="00890F01"/>
    <w:rsid w:val="00892AEA"/>
    <w:rsid w:val="008932C6"/>
    <w:rsid w:val="00893922"/>
    <w:rsid w:val="0089536B"/>
    <w:rsid w:val="00896212"/>
    <w:rsid w:val="008964C3"/>
    <w:rsid w:val="008A0CF1"/>
    <w:rsid w:val="008A14B5"/>
    <w:rsid w:val="008A1623"/>
    <w:rsid w:val="008A1EA4"/>
    <w:rsid w:val="008A2324"/>
    <w:rsid w:val="008A2908"/>
    <w:rsid w:val="008A2D3E"/>
    <w:rsid w:val="008A30D4"/>
    <w:rsid w:val="008A397F"/>
    <w:rsid w:val="008A5332"/>
    <w:rsid w:val="008A5941"/>
    <w:rsid w:val="008B19CA"/>
    <w:rsid w:val="008B1EE5"/>
    <w:rsid w:val="008B238A"/>
    <w:rsid w:val="008B253A"/>
    <w:rsid w:val="008B2549"/>
    <w:rsid w:val="008B2884"/>
    <w:rsid w:val="008B42CC"/>
    <w:rsid w:val="008B563A"/>
    <w:rsid w:val="008B5ACE"/>
    <w:rsid w:val="008B5D50"/>
    <w:rsid w:val="008C041F"/>
    <w:rsid w:val="008C0B30"/>
    <w:rsid w:val="008C1642"/>
    <w:rsid w:val="008C38EB"/>
    <w:rsid w:val="008C3BC2"/>
    <w:rsid w:val="008C3BF3"/>
    <w:rsid w:val="008C3C0F"/>
    <w:rsid w:val="008C3CA7"/>
    <w:rsid w:val="008C3F0D"/>
    <w:rsid w:val="008C4538"/>
    <w:rsid w:val="008C60F3"/>
    <w:rsid w:val="008C7708"/>
    <w:rsid w:val="008D1268"/>
    <w:rsid w:val="008D165B"/>
    <w:rsid w:val="008D1898"/>
    <w:rsid w:val="008D2306"/>
    <w:rsid w:val="008D2D4E"/>
    <w:rsid w:val="008D48C0"/>
    <w:rsid w:val="008D4986"/>
    <w:rsid w:val="008D52C0"/>
    <w:rsid w:val="008D6167"/>
    <w:rsid w:val="008D6207"/>
    <w:rsid w:val="008D71B5"/>
    <w:rsid w:val="008E11A4"/>
    <w:rsid w:val="008E283E"/>
    <w:rsid w:val="008E3FF7"/>
    <w:rsid w:val="008E5423"/>
    <w:rsid w:val="008E702F"/>
    <w:rsid w:val="008F00F5"/>
    <w:rsid w:val="008F1E03"/>
    <w:rsid w:val="008F35F7"/>
    <w:rsid w:val="008F40F7"/>
    <w:rsid w:val="008F47A0"/>
    <w:rsid w:val="008F4850"/>
    <w:rsid w:val="008F4B34"/>
    <w:rsid w:val="008F5054"/>
    <w:rsid w:val="008F5DB1"/>
    <w:rsid w:val="008F72EA"/>
    <w:rsid w:val="009009ED"/>
    <w:rsid w:val="00902430"/>
    <w:rsid w:val="00902747"/>
    <w:rsid w:val="00903EC3"/>
    <w:rsid w:val="00904697"/>
    <w:rsid w:val="009062DF"/>
    <w:rsid w:val="009107F1"/>
    <w:rsid w:val="00910B95"/>
    <w:rsid w:val="0091250C"/>
    <w:rsid w:val="009127CC"/>
    <w:rsid w:val="0091389E"/>
    <w:rsid w:val="00913D16"/>
    <w:rsid w:val="0091413F"/>
    <w:rsid w:val="00915549"/>
    <w:rsid w:val="00915816"/>
    <w:rsid w:val="00915F41"/>
    <w:rsid w:val="00915FE8"/>
    <w:rsid w:val="00916725"/>
    <w:rsid w:val="00917C5A"/>
    <w:rsid w:val="00920475"/>
    <w:rsid w:val="0092054D"/>
    <w:rsid w:val="0092062A"/>
    <w:rsid w:val="00920B76"/>
    <w:rsid w:val="00920F81"/>
    <w:rsid w:val="00921FF9"/>
    <w:rsid w:val="0092375B"/>
    <w:rsid w:val="00923848"/>
    <w:rsid w:val="00923900"/>
    <w:rsid w:val="009258C6"/>
    <w:rsid w:val="009325F8"/>
    <w:rsid w:val="00932AAB"/>
    <w:rsid w:val="00934940"/>
    <w:rsid w:val="009365F2"/>
    <w:rsid w:val="009409ED"/>
    <w:rsid w:val="00941E93"/>
    <w:rsid w:val="00942700"/>
    <w:rsid w:val="00942746"/>
    <w:rsid w:val="00942E9A"/>
    <w:rsid w:val="00943F49"/>
    <w:rsid w:val="00945932"/>
    <w:rsid w:val="0094596F"/>
    <w:rsid w:val="00945A1C"/>
    <w:rsid w:val="00945B2F"/>
    <w:rsid w:val="009461F9"/>
    <w:rsid w:val="009477FD"/>
    <w:rsid w:val="00947F32"/>
    <w:rsid w:val="00951BF9"/>
    <w:rsid w:val="009532E1"/>
    <w:rsid w:val="0095635F"/>
    <w:rsid w:val="009571C1"/>
    <w:rsid w:val="00961505"/>
    <w:rsid w:val="0096177C"/>
    <w:rsid w:val="009625AE"/>
    <w:rsid w:val="00963C81"/>
    <w:rsid w:val="0096415D"/>
    <w:rsid w:val="00964844"/>
    <w:rsid w:val="00964BC8"/>
    <w:rsid w:val="009651DE"/>
    <w:rsid w:val="00966135"/>
    <w:rsid w:val="009671FD"/>
    <w:rsid w:val="00967B57"/>
    <w:rsid w:val="009709D1"/>
    <w:rsid w:val="009719B8"/>
    <w:rsid w:val="0097266D"/>
    <w:rsid w:val="00973D42"/>
    <w:rsid w:val="009750D0"/>
    <w:rsid w:val="00975A43"/>
    <w:rsid w:val="00975CBB"/>
    <w:rsid w:val="00976869"/>
    <w:rsid w:val="00976C0C"/>
    <w:rsid w:val="00976DD3"/>
    <w:rsid w:val="00976F3B"/>
    <w:rsid w:val="00983788"/>
    <w:rsid w:val="00984B7A"/>
    <w:rsid w:val="00987F9E"/>
    <w:rsid w:val="00991474"/>
    <w:rsid w:val="00992BE1"/>
    <w:rsid w:val="00993779"/>
    <w:rsid w:val="00994539"/>
    <w:rsid w:val="00995179"/>
    <w:rsid w:val="009958D6"/>
    <w:rsid w:val="00996063"/>
    <w:rsid w:val="009964D2"/>
    <w:rsid w:val="00996696"/>
    <w:rsid w:val="00996767"/>
    <w:rsid w:val="00996797"/>
    <w:rsid w:val="00996D33"/>
    <w:rsid w:val="00996FA3"/>
    <w:rsid w:val="0099707B"/>
    <w:rsid w:val="00997FC8"/>
    <w:rsid w:val="009A002A"/>
    <w:rsid w:val="009A015D"/>
    <w:rsid w:val="009A08EB"/>
    <w:rsid w:val="009A0D48"/>
    <w:rsid w:val="009A138F"/>
    <w:rsid w:val="009A20AF"/>
    <w:rsid w:val="009A2293"/>
    <w:rsid w:val="009A315E"/>
    <w:rsid w:val="009A5382"/>
    <w:rsid w:val="009A7163"/>
    <w:rsid w:val="009A790E"/>
    <w:rsid w:val="009B1325"/>
    <w:rsid w:val="009B1CDE"/>
    <w:rsid w:val="009B31D1"/>
    <w:rsid w:val="009B3B0E"/>
    <w:rsid w:val="009B4800"/>
    <w:rsid w:val="009B5215"/>
    <w:rsid w:val="009B7A51"/>
    <w:rsid w:val="009C01E8"/>
    <w:rsid w:val="009C06E4"/>
    <w:rsid w:val="009C0B5F"/>
    <w:rsid w:val="009C10F9"/>
    <w:rsid w:val="009C1422"/>
    <w:rsid w:val="009C15B0"/>
    <w:rsid w:val="009C2B3F"/>
    <w:rsid w:val="009C2EBF"/>
    <w:rsid w:val="009C3BF4"/>
    <w:rsid w:val="009C496C"/>
    <w:rsid w:val="009C4EB2"/>
    <w:rsid w:val="009D3489"/>
    <w:rsid w:val="009D5002"/>
    <w:rsid w:val="009D5EDF"/>
    <w:rsid w:val="009D6293"/>
    <w:rsid w:val="009D6895"/>
    <w:rsid w:val="009D6C77"/>
    <w:rsid w:val="009D7F52"/>
    <w:rsid w:val="009E17FC"/>
    <w:rsid w:val="009E1B20"/>
    <w:rsid w:val="009E200D"/>
    <w:rsid w:val="009E3A14"/>
    <w:rsid w:val="009E5E67"/>
    <w:rsid w:val="009E7DA0"/>
    <w:rsid w:val="009F0107"/>
    <w:rsid w:val="009F1C76"/>
    <w:rsid w:val="009F4467"/>
    <w:rsid w:val="009F506A"/>
    <w:rsid w:val="009F5331"/>
    <w:rsid w:val="009F59E0"/>
    <w:rsid w:val="009F59E5"/>
    <w:rsid w:val="009F5E3C"/>
    <w:rsid w:val="009F66D2"/>
    <w:rsid w:val="009F6C2D"/>
    <w:rsid w:val="00A0047F"/>
    <w:rsid w:val="00A01751"/>
    <w:rsid w:val="00A01E5F"/>
    <w:rsid w:val="00A02A7D"/>
    <w:rsid w:val="00A04D4F"/>
    <w:rsid w:val="00A057AC"/>
    <w:rsid w:val="00A06904"/>
    <w:rsid w:val="00A07373"/>
    <w:rsid w:val="00A1074B"/>
    <w:rsid w:val="00A1095D"/>
    <w:rsid w:val="00A10B7C"/>
    <w:rsid w:val="00A119CB"/>
    <w:rsid w:val="00A11D86"/>
    <w:rsid w:val="00A1205D"/>
    <w:rsid w:val="00A12113"/>
    <w:rsid w:val="00A12A34"/>
    <w:rsid w:val="00A133BF"/>
    <w:rsid w:val="00A13BC5"/>
    <w:rsid w:val="00A15E60"/>
    <w:rsid w:val="00A1602D"/>
    <w:rsid w:val="00A16657"/>
    <w:rsid w:val="00A1683F"/>
    <w:rsid w:val="00A16B65"/>
    <w:rsid w:val="00A16E8E"/>
    <w:rsid w:val="00A17A9D"/>
    <w:rsid w:val="00A17B74"/>
    <w:rsid w:val="00A213FD"/>
    <w:rsid w:val="00A21E0A"/>
    <w:rsid w:val="00A22746"/>
    <w:rsid w:val="00A26DE3"/>
    <w:rsid w:val="00A277E1"/>
    <w:rsid w:val="00A30F7B"/>
    <w:rsid w:val="00A31167"/>
    <w:rsid w:val="00A32A27"/>
    <w:rsid w:val="00A33A48"/>
    <w:rsid w:val="00A33AB9"/>
    <w:rsid w:val="00A3504F"/>
    <w:rsid w:val="00A352DF"/>
    <w:rsid w:val="00A36B6B"/>
    <w:rsid w:val="00A372EC"/>
    <w:rsid w:val="00A40E47"/>
    <w:rsid w:val="00A4153B"/>
    <w:rsid w:val="00A4173E"/>
    <w:rsid w:val="00A42323"/>
    <w:rsid w:val="00A43780"/>
    <w:rsid w:val="00A44B1F"/>
    <w:rsid w:val="00A45739"/>
    <w:rsid w:val="00A4613E"/>
    <w:rsid w:val="00A4665D"/>
    <w:rsid w:val="00A46C63"/>
    <w:rsid w:val="00A503DB"/>
    <w:rsid w:val="00A51380"/>
    <w:rsid w:val="00A51401"/>
    <w:rsid w:val="00A52152"/>
    <w:rsid w:val="00A52395"/>
    <w:rsid w:val="00A5310D"/>
    <w:rsid w:val="00A5389C"/>
    <w:rsid w:val="00A53B25"/>
    <w:rsid w:val="00A5664D"/>
    <w:rsid w:val="00A56B8B"/>
    <w:rsid w:val="00A57A25"/>
    <w:rsid w:val="00A600A0"/>
    <w:rsid w:val="00A620B8"/>
    <w:rsid w:val="00A63E03"/>
    <w:rsid w:val="00A64E54"/>
    <w:rsid w:val="00A657FA"/>
    <w:rsid w:val="00A65ED3"/>
    <w:rsid w:val="00A67C4B"/>
    <w:rsid w:val="00A7181E"/>
    <w:rsid w:val="00A7268F"/>
    <w:rsid w:val="00A7309B"/>
    <w:rsid w:val="00A75F7B"/>
    <w:rsid w:val="00A76BCD"/>
    <w:rsid w:val="00A837E9"/>
    <w:rsid w:val="00A84D1D"/>
    <w:rsid w:val="00A85D48"/>
    <w:rsid w:val="00A85FE5"/>
    <w:rsid w:val="00A86E0E"/>
    <w:rsid w:val="00A872E5"/>
    <w:rsid w:val="00A9144A"/>
    <w:rsid w:val="00A9160F"/>
    <w:rsid w:val="00A924C6"/>
    <w:rsid w:val="00A96CF7"/>
    <w:rsid w:val="00A974BD"/>
    <w:rsid w:val="00A97528"/>
    <w:rsid w:val="00A97A1B"/>
    <w:rsid w:val="00A97E18"/>
    <w:rsid w:val="00AA05C8"/>
    <w:rsid w:val="00AA0675"/>
    <w:rsid w:val="00AA0A7B"/>
    <w:rsid w:val="00AA129F"/>
    <w:rsid w:val="00AA20A4"/>
    <w:rsid w:val="00AA25A9"/>
    <w:rsid w:val="00AA3129"/>
    <w:rsid w:val="00AA324E"/>
    <w:rsid w:val="00AA4711"/>
    <w:rsid w:val="00AA59FB"/>
    <w:rsid w:val="00AA5A40"/>
    <w:rsid w:val="00AB03CD"/>
    <w:rsid w:val="00AB0C68"/>
    <w:rsid w:val="00AB2671"/>
    <w:rsid w:val="00AB3FAE"/>
    <w:rsid w:val="00AB5439"/>
    <w:rsid w:val="00AB5A61"/>
    <w:rsid w:val="00AB5F7F"/>
    <w:rsid w:val="00AC06CE"/>
    <w:rsid w:val="00AC0A35"/>
    <w:rsid w:val="00AC2BF8"/>
    <w:rsid w:val="00AC49C6"/>
    <w:rsid w:val="00AD0B1F"/>
    <w:rsid w:val="00AD17A7"/>
    <w:rsid w:val="00AD1901"/>
    <w:rsid w:val="00AD1D67"/>
    <w:rsid w:val="00AD2177"/>
    <w:rsid w:val="00AD31FD"/>
    <w:rsid w:val="00AD41BF"/>
    <w:rsid w:val="00AD48D4"/>
    <w:rsid w:val="00AD5FF3"/>
    <w:rsid w:val="00AD6124"/>
    <w:rsid w:val="00AE09EA"/>
    <w:rsid w:val="00AE1015"/>
    <w:rsid w:val="00AE31D0"/>
    <w:rsid w:val="00AE41D6"/>
    <w:rsid w:val="00AE5799"/>
    <w:rsid w:val="00AE5AAE"/>
    <w:rsid w:val="00AE6150"/>
    <w:rsid w:val="00AE6A5B"/>
    <w:rsid w:val="00AF0FD1"/>
    <w:rsid w:val="00AF2CF5"/>
    <w:rsid w:val="00AF3443"/>
    <w:rsid w:val="00AF3E53"/>
    <w:rsid w:val="00AF4190"/>
    <w:rsid w:val="00AF4CD3"/>
    <w:rsid w:val="00B00F5C"/>
    <w:rsid w:val="00B02B33"/>
    <w:rsid w:val="00B032BE"/>
    <w:rsid w:val="00B03B97"/>
    <w:rsid w:val="00B0417F"/>
    <w:rsid w:val="00B05643"/>
    <w:rsid w:val="00B05D63"/>
    <w:rsid w:val="00B07C79"/>
    <w:rsid w:val="00B11288"/>
    <w:rsid w:val="00B134E1"/>
    <w:rsid w:val="00B1396F"/>
    <w:rsid w:val="00B146D2"/>
    <w:rsid w:val="00B1515B"/>
    <w:rsid w:val="00B1683C"/>
    <w:rsid w:val="00B172B8"/>
    <w:rsid w:val="00B17488"/>
    <w:rsid w:val="00B179A4"/>
    <w:rsid w:val="00B2001C"/>
    <w:rsid w:val="00B206DD"/>
    <w:rsid w:val="00B20C3D"/>
    <w:rsid w:val="00B23C22"/>
    <w:rsid w:val="00B2403C"/>
    <w:rsid w:val="00B241BD"/>
    <w:rsid w:val="00B248E0"/>
    <w:rsid w:val="00B25BCE"/>
    <w:rsid w:val="00B2602E"/>
    <w:rsid w:val="00B30771"/>
    <w:rsid w:val="00B3143F"/>
    <w:rsid w:val="00B32BD3"/>
    <w:rsid w:val="00B32CF7"/>
    <w:rsid w:val="00B33DBF"/>
    <w:rsid w:val="00B3410C"/>
    <w:rsid w:val="00B3467C"/>
    <w:rsid w:val="00B354C6"/>
    <w:rsid w:val="00B36B0C"/>
    <w:rsid w:val="00B36C47"/>
    <w:rsid w:val="00B375A8"/>
    <w:rsid w:val="00B41A26"/>
    <w:rsid w:val="00B42467"/>
    <w:rsid w:val="00B42633"/>
    <w:rsid w:val="00B42B89"/>
    <w:rsid w:val="00B4460A"/>
    <w:rsid w:val="00B44AC2"/>
    <w:rsid w:val="00B450BC"/>
    <w:rsid w:val="00B47ADC"/>
    <w:rsid w:val="00B51277"/>
    <w:rsid w:val="00B51D25"/>
    <w:rsid w:val="00B52463"/>
    <w:rsid w:val="00B537F8"/>
    <w:rsid w:val="00B53A35"/>
    <w:rsid w:val="00B540DA"/>
    <w:rsid w:val="00B54EDF"/>
    <w:rsid w:val="00B55043"/>
    <w:rsid w:val="00B550C1"/>
    <w:rsid w:val="00B5639B"/>
    <w:rsid w:val="00B56CDB"/>
    <w:rsid w:val="00B56DBA"/>
    <w:rsid w:val="00B57F17"/>
    <w:rsid w:val="00B6090C"/>
    <w:rsid w:val="00B60C7D"/>
    <w:rsid w:val="00B61C54"/>
    <w:rsid w:val="00B629EA"/>
    <w:rsid w:val="00B63C19"/>
    <w:rsid w:val="00B63F3B"/>
    <w:rsid w:val="00B64F89"/>
    <w:rsid w:val="00B65264"/>
    <w:rsid w:val="00B65397"/>
    <w:rsid w:val="00B65473"/>
    <w:rsid w:val="00B663A3"/>
    <w:rsid w:val="00B6670B"/>
    <w:rsid w:val="00B67B24"/>
    <w:rsid w:val="00B720FD"/>
    <w:rsid w:val="00B7286C"/>
    <w:rsid w:val="00B72871"/>
    <w:rsid w:val="00B7299C"/>
    <w:rsid w:val="00B74287"/>
    <w:rsid w:val="00B746D7"/>
    <w:rsid w:val="00B747D2"/>
    <w:rsid w:val="00B74A2F"/>
    <w:rsid w:val="00B7577D"/>
    <w:rsid w:val="00B758EC"/>
    <w:rsid w:val="00B761A9"/>
    <w:rsid w:val="00B807EA"/>
    <w:rsid w:val="00B80CB8"/>
    <w:rsid w:val="00B836B6"/>
    <w:rsid w:val="00B855F7"/>
    <w:rsid w:val="00B8621F"/>
    <w:rsid w:val="00B86F7A"/>
    <w:rsid w:val="00B90BCD"/>
    <w:rsid w:val="00B932D0"/>
    <w:rsid w:val="00B93DBD"/>
    <w:rsid w:val="00B94C8A"/>
    <w:rsid w:val="00B960AD"/>
    <w:rsid w:val="00B97180"/>
    <w:rsid w:val="00BA00D5"/>
    <w:rsid w:val="00BA0270"/>
    <w:rsid w:val="00BA228B"/>
    <w:rsid w:val="00BA577F"/>
    <w:rsid w:val="00BA5CB8"/>
    <w:rsid w:val="00BA661C"/>
    <w:rsid w:val="00BA6789"/>
    <w:rsid w:val="00BB0033"/>
    <w:rsid w:val="00BB1071"/>
    <w:rsid w:val="00BB20DB"/>
    <w:rsid w:val="00BB2D8C"/>
    <w:rsid w:val="00BB2DD5"/>
    <w:rsid w:val="00BB72BE"/>
    <w:rsid w:val="00BB7696"/>
    <w:rsid w:val="00BB7724"/>
    <w:rsid w:val="00BB78DD"/>
    <w:rsid w:val="00BC0A26"/>
    <w:rsid w:val="00BC0C7E"/>
    <w:rsid w:val="00BC207C"/>
    <w:rsid w:val="00BC24F0"/>
    <w:rsid w:val="00BC35AF"/>
    <w:rsid w:val="00BC3D5B"/>
    <w:rsid w:val="00BC3FB0"/>
    <w:rsid w:val="00BC694C"/>
    <w:rsid w:val="00BC6B43"/>
    <w:rsid w:val="00BC6D02"/>
    <w:rsid w:val="00BC7BF1"/>
    <w:rsid w:val="00BD04F7"/>
    <w:rsid w:val="00BD0617"/>
    <w:rsid w:val="00BD1428"/>
    <w:rsid w:val="00BD1AD0"/>
    <w:rsid w:val="00BD2B45"/>
    <w:rsid w:val="00BD4A3B"/>
    <w:rsid w:val="00BD5EFC"/>
    <w:rsid w:val="00BD6ED3"/>
    <w:rsid w:val="00BE0B4C"/>
    <w:rsid w:val="00BE1B9B"/>
    <w:rsid w:val="00BE2E90"/>
    <w:rsid w:val="00BE3624"/>
    <w:rsid w:val="00BE3D0E"/>
    <w:rsid w:val="00BE74CD"/>
    <w:rsid w:val="00BE7A4E"/>
    <w:rsid w:val="00BF019A"/>
    <w:rsid w:val="00BF0A4A"/>
    <w:rsid w:val="00BF2899"/>
    <w:rsid w:val="00BF3A3D"/>
    <w:rsid w:val="00BF566C"/>
    <w:rsid w:val="00BF6E22"/>
    <w:rsid w:val="00BF7869"/>
    <w:rsid w:val="00C006FA"/>
    <w:rsid w:val="00C01607"/>
    <w:rsid w:val="00C0163B"/>
    <w:rsid w:val="00C021DB"/>
    <w:rsid w:val="00C02300"/>
    <w:rsid w:val="00C03CA0"/>
    <w:rsid w:val="00C04D2F"/>
    <w:rsid w:val="00C058CE"/>
    <w:rsid w:val="00C05B8F"/>
    <w:rsid w:val="00C06345"/>
    <w:rsid w:val="00C068C8"/>
    <w:rsid w:val="00C07D08"/>
    <w:rsid w:val="00C07E59"/>
    <w:rsid w:val="00C10AF8"/>
    <w:rsid w:val="00C11252"/>
    <w:rsid w:val="00C12B40"/>
    <w:rsid w:val="00C134DA"/>
    <w:rsid w:val="00C13BDD"/>
    <w:rsid w:val="00C13F61"/>
    <w:rsid w:val="00C1620C"/>
    <w:rsid w:val="00C17FA5"/>
    <w:rsid w:val="00C20D3F"/>
    <w:rsid w:val="00C20FCD"/>
    <w:rsid w:val="00C22252"/>
    <w:rsid w:val="00C22AFE"/>
    <w:rsid w:val="00C22B85"/>
    <w:rsid w:val="00C23F14"/>
    <w:rsid w:val="00C2470B"/>
    <w:rsid w:val="00C24A2A"/>
    <w:rsid w:val="00C24E65"/>
    <w:rsid w:val="00C25325"/>
    <w:rsid w:val="00C254EC"/>
    <w:rsid w:val="00C26DCD"/>
    <w:rsid w:val="00C27776"/>
    <w:rsid w:val="00C30C60"/>
    <w:rsid w:val="00C30D38"/>
    <w:rsid w:val="00C30DF5"/>
    <w:rsid w:val="00C31BA5"/>
    <w:rsid w:val="00C322C4"/>
    <w:rsid w:val="00C32ADC"/>
    <w:rsid w:val="00C35305"/>
    <w:rsid w:val="00C358BA"/>
    <w:rsid w:val="00C37FF5"/>
    <w:rsid w:val="00C40083"/>
    <w:rsid w:val="00C406C5"/>
    <w:rsid w:val="00C40772"/>
    <w:rsid w:val="00C409DE"/>
    <w:rsid w:val="00C41309"/>
    <w:rsid w:val="00C41FAA"/>
    <w:rsid w:val="00C42812"/>
    <w:rsid w:val="00C431A2"/>
    <w:rsid w:val="00C4369F"/>
    <w:rsid w:val="00C440C7"/>
    <w:rsid w:val="00C477E0"/>
    <w:rsid w:val="00C47863"/>
    <w:rsid w:val="00C47FD6"/>
    <w:rsid w:val="00C5152F"/>
    <w:rsid w:val="00C54491"/>
    <w:rsid w:val="00C54624"/>
    <w:rsid w:val="00C55FD9"/>
    <w:rsid w:val="00C5726B"/>
    <w:rsid w:val="00C57470"/>
    <w:rsid w:val="00C5793F"/>
    <w:rsid w:val="00C60251"/>
    <w:rsid w:val="00C606FB"/>
    <w:rsid w:val="00C60C34"/>
    <w:rsid w:val="00C60D98"/>
    <w:rsid w:val="00C61B14"/>
    <w:rsid w:val="00C62C2F"/>
    <w:rsid w:val="00C62CDF"/>
    <w:rsid w:val="00C648D9"/>
    <w:rsid w:val="00C6627F"/>
    <w:rsid w:val="00C67C90"/>
    <w:rsid w:val="00C70023"/>
    <w:rsid w:val="00C71492"/>
    <w:rsid w:val="00C73146"/>
    <w:rsid w:val="00C74A83"/>
    <w:rsid w:val="00C74E68"/>
    <w:rsid w:val="00C7504F"/>
    <w:rsid w:val="00C81AE2"/>
    <w:rsid w:val="00C82153"/>
    <w:rsid w:val="00C8219E"/>
    <w:rsid w:val="00C8664F"/>
    <w:rsid w:val="00C86730"/>
    <w:rsid w:val="00C86759"/>
    <w:rsid w:val="00C86808"/>
    <w:rsid w:val="00C86EB9"/>
    <w:rsid w:val="00C8781A"/>
    <w:rsid w:val="00C91147"/>
    <w:rsid w:val="00C9140D"/>
    <w:rsid w:val="00C92013"/>
    <w:rsid w:val="00C94413"/>
    <w:rsid w:val="00C94984"/>
    <w:rsid w:val="00C949CC"/>
    <w:rsid w:val="00C95810"/>
    <w:rsid w:val="00C95A06"/>
    <w:rsid w:val="00C962EB"/>
    <w:rsid w:val="00C972AF"/>
    <w:rsid w:val="00C97EFE"/>
    <w:rsid w:val="00CA0D81"/>
    <w:rsid w:val="00CA15C2"/>
    <w:rsid w:val="00CA379F"/>
    <w:rsid w:val="00CA3F18"/>
    <w:rsid w:val="00CA419E"/>
    <w:rsid w:val="00CA5180"/>
    <w:rsid w:val="00CA5337"/>
    <w:rsid w:val="00CA63C7"/>
    <w:rsid w:val="00CA6AED"/>
    <w:rsid w:val="00CB1062"/>
    <w:rsid w:val="00CB167D"/>
    <w:rsid w:val="00CB19A2"/>
    <w:rsid w:val="00CB1F75"/>
    <w:rsid w:val="00CB2655"/>
    <w:rsid w:val="00CB2FCD"/>
    <w:rsid w:val="00CB3908"/>
    <w:rsid w:val="00CB45E7"/>
    <w:rsid w:val="00CB469C"/>
    <w:rsid w:val="00CB492D"/>
    <w:rsid w:val="00CB4937"/>
    <w:rsid w:val="00CB5642"/>
    <w:rsid w:val="00CB5EDE"/>
    <w:rsid w:val="00CC1E23"/>
    <w:rsid w:val="00CC30FB"/>
    <w:rsid w:val="00CC515F"/>
    <w:rsid w:val="00CC5DBF"/>
    <w:rsid w:val="00CC6292"/>
    <w:rsid w:val="00CC7B63"/>
    <w:rsid w:val="00CC7EE5"/>
    <w:rsid w:val="00CD2EC6"/>
    <w:rsid w:val="00CD4901"/>
    <w:rsid w:val="00CD6DDE"/>
    <w:rsid w:val="00CE1976"/>
    <w:rsid w:val="00CE1DB7"/>
    <w:rsid w:val="00CE2D30"/>
    <w:rsid w:val="00CE4533"/>
    <w:rsid w:val="00CE4697"/>
    <w:rsid w:val="00CE4FC2"/>
    <w:rsid w:val="00CE509F"/>
    <w:rsid w:val="00CE630E"/>
    <w:rsid w:val="00CE646F"/>
    <w:rsid w:val="00CE66BC"/>
    <w:rsid w:val="00CF07D9"/>
    <w:rsid w:val="00CF0E73"/>
    <w:rsid w:val="00CF3622"/>
    <w:rsid w:val="00CF463C"/>
    <w:rsid w:val="00CF4710"/>
    <w:rsid w:val="00CF5A51"/>
    <w:rsid w:val="00CF682E"/>
    <w:rsid w:val="00CF739C"/>
    <w:rsid w:val="00D00017"/>
    <w:rsid w:val="00D003E2"/>
    <w:rsid w:val="00D00C0E"/>
    <w:rsid w:val="00D01771"/>
    <w:rsid w:val="00D026A5"/>
    <w:rsid w:val="00D03222"/>
    <w:rsid w:val="00D04549"/>
    <w:rsid w:val="00D05DAD"/>
    <w:rsid w:val="00D07224"/>
    <w:rsid w:val="00D14058"/>
    <w:rsid w:val="00D142B9"/>
    <w:rsid w:val="00D15EE4"/>
    <w:rsid w:val="00D17950"/>
    <w:rsid w:val="00D20CC9"/>
    <w:rsid w:val="00D21B71"/>
    <w:rsid w:val="00D21F8E"/>
    <w:rsid w:val="00D229D0"/>
    <w:rsid w:val="00D232B6"/>
    <w:rsid w:val="00D27C0E"/>
    <w:rsid w:val="00D3150A"/>
    <w:rsid w:val="00D32E82"/>
    <w:rsid w:val="00D32FF4"/>
    <w:rsid w:val="00D3447F"/>
    <w:rsid w:val="00D347DA"/>
    <w:rsid w:val="00D34AB8"/>
    <w:rsid w:val="00D360E6"/>
    <w:rsid w:val="00D379FA"/>
    <w:rsid w:val="00D43DE6"/>
    <w:rsid w:val="00D465E4"/>
    <w:rsid w:val="00D46D73"/>
    <w:rsid w:val="00D51F4A"/>
    <w:rsid w:val="00D528C8"/>
    <w:rsid w:val="00D52A23"/>
    <w:rsid w:val="00D5352C"/>
    <w:rsid w:val="00D5377B"/>
    <w:rsid w:val="00D54875"/>
    <w:rsid w:val="00D566E3"/>
    <w:rsid w:val="00D6091A"/>
    <w:rsid w:val="00D61298"/>
    <w:rsid w:val="00D623A0"/>
    <w:rsid w:val="00D64440"/>
    <w:rsid w:val="00D665DF"/>
    <w:rsid w:val="00D66854"/>
    <w:rsid w:val="00D675B2"/>
    <w:rsid w:val="00D67706"/>
    <w:rsid w:val="00D677D1"/>
    <w:rsid w:val="00D702E8"/>
    <w:rsid w:val="00D71096"/>
    <w:rsid w:val="00D721E2"/>
    <w:rsid w:val="00D75031"/>
    <w:rsid w:val="00D76108"/>
    <w:rsid w:val="00D77D40"/>
    <w:rsid w:val="00D8060A"/>
    <w:rsid w:val="00D827FE"/>
    <w:rsid w:val="00D83673"/>
    <w:rsid w:val="00D8470F"/>
    <w:rsid w:val="00D84733"/>
    <w:rsid w:val="00D84F28"/>
    <w:rsid w:val="00D8519C"/>
    <w:rsid w:val="00D8545C"/>
    <w:rsid w:val="00D86339"/>
    <w:rsid w:val="00D86916"/>
    <w:rsid w:val="00D90367"/>
    <w:rsid w:val="00D90C39"/>
    <w:rsid w:val="00D91B3C"/>
    <w:rsid w:val="00D9242C"/>
    <w:rsid w:val="00D92860"/>
    <w:rsid w:val="00D92CD6"/>
    <w:rsid w:val="00D973DF"/>
    <w:rsid w:val="00D97D52"/>
    <w:rsid w:val="00D97F17"/>
    <w:rsid w:val="00DA15E7"/>
    <w:rsid w:val="00DA1680"/>
    <w:rsid w:val="00DA1F8B"/>
    <w:rsid w:val="00DA3E2F"/>
    <w:rsid w:val="00DA4C50"/>
    <w:rsid w:val="00DA77EB"/>
    <w:rsid w:val="00DB0376"/>
    <w:rsid w:val="00DB0C0E"/>
    <w:rsid w:val="00DB0DAC"/>
    <w:rsid w:val="00DB2496"/>
    <w:rsid w:val="00DB2888"/>
    <w:rsid w:val="00DB4165"/>
    <w:rsid w:val="00DB47F5"/>
    <w:rsid w:val="00DB6206"/>
    <w:rsid w:val="00DB623F"/>
    <w:rsid w:val="00DB7007"/>
    <w:rsid w:val="00DB7E8B"/>
    <w:rsid w:val="00DC0701"/>
    <w:rsid w:val="00DC0E5C"/>
    <w:rsid w:val="00DC1A29"/>
    <w:rsid w:val="00DC36A7"/>
    <w:rsid w:val="00DD3293"/>
    <w:rsid w:val="00DD4713"/>
    <w:rsid w:val="00DD5BB0"/>
    <w:rsid w:val="00DD6B2E"/>
    <w:rsid w:val="00DE0720"/>
    <w:rsid w:val="00DE2D2E"/>
    <w:rsid w:val="00DE462D"/>
    <w:rsid w:val="00DE5A9B"/>
    <w:rsid w:val="00DE5B6B"/>
    <w:rsid w:val="00DE5BC1"/>
    <w:rsid w:val="00DE7E71"/>
    <w:rsid w:val="00DF010F"/>
    <w:rsid w:val="00DF10DC"/>
    <w:rsid w:val="00DF111D"/>
    <w:rsid w:val="00DF2A70"/>
    <w:rsid w:val="00DF3265"/>
    <w:rsid w:val="00DF6610"/>
    <w:rsid w:val="00DF718A"/>
    <w:rsid w:val="00DF74DE"/>
    <w:rsid w:val="00DF7679"/>
    <w:rsid w:val="00DF77E7"/>
    <w:rsid w:val="00DF7B48"/>
    <w:rsid w:val="00E0091D"/>
    <w:rsid w:val="00E01593"/>
    <w:rsid w:val="00E01900"/>
    <w:rsid w:val="00E02E1F"/>
    <w:rsid w:val="00E04020"/>
    <w:rsid w:val="00E04526"/>
    <w:rsid w:val="00E05601"/>
    <w:rsid w:val="00E05944"/>
    <w:rsid w:val="00E06939"/>
    <w:rsid w:val="00E07789"/>
    <w:rsid w:val="00E101A3"/>
    <w:rsid w:val="00E12447"/>
    <w:rsid w:val="00E13D5B"/>
    <w:rsid w:val="00E148E0"/>
    <w:rsid w:val="00E16049"/>
    <w:rsid w:val="00E17A79"/>
    <w:rsid w:val="00E2024C"/>
    <w:rsid w:val="00E20A87"/>
    <w:rsid w:val="00E21769"/>
    <w:rsid w:val="00E21B43"/>
    <w:rsid w:val="00E22EB2"/>
    <w:rsid w:val="00E243A1"/>
    <w:rsid w:val="00E2458D"/>
    <w:rsid w:val="00E24676"/>
    <w:rsid w:val="00E250CE"/>
    <w:rsid w:val="00E25502"/>
    <w:rsid w:val="00E25995"/>
    <w:rsid w:val="00E30E86"/>
    <w:rsid w:val="00E33355"/>
    <w:rsid w:val="00E33A7C"/>
    <w:rsid w:val="00E340F1"/>
    <w:rsid w:val="00E347C0"/>
    <w:rsid w:val="00E3484E"/>
    <w:rsid w:val="00E35BE4"/>
    <w:rsid w:val="00E35FFE"/>
    <w:rsid w:val="00E36947"/>
    <w:rsid w:val="00E369E4"/>
    <w:rsid w:val="00E3795D"/>
    <w:rsid w:val="00E37FBC"/>
    <w:rsid w:val="00E41167"/>
    <w:rsid w:val="00E42822"/>
    <w:rsid w:val="00E43EFA"/>
    <w:rsid w:val="00E44056"/>
    <w:rsid w:val="00E44710"/>
    <w:rsid w:val="00E447F7"/>
    <w:rsid w:val="00E45C64"/>
    <w:rsid w:val="00E5023B"/>
    <w:rsid w:val="00E52263"/>
    <w:rsid w:val="00E523A9"/>
    <w:rsid w:val="00E525F4"/>
    <w:rsid w:val="00E53461"/>
    <w:rsid w:val="00E53E84"/>
    <w:rsid w:val="00E547A3"/>
    <w:rsid w:val="00E55B00"/>
    <w:rsid w:val="00E609F0"/>
    <w:rsid w:val="00E612E9"/>
    <w:rsid w:val="00E61BD3"/>
    <w:rsid w:val="00E62DF7"/>
    <w:rsid w:val="00E638A2"/>
    <w:rsid w:val="00E63CDC"/>
    <w:rsid w:val="00E64ADE"/>
    <w:rsid w:val="00E64F3D"/>
    <w:rsid w:val="00E6528B"/>
    <w:rsid w:val="00E65503"/>
    <w:rsid w:val="00E661AF"/>
    <w:rsid w:val="00E67060"/>
    <w:rsid w:val="00E705DF"/>
    <w:rsid w:val="00E71C20"/>
    <w:rsid w:val="00E72744"/>
    <w:rsid w:val="00E7308C"/>
    <w:rsid w:val="00E738C5"/>
    <w:rsid w:val="00E743D7"/>
    <w:rsid w:val="00E7524F"/>
    <w:rsid w:val="00E7671B"/>
    <w:rsid w:val="00E77B76"/>
    <w:rsid w:val="00E80892"/>
    <w:rsid w:val="00E80DFD"/>
    <w:rsid w:val="00E8115A"/>
    <w:rsid w:val="00E82925"/>
    <w:rsid w:val="00E82BFF"/>
    <w:rsid w:val="00E83763"/>
    <w:rsid w:val="00E83A88"/>
    <w:rsid w:val="00E8452E"/>
    <w:rsid w:val="00E8515A"/>
    <w:rsid w:val="00E85697"/>
    <w:rsid w:val="00E90128"/>
    <w:rsid w:val="00E91627"/>
    <w:rsid w:val="00E926FB"/>
    <w:rsid w:val="00E92C3C"/>
    <w:rsid w:val="00E9317C"/>
    <w:rsid w:val="00E96335"/>
    <w:rsid w:val="00E96CC6"/>
    <w:rsid w:val="00E96DF6"/>
    <w:rsid w:val="00EA013D"/>
    <w:rsid w:val="00EA045C"/>
    <w:rsid w:val="00EA1F46"/>
    <w:rsid w:val="00EA1F95"/>
    <w:rsid w:val="00EA25CD"/>
    <w:rsid w:val="00EA4C52"/>
    <w:rsid w:val="00EA5E50"/>
    <w:rsid w:val="00EA63BF"/>
    <w:rsid w:val="00EA6F94"/>
    <w:rsid w:val="00EA7635"/>
    <w:rsid w:val="00EA78B6"/>
    <w:rsid w:val="00EA7EE2"/>
    <w:rsid w:val="00EB0EA6"/>
    <w:rsid w:val="00EB3153"/>
    <w:rsid w:val="00EB6912"/>
    <w:rsid w:val="00EC0162"/>
    <w:rsid w:val="00EC0633"/>
    <w:rsid w:val="00EC0DF7"/>
    <w:rsid w:val="00EC23ED"/>
    <w:rsid w:val="00EC2458"/>
    <w:rsid w:val="00EC4C6E"/>
    <w:rsid w:val="00EC4E46"/>
    <w:rsid w:val="00EC578E"/>
    <w:rsid w:val="00EC6C5F"/>
    <w:rsid w:val="00EC76B9"/>
    <w:rsid w:val="00ED0121"/>
    <w:rsid w:val="00ED3105"/>
    <w:rsid w:val="00ED4445"/>
    <w:rsid w:val="00ED4C82"/>
    <w:rsid w:val="00ED5D31"/>
    <w:rsid w:val="00ED6560"/>
    <w:rsid w:val="00EE1022"/>
    <w:rsid w:val="00EE3B23"/>
    <w:rsid w:val="00EE488F"/>
    <w:rsid w:val="00EE4C94"/>
    <w:rsid w:val="00EE58FA"/>
    <w:rsid w:val="00EE5C62"/>
    <w:rsid w:val="00EE5ED4"/>
    <w:rsid w:val="00EE633D"/>
    <w:rsid w:val="00EE73CB"/>
    <w:rsid w:val="00EF0E41"/>
    <w:rsid w:val="00EF2866"/>
    <w:rsid w:val="00EF485F"/>
    <w:rsid w:val="00EF6703"/>
    <w:rsid w:val="00EF7159"/>
    <w:rsid w:val="00EF7593"/>
    <w:rsid w:val="00F00E81"/>
    <w:rsid w:val="00F01333"/>
    <w:rsid w:val="00F01432"/>
    <w:rsid w:val="00F025C6"/>
    <w:rsid w:val="00F02752"/>
    <w:rsid w:val="00F03445"/>
    <w:rsid w:val="00F05557"/>
    <w:rsid w:val="00F05823"/>
    <w:rsid w:val="00F0671A"/>
    <w:rsid w:val="00F075E0"/>
    <w:rsid w:val="00F106DA"/>
    <w:rsid w:val="00F12CBD"/>
    <w:rsid w:val="00F142EC"/>
    <w:rsid w:val="00F14ED1"/>
    <w:rsid w:val="00F1628B"/>
    <w:rsid w:val="00F16C1B"/>
    <w:rsid w:val="00F17551"/>
    <w:rsid w:val="00F17AB9"/>
    <w:rsid w:val="00F17F76"/>
    <w:rsid w:val="00F20F00"/>
    <w:rsid w:val="00F2149C"/>
    <w:rsid w:val="00F21F72"/>
    <w:rsid w:val="00F22C26"/>
    <w:rsid w:val="00F23342"/>
    <w:rsid w:val="00F246A9"/>
    <w:rsid w:val="00F24B04"/>
    <w:rsid w:val="00F2539D"/>
    <w:rsid w:val="00F25F1E"/>
    <w:rsid w:val="00F27156"/>
    <w:rsid w:val="00F30CC1"/>
    <w:rsid w:val="00F30E43"/>
    <w:rsid w:val="00F31257"/>
    <w:rsid w:val="00F32DF4"/>
    <w:rsid w:val="00F333EC"/>
    <w:rsid w:val="00F33861"/>
    <w:rsid w:val="00F37583"/>
    <w:rsid w:val="00F37B6B"/>
    <w:rsid w:val="00F40D5E"/>
    <w:rsid w:val="00F41A73"/>
    <w:rsid w:val="00F41B4B"/>
    <w:rsid w:val="00F41CCC"/>
    <w:rsid w:val="00F46AD3"/>
    <w:rsid w:val="00F46B7E"/>
    <w:rsid w:val="00F47313"/>
    <w:rsid w:val="00F478E7"/>
    <w:rsid w:val="00F50301"/>
    <w:rsid w:val="00F51350"/>
    <w:rsid w:val="00F529BB"/>
    <w:rsid w:val="00F52AFF"/>
    <w:rsid w:val="00F54593"/>
    <w:rsid w:val="00F55C18"/>
    <w:rsid w:val="00F55D34"/>
    <w:rsid w:val="00F56328"/>
    <w:rsid w:val="00F56D1F"/>
    <w:rsid w:val="00F62530"/>
    <w:rsid w:val="00F62934"/>
    <w:rsid w:val="00F62D5B"/>
    <w:rsid w:val="00F63FC4"/>
    <w:rsid w:val="00F645CE"/>
    <w:rsid w:val="00F64EF6"/>
    <w:rsid w:val="00F64F23"/>
    <w:rsid w:val="00F6637C"/>
    <w:rsid w:val="00F67A0A"/>
    <w:rsid w:val="00F71E02"/>
    <w:rsid w:val="00F751CF"/>
    <w:rsid w:val="00F7525C"/>
    <w:rsid w:val="00F76636"/>
    <w:rsid w:val="00F778DE"/>
    <w:rsid w:val="00F817FB"/>
    <w:rsid w:val="00F832D7"/>
    <w:rsid w:val="00F83391"/>
    <w:rsid w:val="00F855A8"/>
    <w:rsid w:val="00F85A68"/>
    <w:rsid w:val="00F9170A"/>
    <w:rsid w:val="00F91B12"/>
    <w:rsid w:val="00F92B93"/>
    <w:rsid w:val="00F93B4F"/>
    <w:rsid w:val="00F94E7A"/>
    <w:rsid w:val="00F96684"/>
    <w:rsid w:val="00FA0050"/>
    <w:rsid w:val="00FA00FE"/>
    <w:rsid w:val="00FA07BF"/>
    <w:rsid w:val="00FA1756"/>
    <w:rsid w:val="00FA2392"/>
    <w:rsid w:val="00FA5C18"/>
    <w:rsid w:val="00FA717E"/>
    <w:rsid w:val="00FB074B"/>
    <w:rsid w:val="00FB0CE7"/>
    <w:rsid w:val="00FB3E5E"/>
    <w:rsid w:val="00FB4A7B"/>
    <w:rsid w:val="00FB5762"/>
    <w:rsid w:val="00FB5CEC"/>
    <w:rsid w:val="00FB5FC3"/>
    <w:rsid w:val="00FB6530"/>
    <w:rsid w:val="00FB7A26"/>
    <w:rsid w:val="00FB7C5F"/>
    <w:rsid w:val="00FC1A8F"/>
    <w:rsid w:val="00FC48F7"/>
    <w:rsid w:val="00FC5D47"/>
    <w:rsid w:val="00FD104A"/>
    <w:rsid w:val="00FD2174"/>
    <w:rsid w:val="00FD3553"/>
    <w:rsid w:val="00FD4AA8"/>
    <w:rsid w:val="00FD4ABA"/>
    <w:rsid w:val="00FD6B25"/>
    <w:rsid w:val="00FD7392"/>
    <w:rsid w:val="00FD75EA"/>
    <w:rsid w:val="00FE246F"/>
    <w:rsid w:val="00FE3158"/>
    <w:rsid w:val="00FE5EB3"/>
    <w:rsid w:val="00FE68CA"/>
    <w:rsid w:val="00FF0513"/>
    <w:rsid w:val="00FF07B4"/>
    <w:rsid w:val="00FF0D9A"/>
    <w:rsid w:val="00FF1A76"/>
    <w:rsid w:val="00FF272E"/>
    <w:rsid w:val="00FF4E13"/>
    <w:rsid w:val="00FF5522"/>
    <w:rsid w:val="00FF63D0"/>
    <w:rsid w:val="00FF69A5"/>
    <w:rsid w:val="00FF6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2C50B"/>
  <w14:defaultImageDpi w14:val="32767"/>
  <w15:chartTrackingRefBased/>
  <w15:docId w15:val="{AEAE5EAA-F170-374B-B3BB-1E90E875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869"/>
    <w:rPr>
      <w:rFonts w:ascii="Times New Roman" w:eastAsia="Times New Roman" w:hAnsi="Times New Roman" w:cs="Times New Roman"/>
    </w:rPr>
  </w:style>
  <w:style w:type="paragraph" w:styleId="Heading1">
    <w:name w:val="heading 1"/>
    <w:basedOn w:val="Normal"/>
    <w:link w:val="Heading1Char"/>
    <w:uiPriority w:val="9"/>
    <w:qFormat/>
    <w:rsid w:val="00932AAB"/>
    <w:pPr>
      <w:jc w:val="center"/>
      <w:outlineLvl w:val="0"/>
    </w:pPr>
    <w:rPr>
      <w:rFonts w:eastAsiaTheme="minorHAnsi"/>
      <w:b/>
      <w:bCs/>
      <w:kern w:val="36"/>
      <w:szCs w:val="48"/>
      <w:lang w:eastAsia="en-GB"/>
    </w:rPr>
  </w:style>
  <w:style w:type="paragraph" w:styleId="Heading2">
    <w:name w:val="heading 2"/>
    <w:basedOn w:val="Normal"/>
    <w:next w:val="Normal"/>
    <w:link w:val="Heading2Char"/>
    <w:unhideWhenUsed/>
    <w:qFormat/>
    <w:rsid w:val="00932AAB"/>
    <w:pPr>
      <w:keepNext/>
      <w:keepLines/>
      <w:spacing w:line="360" w:lineRule="auto"/>
      <w:outlineLvl w:val="1"/>
    </w:pPr>
    <w:rPr>
      <w:rFonts w:eastAsiaTheme="majorEastAsia" w:cstheme="majorBidi"/>
      <w:b/>
      <w:szCs w:val="26"/>
      <w:lang w:val="en-US"/>
    </w:rPr>
  </w:style>
  <w:style w:type="paragraph" w:styleId="Heading3">
    <w:name w:val="heading 3"/>
    <w:basedOn w:val="Normal"/>
    <w:next w:val="Normal"/>
    <w:link w:val="Heading3Char"/>
    <w:uiPriority w:val="9"/>
    <w:unhideWhenUsed/>
    <w:qFormat/>
    <w:rsid w:val="001C443C"/>
    <w:pPr>
      <w:keepNext/>
      <w:keepLines/>
      <w:spacing w:line="360" w:lineRule="auto"/>
      <w:outlineLvl w:val="2"/>
    </w:pPr>
    <w:rPr>
      <w:rFonts w:eastAsiaTheme="majorEastAsia" w:cstheme="majorBidi"/>
      <w:b/>
    </w:rPr>
  </w:style>
  <w:style w:type="paragraph" w:styleId="Heading4">
    <w:name w:val="heading 4"/>
    <w:basedOn w:val="Normal"/>
    <w:next w:val="Normal"/>
    <w:link w:val="Heading4Char"/>
    <w:uiPriority w:val="9"/>
    <w:unhideWhenUsed/>
    <w:qFormat/>
    <w:rsid w:val="006D76AB"/>
    <w:pPr>
      <w:keepNext/>
      <w:keepLines/>
      <w:spacing w:line="360" w:lineRule="auto"/>
      <w:outlineLvl w:val="3"/>
    </w:pPr>
    <w:rPr>
      <w:rFonts w:eastAsiaTheme="majorEastAsia" w:cstheme="majorBidi"/>
      <w:b/>
      <w:iCs/>
      <w:lang w:eastAsia="en-GB"/>
    </w:rPr>
  </w:style>
  <w:style w:type="paragraph" w:styleId="Heading5">
    <w:name w:val="heading 5"/>
    <w:basedOn w:val="Normal"/>
    <w:next w:val="Normal"/>
    <w:link w:val="Heading5Char"/>
    <w:uiPriority w:val="9"/>
    <w:unhideWhenUsed/>
    <w:qFormat/>
    <w:rsid w:val="006D76AB"/>
    <w:pPr>
      <w:keepNext/>
      <w:keepLines/>
      <w:spacing w:line="360" w:lineRule="auto"/>
      <w:outlineLvl w:val="4"/>
    </w:pPr>
    <w:rPr>
      <w:rFonts w:eastAsiaTheme="majorEastAsia" w:cstheme="majorBidi"/>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2E9A"/>
    <w:pPr>
      <w:spacing w:before="100" w:beforeAutospacing="1" w:after="100" w:afterAutospacing="1"/>
    </w:pPr>
    <w:rPr>
      <w:rFonts w:eastAsiaTheme="minorHAnsi"/>
      <w:lang w:eastAsia="en-GB"/>
    </w:rPr>
  </w:style>
  <w:style w:type="character" w:styleId="Hyperlink">
    <w:name w:val="Hyperlink"/>
    <w:basedOn w:val="DefaultParagraphFont"/>
    <w:uiPriority w:val="99"/>
    <w:unhideWhenUsed/>
    <w:rsid w:val="00AA129F"/>
    <w:rPr>
      <w:color w:val="0563C1" w:themeColor="hyperlink"/>
      <w:u w:val="single"/>
    </w:rPr>
  </w:style>
  <w:style w:type="paragraph" w:customStyle="1" w:styleId="p1">
    <w:name w:val="p1"/>
    <w:basedOn w:val="Normal"/>
    <w:rsid w:val="00130AF6"/>
    <w:rPr>
      <w:rFonts w:ascii="Arial" w:eastAsiaTheme="minorHAnsi" w:hAnsi="Arial" w:cs="Arial"/>
      <w:sz w:val="14"/>
      <w:szCs w:val="14"/>
      <w:lang w:eastAsia="en-GB"/>
    </w:rPr>
  </w:style>
  <w:style w:type="character" w:customStyle="1" w:styleId="apple-converted-space">
    <w:name w:val="apple-converted-space"/>
    <w:basedOn w:val="DefaultParagraphFont"/>
    <w:rsid w:val="00130AF6"/>
  </w:style>
  <w:style w:type="character" w:customStyle="1" w:styleId="s1">
    <w:name w:val="s1"/>
    <w:basedOn w:val="DefaultParagraphFont"/>
    <w:rsid w:val="00130AF6"/>
    <w:rPr>
      <w:rFonts w:ascii="Arial" w:hAnsi="Arial" w:cs="Arial" w:hint="default"/>
      <w:sz w:val="9"/>
      <w:szCs w:val="9"/>
    </w:rPr>
  </w:style>
  <w:style w:type="paragraph" w:styleId="FootnoteText">
    <w:name w:val="footnote text"/>
    <w:basedOn w:val="Normal"/>
    <w:link w:val="FootnoteTextChar"/>
    <w:uiPriority w:val="99"/>
    <w:unhideWhenUsed/>
    <w:rsid w:val="005F41B9"/>
    <w:rPr>
      <w:lang w:val="en-US"/>
    </w:rPr>
  </w:style>
  <w:style w:type="character" w:customStyle="1" w:styleId="FootnoteTextChar">
    <w:name w:val="Footnote Text Char"/>
    <w:basedOn w:val="DefaultParagraphFont"/>
    <w:link w:val="FootnoteText"/>
    <w:uiPriority w:val="99"/>
    <w:rsid w:val="005F41B9"/>
    <w:rPr>
      <w:rFonts w:ascii="Times New Roman" w:eastAsia="Times New Roman" w:hAnsi="Times New Roman" w:cs="Times New Roman"/>
      <w:lang w:val="en-US"/>
    </w:rPr>
  </w:style>
  <w:style w:type="character" w:styleId="FootnoteReference">
    <w:name w:val="footnote reference"/>
    <w:basedOn w:val="DefaultParagraphFont"/>
    <w:uiPriority w:val="99"/>
    <w:unhideWhenUsed/>
    <w:rsid w:val="005F41B9"/>
    <w:rPr>
      <w:vertAlign w:val="superscript"/>
    </w:rPr>
  </w:style>
  <w:style w:type="paragraph" w:styleId="ListParagraph">
    <w:name w:val="List Paragraph"/>
    <w:basedOn w:val="Normal"/>
    <w:uiPriority w:val="34"/>
    <w:qFormat/>
    <w:rsid w:val="00C021DB"/>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2C3361"/>
    <w:rPr>
      <w:color w:val="954F72" w:themeColor="followedHyperlink"/>
      <w:u w:val="single"/>
    </w:rPr>
  </w:style>
  <w:style w:type="character" w:customStyle="1" w:styleId="Heading1Char">
    <w:name w:val="Heading 1 Char"/>
    <w:basedOn w:val="DefaultParagraphFont"/>
    <w:link w:val="Heading1"/>
    <w:uiPriority w:val="9"/>
    <w:rsid w:val="00932AAB"/>
    <w:rPr>
      <w:rFonts w:ascii="Times New Roman" w:hAnsi="Times New Roman" w:cs="Times New Roman"/>
      <w:b/>
      <w:bCs/>
      <w:kern w:val="36"/>
      <w:szCs w:val="48"/>
      <w:lang w:eastAsia="en-GB"/>
    </w:rPr>
  </w:style>
  <w:style w:type="character" w:styleId="CommentReference">
    <w:name w:val="annotation reference"/>
    <w:basedOn w:val="DefaultParagraphFont"/>
    <w:uiPriority w:val="99"/>
    <w:semiHidden/>
    <w:unhideWhenUsed/>
    <w:rsid w:val="00B60C7D"/>
    <w:rPr>
      <w:sz w:val="18"/>
      <w:szCs w:val="18"/>
    </w:rPr>
  </w:style>
  <w:style w:type="paragraph" w:styleId="CommentText">
    <w:name w:val="annotation text"/>
    <w:basedOn w:val="Normal"/>
    <w:link w:val="CommentTextChar"/>
    <w:uiPriority w:val="99"/>
    <w:unhideWhenUsed/>
    <w:rsid w:val="00B60C7D"/>
    <w:rPr>
      <w:rFonts w:asciiTheme="minorHAnsi" w:eastAsiaTheme="minorEastAsia" w:hAnsiTheme="minorHAnsi" w:cstheme="minorBidi"/>
      <w:lang w:val="en-US"/>
    </w:rPr>
  </w:style>
  <w:style w:type="character" w:customStyle="1" w:styleId="CommentTextChar">
    <w:name w:val="Comment Text Char"/>
    <w:basedOn w:val="DefaultParagraphFont"/>
    <w:link w:val="CommentText"/>
    <w:uiPriority w:val="99"/>
    <w:rsid w:val="00B60C7D"/>
    <w:rPr>
      <w:rFonts w:eastAsiaTheme="minorEastAsia"/>
      <w:lang w:val="en-US"/>
    </w:rPr>
  </w:style>
  <w:style w:type="paragraph" w:styleId="BalloonText">
    <w:name w:val="Balloon Text"/>
    <w:basedOn w:val="Normal"/>
    <w:link w:val="BalloonTextChar"/>
    <w:uiPriority w:val="99"/>
    <w:semiHidden/>
    <w:unhideWhenUsed/>
    <w:rsid w:val="00B60C7D"/>
    <w:rPr>
      <w:sz w:val="18"/>
      <w:szCs w:val="18"/>
      <w:lang w:val="en-US"/>
    </w:rPr>
  </w:style>
  <w:style w:type="character" w:customStyle="1" w:styleId="BalloonTextChar">
    <w:name w:val="Balloon Text Char"/>
    <w:basedOn w:val="DefaultParagraphFont"/>
    <w:link w:val="BalloonText"/>
    <w:uiPriority w:val="99"/>
    <w:semiHidden/>
    <w:rsid w:val="00B60C7D"/>
    <w:rPr>
      <w:rFonts w:ascii="Times New Roman" w:eastAsia="Times New Roman" w:hAnsi="Times New Roman" w:cs="Times New Roman"/>
      <w:sz w:val="18"/>
      <w:szCs w:val="18"/>
      <w:lang w:val="en-US"/>
    </w:rPr>
  </w:style>
  <w:style w:type="paragraph" w:styleId="Footer">
    <w:name w:val="footer"/>
    <w:basedOn w:val="Normal"/>
    <w:link w:val="FooterChar"/>
    <w:uiPriority w:val="99"/>
    <w:unhideWhenUsed/>
    <w:rsid w:val="000E70C7"/>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0E70C7"/>
    <w:rPr>
      <w:rFonts w:eastAsiaTheme="minorEastAsia"/>
      <w:lang w:val="en-US"/>
    </w:rPr>
  </w:style>
  <w:style w:type="character" w:styleId="PageNumber">
    <w:name w:val="page number"/>
    <w:basedOn w:val="DefaultParagraphFont"/>
    <w:semiHidden/>
    <w:unhideWhenUsed/>
    <w:rsid w:val="000E70C7"/>
  </w:style>
  <w:style w:type="paragraph" w:styleId="CommentSubject">
    <w:name w:val="annotation subject"/>
    <w:basedOn w:val="CommentText"/>
    <w:next w:val="CommentText"/>
    <w:link w:val="CommentSubjectChar"/>
    <w:uiPriority w:val="99"/>
    <w:semiHidden/>
    <w:unhideWhenUsed/>
    <w:rsid w:val="00B836B6"/>
    <w:pPr>
      <w:spacing w:before="120" w:after="120"/>
    </w:pPr>
    <w:rPr>
      <w:rFonts w:ascii="Times New Roman" w:eastAsia="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B836B6"/>
    <w:rPr>
      <w:rFonts w:ascii="Times New Roman" w:eastAsia="Times New Roman" w:hAnsi="Times New Roman" w:cs="Times New Roman"/>
      <w:b/>
      <w:bCs/>
      <w:sz w:val="20"/>
      <w:szCs w:val="20"/>
      <w:lang w:val="en-US"/>
    </w:rPr>
  </w:style>
  <w:style w:type="paragraph" w:customStyle="1" w:styleId="p2">
    <w:name w:val="p2"/>
    <w:basedOn w:val="Normal"/>
    <w:rsid w:val="007A0A46"/>
    <w:rPr>
      <w:rFonts w:ascii="Helvetica" w:eastAsiaTheme="minorHAnsi" w:hAnsi="Helvetica"/>
      <w:sz w:val="15"/>
      <w:szCs w:val="15"/>
      <w:lang w:eastAsia="en-GB"/>
    </w:rPr>
  </w:style>
  <w:style w:type="paragraph" w:customStyle="1" w:styleId="p3">
    <w:name w:val="p3"/>
    <w:basedOn w:val="Normal"/>
    <w:rsid w:val="007A0A46"/>
    <w:rPr>
      <w:rFonts w:ascii="Helvetica" w:eastAsiaTheme="minorHAnsi" w:hAnsi="Helvetica"/>
      <w:color w:val="919191"/>
      <w:sz w:val="17"/>
      <w:szCs w:val="17"/>
      <w:lang w:eastAsia="en-GB"/>
    </w:rPr>
  </w:style>
  <w:style w:type="character" w:customStyle="1" w:styleId="s2">
    <w:name w:val="s2"/>
    <w:basedOn w:val="DefaultParagraphFont"/>
    <w:rsid w:val="007A0A46"/>
    <w:rPr>
      <w:rFonts w:ascii="Helvetica" w:hAnsi="Helvetica" w:hint="default"/>
      <w:sz w:val="10"/>
      <w:szCs w:val="10"/>
    </w:rPr>
  </w:style>
  <w:style w:type="character" w:customStyle="1" w:styleId="s3">
    <w:name w:val="s3"/>
    <w:basedOn w:val="DefaultParagraphFont"/>
    <w:rsid w:val="007A0A46"/>
    <w:rPr>
      <w:color w:val="000000"/>
    </w:rPr>
  </w:style>
  <w:style w:type="character" w:customStyle="1" w:styleId="Heading2Char">
    <w:name w:val="Heading 2 Char"/>
    <w:basedOn w:val="DefaultParagraphFont"/>
    <w:link w:val="Heading2"/>
    <w:rsid w:val="00932AAB"/>
    <w:rPr>
      <w:rFonts w:ascii="Times New Roman" w:eastAsiaTheme="majorEastAsia" w:hAnsi="Times New Roman" w:cstheme="majorBidi"/>
      <w:b/>
      <w:szCs w:val="26"/>
      <w:lang w:val="en-US"/>
    </w:rPr>
  </w:style>
  <w:style w:type="paragraph" w:styleId="Quote">
    <w:name w:val="Quote"/>
    <w:basedOn w:val="Normal"/>
    <w:next w:val="Normal"/>
    <w:link w:val="QuoteChar"/>
    <w:uiPriority w:val="29"/>
    <w:qFormat/>
    <w:rsid w:val="001F671E"/>
    <w:pPr>
      <w:spacing w:before="200" w:after="160"/>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1F671E"/>
    <w:rPr>
      <w:rFonts w:ascii="Times New Roman" w:eastAsia="Times New Roman" w:hAnsi="Times New Roman" w:cs="Times New Roman"/>
      <w:i/>
      <w:iCs/>
      <w:color w:val="404040" w:themeColor="text1" w:themeTint="BF"/>
      <w:lang w:val="en-US"/>
    </w:rPr>
  </w:style>
  <w:style w:type="paragraph" w:styleId="Header">
    <w:name w:val="header"/>
    <w:basedOn w:val="Normal"/>
    <w:link w:val="HeaderChar"/>
    <w:uiPriority w:val="99"/>
    <w:unhideWhenUsed/>
    <w:rsid w:val="00FA0050"/>
    <w:pPr>
      <w:tabs>
        <w:tab w:val="center" w:pos="4680"/>
        <w:tab w:val="right" w:pos="9360"/>
      </w:tabs>
    </w:pPr>
    <w:rPr>
      <w:lang w:val="en-US"/>
    </w:rPr>
  </w:style>
  <w:style w:type="character" w:customStyle="1" w:styleId="HeaderChar">
    <w:name w:val="Header Char"/>
    <w:basedOn w:val="DefaultParagraphFont"/>
    <w:link w:val="Header"/>
    <w:uiPriority w:val="99"/>
    <w:rsid w:val="00FA0050"/>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1C443C"/>
    <w:rPr>
      <w:rFonts w:ascii="Times New Roman" w:eastAsiaTheme="majorEastAsia" w:hAnsi="Times New Roman" w:cstheme="majorBidi"/>
      <w:b/>
    </w:rPr>
  </w:style>
  <w:style w:type="paragraph" w:styleId="Revision">
    <w:name w:val="Revision"/>
    <w:hidden/>
    <w:uiPriority w:val="99"/>
    <w:semiHidden/>
    <w:rsid w:val="001C443C"/>
  </w:style>
  <w:style w:type="character" w:styleId="Strong">
    <w:name w:val="Strong"/>
    <w:basedOn w:val="DefaultParagraphFont"/>
    <w:uiPriority w:val="22"/>
    <w:qFormat/>
    <w:rsid w:val="001C443C"/>
    <w:rPr>
      <w:b/>
      <w:bCs/>
    </w:rPr>
  </w:style>
  <w:style w:type="character" w:styleId="Emphasis">
    <w:name w:val="Emphasis"/>
    <w:basedOn w:val="DefaultParagraphFont"/>
    <w:uiPriority w:val="20"/>
    <w:qFormat/>
    <w:rsid w:val="001C443C"/>
    <w:rPr>
      <w:i/>
      <w:iCs/>
    </w:rPr>
  </w:style>
  <w:style w:type="numbering" w:customStyle="1" w:styleId="NoList1">
    <w:name w:val="No List1"/>
    <w:next w:val="NoList"/>
    <w:uiPriority w:val="99"/>
    <w:semiHidden/>
    <w:unhideWhenUsed/>
    <w:rsid w:val="002C707D"/>
  </w:style>
  <w:style w:type="table" w:styleId="TableGrid">
    <w:name w:val="Table Grid"/>
    <w:basedOn w:val="TableNormal"/>
    <w:uiPriority w:val="39"/>
    <w:rsid w:val="002C707D"/>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C707D"/>
  </w:style>
  <w:style w:type="table" w:customStyle="1" w:styleId="TableGrid1">
    <w:name w:val="Table Grid1"/>
    <w:basedOn w:val="TableNormal"/>
    <w:next w:val="TableGrid"/>
    <w:uiPriority w:val="39"/>
    <w:rsid w:val="002C7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C707D"/>
  </w:style>
  <w:style w:type="paragraph" w:customStyle="1" w:styleId="TextBody">
    <w:name w:val="Text Body"/>
    <w:basedOn w:val="Normal"/>
    <w:rsid w:val="002C707D"/>
    <w:pPr>
      <w:widowControl w:val="0"/>
      <w:suppressAutoHyphens/>
      <w:spacing w:after="283"/>
    </w:pPr>
    <w:rPr>
      <w:rFonts w:eastAsia="SimSun" w:cs="Lucida Sans"/>
      <w:lang w:eastAsia="zh-CN" w:bidi="hi-IN"/>
    </w:rPr>
  </w:style>
  <w:style w:type="numbering" w:customStyle="1" w:styleId="NoList3">
    <w:name w:val="No List3"/>
    <w:next w:val="NoList"/>
    <w:uiPriority w:val="99"/>
    <w:semiHidden/>
    <w:unhideWhenUsed/>
    <w:rsid w:val="002C707D"/>
  </w:style>
  <w:style w:type="paragraph" w:styleId="HTMLPreformatted">
    <w:name w:val="HTML Preformatted"/>
    <w:basedOn w:val="Normal"/>
    <w:link w:val="HTMLPreformattedChar"/>
    <w:uiPriority w:val="99"/>
    <w:unhideWhenUsed/>
    <w:rsid w:val="002C707D"/>
    <w:rPr>
      <w:rFonts w:ascii="Courier" w:eastAsiaTheme="minorHAnsi" w:hAnsi="Courier"/>
      <w:sz w:val="20"/>
      <w:szCs w:val="20"/>
      <w:lang w:eastAsia="en-GB"/>
    </w:rPr>
  </w:style>
  <w:style w:type="character" w:customStyle="1" w:styleId="HTMLPreformattedChar">
    <w:name w:val="HTML Preformatted Char"/>
    <w:basedOn w:val="DefaultParagraphFont"/>
    <w:link w:val="HTMLPreformatted"/>
    <w:uiPriority w:val="99"/>
    <w:rsid w:val="002C707D"/>
    <w:rPr>
      <w:rFonts w:ascii="Courier" w:hAnsi="Courier" w:cs="Times New Roman"/>
      <w:sz w:val="20"/>
      <w:szCs w:val="20"/>
      <w:lang w:eastAsia="en-GB"/>
    </w:rPr>
  </w:style>
  <w:style w:type="numbering" w:customStyle="1" w:styleId="NoList4">
    <w:name w:val="No List4"/>
    <w:next w:val="NoList"/>
    <w:uiPriority w:val="99"/>
    <w:semiHidden/>
    <w:unhideWhenUsed/>
    <w:rsid w:val="002C707D"/>
  </w:style>
  <w:style w:type="character" w:customStyle="1" w:styleId="FootnoteTextChar1">
    <w:name w:val="Footnote Text Char1"/>
    <w:basedOn w:val="DefaultParagraphFont"/>
    <w:uiPriority w:val="99"/>
    <w:semiHidden/>
    <w:rsid w:val="002C707D"/>
    <w:rPr>
      <w:rFonts w:ascii="Times New Roman" w:hAnsi="Times New Roman" w:cs="Times New Roman"/>
      <w:lang w:eastAsia="en-GB"/>
    </w:rPr>
  </w:style>
  <w:style w:type="paragraph" w:customStyle="1" w:styleId="Normal1">
    <w:name w:val="Normal1"/>
    <w:rsid w:val="002C707D"/>
    <w:pPr>
      <w:widowControl w:val="0"/>
    </w:pPr>
    <w:rPr>
      <w:rFonts w:ascii="Liberation Serif" w:eastAsia="Liberation Serif" w:hAnsi="Liberation Serif" w:cs="Liberation Serif"/>
      <w:color w:val="00000A"/>
    </w:rPr>
  </w:style>
  <w:style w:type="table" w:customStyle="1" w:styleId="TableGrid2">
    <w:name w:val="Table Grid2"/>
    <w:basedOn w:val="TableNormal"/>
    <w:next w:val="TableGrid"/>
    <w:uiPriority w:val="39"/>
    <w:rsid w:val="002C7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C707D"/>
  </w:style>
  <w:style w:type="paragraph" w:customStyle="1" w:styleId="Cuerpodetexto">
    <w:name w:val="Cuerpo de texto"/>
    <w:basedOn w:val="Normal"/>
    <w:rsid w:val="002C707D"/>
    <w:pPr>
      <w:suppressAutoHyphens/>
      <w:spacing w:after="140" w:line="288" w:lineRule="auto"/>
    </w:pPr>
    <w:rPr>
      <w:rFonts w:ascii="Calibri" w:eastAsia="Droid Sans Fallback" w:hAnsi="Calibri"/>
      <w:sz w:val="22"/>
      <w:szCs w:val="22"/>
      <w:lang w:val="es-NI"/>
    </w:rPr>
  </w:style>
  <w:style w:type="character" w:customStyle="1" w:styleId="sub-title">
    <w:name w:val="sub-title"/>
    <w:basedOn w:val="DefaultParagraphFont"/>
    <w:rsid w:val="002C707D"/>
  </w:style>
  <w:style w:type="character" w:customStyle="1" w:styleId="Heading4Char">
    <w:name w:val="Heading 4 Char"/>
    <w:basedOn w:val="DefaultParagraphFont"/>
    <w:link w:val="Heading4"/>
    <w:uiPriority w:val="9"/>
    <w:rsid w:val="006D76AB"/>
    <w:rPr>
      <w:rFonts w:ascii="Times New Roman" w:eastAsiaTheme="majorEastAsia" w:hAnsi="Times New Roman" w:cstheme="majorBidi"/>
      <w:b/>
      <w:iCs/>
      <w:lang w:eastAsia="en-GB"/>
    </w:rPr>
  </w:style>
  <w:style w:type="character" w:customStyle="1" w:styleId="Heading5Char">
    <w:name w:val="Heading 5 Char"/>
    <w:basedOn w:val="DefaultParagraphFont"/>
    <w:link w:val="Heading5"/>
    <w:uiPriority w:val="9"/>
    <w:rsid w:val="006D76AB"/>
    <w:rPr>
      <w:rFonts w:ascii="Times New Roman" w:eastAsiaTheme="majorEastAsia" w:hAnsi="Times New Roman" w:cstheme="majorBidi"/>
      <w:b/>
      <w:lang w:eastAsia="en-GB"/>
    </w:rPr>
  </w:style>
  <w:style w:type="character" w:customStyle="1" w:styleId="nlmstring-name">
    <w:name w:val="nlm_string-name"/>
    <w:basedOn w:val="DefaultParagraphFont"/>
    <w:rsid w:val="006D76AB"/>
  </w:style>
  <w:style w:type="character" w:customStyle="1" w:styleId="nlmyear">
    <w:name w:val="nlm_year"/>
    <w:basedOn w:val="DefaultParagraphFont"/>
    <w:rsid w:val="006D76AB"/>
  </w:style>
  <w:style w:type="character" w:customStyle="1" w:styleId="nlmpublisher-name">
    <w:name w:val="nlm_publisher-name"/>
    <w:basedOn w:val="DefaultParagraphFont"/>
    <w:rsid w:val="006D76AB"/>
  </w:style>
  <w:style w:type="character" w:customStyle="1" w:styleId="nlmpublisher-loc">
    <w:name w:val="nlm_publisher-loc"/>
    <w:basedOn w:val="DefaultParagraphFont"/>
    <w:rsid w:val="006D76AB"/>
  </w:style>
  <w:style w:type="character" w:customStyle="1" w:styleId="nlmarticle-title">
    <w:name w:val="nlm_article-title"/>
    <w:basedOn w:val="DefaultParagraphFont"/>
    <w:rsid w:val="006D76AB"/>
  </w:style>
  <w:style w:type="character" w:customStyle="1" w:styleId="nlmfpage">
    <w:name w:val="nlm_fpage"/>
    <w:basedOn w:val="DefaultParagraphFont"/>
    <w:rsid w:val="006D76AB"/>
  </w:style>
  <w:style w:type="character" w:customStyle="1" w:styleId="nlmlpage">
    <w:name w:val="nlm_lpage"/>
    <w:basedOn w:val="DefaultParagraphFont"/>
    <w:rsid w:val="006D76AB"/>
  </w:style>
  <w:style w:type="paragraph" w:customStyle="1" w:styleId="FigureTOCCaption">
    <w:name w:val="Figure TOC Caption"/>
    <w:basedOn w:val="Heading2"/>
    <w:link w:val="FigureTOCCaptionChar"/>
    <w:qFormat/>
    <w:rsid w:val="006D76AB"/>
    <w:pPr>
      <w:spacing w:before="240"/>
    </w:pPr>
  </w:style>
  <w:style w:type="paragraph" w:customStyle="1" w:styleId="TableTOC">
    <w:name w:val="Table TOC"/>
    <w:basedOn w:val="FigureTOCCaption"/>
    <w:link w:val="TableTOCChar"/>
    <w:qFormat/>
    <w:rsid w:val="00FA1756"/>
    <w:pPr>
      <w:spacing w:after="120" w:line="240" w:lineRule="auto"/>
      <w:jc w:val="both"/>
    </w:pPr>
    <w:rPr>
      <w:bCs/>
      <w:iCs/>
    </w:rPr>
  </w:style>
  <w:style w:type="character" w:customStyle="1" w:styleId="FigureTOCCaptionChar">
    <w:name w:val="Figure TOC Caption Char"/>
    <w:basedOn w:val="Heading2Char"/>
    <w:link w:val="FigureTOCCaption"/>
    <w:rsid w:val="006D76AB"/>
    <w:rPr>
      <w:rFonts w:ascii="Times New Roman" w:eastAsiaTheme="majorEastAsia" w:hAnsi="Times New Roman" w:cstheme="majorBidi"/>
      <w:b/>
      <w:szCs w:val="26"/>
      <w:lang w:val="en-US"/>
    </w:rPr>
  </w:style>
  <w:style w:type="character" w:customStyle="1" w:styleId="TableTOCChar">
    <w:name w:val="Table TOC Char"/>
    <w:basedOn w:val="FigureTOCCaptionChar"/>
    <w:link w:val="TableTOC"/>
    <w:rsid w:val="00FA1756"/>
    <w:rPr>
      <w:rFonts w:ascii="Times New Roman" w:eastAsiaTheme="majorEastAsia" w:hAnsi="Times New Roman" w:cstheme="majorBidi"/>
      <w:b/>
      <w:bCs/>
      <w:iCs/>
      <w:szCs w:val="26"/>
      <w:lang w:val="en-US"/>
    </w:rPr>
  </w:style>
  <w:style w:type="character" w:customStyle="1" w:styleId="WW8Num2z0">
    <w:name w:val="WW8Num2z0"/>
    <w:rsid w:val="00C20FCD"/>
    <w:rPr>
      <w:rFonts w:ascii="Symbol" w:hAnsi="Symbol" w:cs="OpenSymbol"/>
    </w:rPr>
  </w:style>
  <w:style w:type="paragraph" w:customStyle="1" w:styleId="font5">
    <w:name w:val="font5"/>
    <w:basedOn w:val="Normal"/>
    <w:rsid w:val="00CE1976"/>
    <w:pPr>
      <w:spacing w:before="100" w:beforeAutospacing="1" w:after="100" w:afterAutospacing="1"/>
    </w:pPr>
    <w:rPr>
      <w:rFonts w:ascii="Arial" w:eastAsia="Arial Unicode MS" w:hAnsi="Arial" w:cs="Arial"/>
      <w:b/>
      <w:bCs/>
      <w:sz w:val="20"/>
      <w:szCs w:val="20"/>
    </w:rPr>
  </w:style>
  <w:style w:type="paragraph" w:customStyle="1" w:styleId="xl35">
    <w:name w:val="xl35"/>
    <w:basedOn w:val="Normal"/>
    <w:rsid w:val="00CE1976"/>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Default">
    <w:name w:val="Default"/>
    <w:rsid w:val="00CE1976"/>
    <w:pPr>
      <w:autoSpaceDE w:val="0"/>
      <w:autoSpaceDN w:val="0"/>
      <w:adjustRightInd w:val="0"/>
    </w:pPr>
    <w:rPr>
      <w:rFonts w:ascii="Times New Roman" w:eastAsia="Calibri" w:hAnsi="Times New Roman" w:cs="Times New Roman"/>
      <w:color w:val="000000"/>
    </w:rPr>
  </w:style>
  <w:style w:type="paragraph" w:styleId="BodyText">
    <w:name w:val="Body Text"/>
    <w:basedOn w:val="Normal"/>
    <w:link w:val="BodyTextChar"/>
    <w:uiPriority w:val="99"/>
    <w:rsid w:val="00CE1976"/>
    <w:rPr>
      <w:rFonts w:ascii="Arial" w:hAnsi="Arial"/>
      <w:sz w:val="18"/>
      <w:szCs w:val="22"/>
    </w:rPr>
  </w:style>
  <w:style w:type="character" w:customStyle="1" w:styleId="BodyTextChar">
    <w:name w:val="Body Text Char"/>
    <w:basedOn w:val="DefaultParagraphFont"/>
    <w:link w:val="BodyText"/>
    <w:uiPriority w:val="99"/>
    <w:rsid w:val="00CE1976"/>
    <w:rPr>
      <w:rFonts w:ascii="Arial" w:eastAsia="Times New Roman" w:hAnsi="Arial" w:cs="Times New Roman"/>
      <w:sz w:val="18"/>
      <w:szCs w:val="22"/>
    </w:rPr>
  </w:style>
  <w:style w:type="paragraph" w:styleId="BodyText3">
    <w:name w:val="Body Text 3"/>
    <w:basedOn w:val="Normal"/>
    <w:link w:val="BodyText3Char"/>
    <w:semiHidden/>
    <w:rsid w:val="00CE1976"/>
    <w:rPr>
      <w:rFonts w:ascii="Arial" w:eastAsia="Arial Unicode MS" w:hAnsi="Arial"/>
      <w:b/>
      <w:bCs/>
      <w:sz w:val="18"/>
      <w:szCs w:val="20"/>
    </w:rPr>
  </w:style>
  <w:style w:type="character" w:customStyle="1" w:styleId="BodyText3Char">
    <w:name w:val="Body Text 3 Char"/>
    <w:basedOn w:val="DefaultParagraphFont"/>
    <w:link w:val="BodyText3"/>
    <w:semiHidden/>
    <w:rsid w:val="00CE1976"/>
    <w:rPr>
      <w:rFonts w:ascii="Arial" w:eastAsia="Arial Unicode MS" w:hAnsi="Arial" w:cs="Times New Roman"/>
      <w:b/>
      <w:bCs/>
      <w:sz w:val="18"/>
      <w:szCs w:val="20"/>
    </w:rPr>
  </w:style>
  <w:style w:type="paragraph" w:customStyle="1" w:styleId="font9">
    <w:name w:val="font9"/>
    <w:basedOn w:val="Normal"/>
    <w:rsid w:val="00CE1976"/>
    <w:pPr>
      <w:spacing w:before="100" w:beforeAutospacing="1" w:after="100" w:afterAutospacing="1"/>
    </w:pPr>
    <w:rPr>
      <w:rFonts w:ascii="Arial" w:eastAsia="Arial Unicode MS" w:hAnsi="Arial" w:cs="Arial"/>
      <w:b/>
      <w:bCs/>
    </w:rPr>
  </w:style>
  <w:style w:type="paragraph" w:customStyle="1" w:styleId="ColorfulList-Accent11">
    <w:name w:val="Colorful List - Accent 11"/>
    <w:basedOn w:val="Normal"/>
    <w:uiPriority w:val="34"/>
    <w:qFormat/>
    <w:rsid w:val="00CE1976"/>
    <w:pPr>
      <w:ind w:left="720"/>
      <w:contextualSpacing/>
    </w:pPr>
  </w:style>
  <w:style w:type="paragraph" w:styleId="Subtitle">
    <w:name w:val="Subtitle"/>
    <w:basedOn w:val="Normal"/>
    <w:link w:val="SubtitleChar"/>
    <w:qFormat/>
    <w:rsid w:val="00CE1976"/>
    <w:rPr>
      <w:szCs w:val="20"/>
      <w:lang w:val="en-US"/>
    </w:rPr>
  </w:style>
  <w:style w:type="character" w:customStyle="1" w:styleId="SubtitleChar">
    <w:name w:val="Subtitle Char"/>
    <w:basedOn w:val="DefaultParagraphFont"/>
    <w:link w:val="Subtitle"/>
    <w:rsid w:val="00CE1976"/>
    <w:rPr>
      <w:rFonts w:ascii="Times New Roman" w:eastAsia="Times New Roman" w:hAnsi="Times New Roman" w:cs="Times New Roman"/>
      <w:szCs w:val="20"/>
      <w:lang w:val="en-US"/>
    </w:rPr>
  </w:style>
  <w:style w:type="paragraph" w:customStyle="1" w:styleId="ColorfulShading-Accent11">
    <w:name w:val="Colorful Shading - Accent 11"/>
    <w:hidden/>
    <w:uiPriority w:val="99"/>
    <w:semiHidden/>
    <w:rsid w:val="00CE1976"/>
    <w:rPr>
      <w:rFonts w:ascii="Times New Roman" w:eastAsia="Times New Roman" w:hAnsi="Times New Roman" w:cs="Times New Roman"/>
    </w:rPr>
  </w:style>
  <w:style w:type="paragraph" w:styleId="Title">
    <w:name w:val="Title"/>
    <w:basedOn w:val="Normal"/>
    <w:next w:val="Normal"/>
    <w:link w:val="TitleChar"/>
    <w:uiPriority w:val="10"/>
    <w:qFormat/>
    <w:rsid w:val="00CE1976"/>
    <w:pPr>
      <w:contextualSpacing/>
    </w:pPr>
    <w:rPr>
      <w:rFonts w:asciiTheme="majorHAnsi" w:eastAsiaTheme="majorEastAsia" w:hAnsiTheme="majorHAnsi" w:cstheme="majorBidi"/>
      <w:spacing w:val="-10"/>
      <w:kern w:val="28"/>
      <w:sz w:val="56"/>
      <w:szCs w:val="50"/>
      <w:lang w:bidi="sd-Deva-IN"/>
    </w:rPr>
  </w:style>
  <w:style w:type="character" w:customStyle="1" w:styleId="TitleChar">
    <w:name w:val="Title Char"/>
    <w:basedOn w:val="DefaultParagraphFont"/>
    <w:link w:val="Title"/>
    <w:uiPriority w:val="10"/>
    <w:rsid w:val="00CE1976"/>
    <w:rPr>
      <w:rFonts w:asciiTheme="majorHAnsi" w:eastAsiaTheme="majorEastAsia" w:hAnsiTheme="majorHAnsi" w:cstheme="majorBidi"/>
      <w:spacing w:val="-10"/>
      <w:kern w:val="28"/>
      <w:sz w:val="56"/>
      <w:szCs w:val="50"/>
      <w:lang w:bidi="sd-Deva-IN"/>
    </w:rPr>
  </w:style>
  <w:style w:type="numbering" w:customStyle="1" w:styleId="NoList6">
    <w:name w:val="No List6"/>
    <w:next w:val="NoList"/>
    <w:uiPriority w:val="99"/>
    <w:semiHidden/>
    <w:unhideWhenUsed/>
    <w:rsid w:val="005858CD"/>
  </w:style>
  <w:style w:type="numbering" w:customStyle="1" w:styleId="NoList12">
    <w:name w:val="No List12"/>
    <w:next w:val="NoList"/>
    <w:uiPriority w:val="99"/>
    <w:semiHidden/>
    <w:unhideWhenUsed/>
    <w:rsid w:val="005858CD"/>
  </w:style>
  <w:style w:type="table" w:customStyle="1" w:styleId="TableGrid3">
    <w:name w:val="Table Grid3"/>
    <w:basedOn w:val="TableNormal"/>
    <w:next w:val="TableGrid"/>
    <w:uiPriority w:val="39"/>
    <w:rsid w:val="005858CD"/>
    <w:rPr>
      <w:rFonts w:ascii="Calibri" w:eastAsia="Calibri" w:hAnsi="Calibri" w:cs="Times New Roman"/>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F74EB"/>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4F74EB"/>
    <w:pPr>
      <w:spacing w:before="120" w:after="100"/>
    </w:pPr>
    <w:rPr>
      <w:lang w:val="en-US"/>
    </w:rPr>
  </w:style>
  <w:style w:type="paragraph" w:styleId="TOC2">
    <w:name w:val="toc 2"/>
    <w:basedOn w:val="Normal"/>
    <w:next w:val="Normal"/>
    <w:autoRedefine/>
    <w:uiPriority w:val="39"/>
    <w:unhideWhenUsed/>
    <w:rsid w:val="004F74EB"/>
    <w:pPr>
      <w:spacing w:before="120" w:after="100"/>
      <w:ind w:left="240"/>
    </w:pPr>
    <w:rPr>
      <w:lang w:val="en-US"/>
    </w:rPr>
  </w:style>
  <w:style w:type="paragraph" w:styleId="TOC3">
    <w:name w:val="toc 3"/>
    <w:basedOn w:val="Normal"/>
    <w:next w:val="Normal"/>
    <w:autoRedefine/>
    <w:uiPriority w:val="39"/>
    <w:unhideWhenUsed/>
    <w:rsid w:val="004F74EB"/>
    <w:pPr>
      <w:spacing w:before="120" w:after="100"/>
      <w:ind w:left="480"/>
    </w:pPr>
    <w:rPr>
      <w:lang w:val="en-US"/>
    </w:rPr>
  </w:style>
  <w:style w:type="paragraph" w:styleId="TOC4">
    <w:name w:val="toc 4"/>
    <w:basedOn w:val="Normal"/>
    <w:next w:val="Normal"/>
    <w:autoRedefine/>
    <w:uiPriority w:val="39"/>
    <w:unhideWhenUsed/>
    <w:rsid w:val="004F74EB"/>
    <w:pPr>
      <w:spacing w:before="120" w:after="100"/>
      <w:ind w:left="720"/>
    </w:pPr>
    <w:rPr>
      <w:lang w:val="en-US"/>
    </w:rPr>
  </w:style>
  <w:style w:type="paragraph" w:styleId="NoSpacing">
    <w:name w:val="No Spacing"/>
    <w:uiPriority w:val="1"/>
    <w:qFormat/>
    <w:rsid w:val="00586F14"/>
    <w:rPr>
      <w:rFonts w:ascii="Times New Roman" w:eastAsia="Times New Roman" w:hAnsi="Times New Roman" w:cs="Times New Roman"/>
      <w:lang w:val="en-US"/>
    </w:rPr>
  </w:style>
  <w:style w:type="paragraph" w:customStyle="1" w:styleId="PlateTOC">
    <w:name w:val="Plate TOC"/>
    <w:basedOn w:val="Heading3"/>
    <w:link w:val="PlateTOCChar"/>
    <w:qFormat/>
    <w:rsid w:val="00996FA3"/>
    <w:pPr>
      <w:spacing w:before="240" w:after="120"/>
    </w:pPr>
  </w:style>
  <w:style w:type="paragraph" w:styleId="TOC5">
    <w:name w:val="toc 5"/>
    <w:basedOn w:val="Normal"/>
    <w:next w:val="Normal"/>
    <w:autoRedefine/>
    <w:uiPriority w:val="39"/>
    <w:unhideWhenUsed/>
    <w:rsid w:val="008C041F"/>
    <w:pPr>
      <w:spacing w:after="100" w:line="259" w:lineRule="auto"/>
      <w:ind w:left="880"/>
    </w:pPr>
    <w:rPr>
      <w:rFonts w:asciiTheme="minorHAnsi" w:eastAsiaTheme="minorEastAsia" w:hAnsiTheme="minorHAnsi" w:cstheme="minorBidi"/>
      <w:sz w:val="22"/>
      <w:szCs w:val="22"/>
      <w:lang w:val="en-US"/>
    </w:rPr>
  </w:style>
  <w:style w:type="character" w:customStyle="1" w:styleId="PlateTOCChar">
    <w:name w:val="Plate TOC Char"/>
    <w:basedOn w:val="Heading3Char"/>
    <w:link w:val="PlateTOC"/>
    <w:rsid w:val="00996FA3"/>
    <w:rPr>
      <w:rFonts w:ascii="Times New Roman" w:eastAsiaTheme="majorEastAsia" w:hAnsi="Times New Roman" w:cstheme="majorBidi"/>
      <w:b/>
    </w:rPr>
  </w:style>
  <w:style w:type="paragraph" w:styleId="TOC6">
    <w:name w:val="toc 6"/>
    <w:basedOn w:val="Normal"/>
    <w:next w:val="Normal"/>
    <w:autoRedefine/>
    <w:uiPriority w:val="39"/>
    <w:unhideWhenUsed/>
    <w:rsid w:val="008C041F"/>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C041F"/>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C041F"/>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C041F"/>
    <w:pPr>
      <w:spacing w:after="100" w:line="259" w:lineRule="auto"/>
      <w:ind w:left="1760"/>
    </w:pPr>
    <w:rPr>
      <w:rFonts w:asciiTheme="minorHAnsi" w:eastAsiaTheme="minorEastAsia" w:hAnsiTheme="minorHAnsi" w:cstheme="minorBidi"/>
      <w:sz w:val="22"/>
      <w:szCs w:val="22"/>
      <w:lang w:val="en-US"/>
    </w:rPr>
  </w:style>
  <w:style w:type="paragraph" w:styleId="TableofFigures">
    <w:name w:val="table of figures"/>
    <w:basedOn w:val="Normal"/>
    <w:next w:val="Normal"/>
    <w:uiPriority w:val="99"/>
    <w:unhideWhenUsed/>
    <w:rsid w:val="009F66D2"/>
    <w:pPr>
      <w:spacing w:before="120"/>
    </w:pPr>
    <w:rPr>
      <w:lang w:val="en-US"/>
    </w:rPr>
  </w:style>
  <w:style w:type="paragraph" w:styleId="Index1">
    <w:name w:val="index 1"/>
    <w:basedOn w:val="Normal"/>
    <w:next w:val="Normal"/>
    <w:autoRedefine/>
    <w:uiPriority w:val="99"/>
    <w:semiHidden/>
    <w:unhideWhenUsed/>
    <w:rsid w:val="009F66D2"/>
    <w:pPr>
      <w:ind w:left="240" w:hanging="240"/>
    </w:pPr>
    <w:rPr>
      <w:lang w:val="en-US"/>
    </w:rPr>
  </w:style>
  <w:style w:type="numbering" w:customStyle="1" w:styleId="NoList7">
    <w:name w:val="No List7"/>
    <w:next w:val="NoList"/>
    <w:uiPriority w:val="99"/>
    <w:semiHidden/>
    <w:unhideWhenUsed/>
    <w:rsid w:val="00AD0B1F"/>
  </w:style>
  <w:style w:type="paragraph" w:customStyle="1" w:styleId="NoSpacing1">
    <w:name w:val="No Spacing1"/>
    <w:uiPriority w:val="1"/>
    <w:qFormat/>
    <w:rsid w:val="00AD0B1F"/>
    <w:rPr>
      <w:rFonts w:ascii="Times New Roman" w:eastAsia="Calibri" w:hAnsi="Times New Roman" w:cs="Times New Roman"/>
      <w:lang w:eastAsia="en-GB"/>
    </w:rPr>
  </w:style>
  <w:style w:type="character" w:customStyle="1" w:styleId="italic">
    <w:name w:val="italic"/>
    <w:basedOn w:val="DefaultParagraphFont"/>
    <w:rsid w:val="00AD0B1F"/>
  </w:style>
  <w:style w:type="character" w:customStyle="1" w:styleId="current-selection">
    <w:name w:val="current-selection"/>
    <w:basedOn w:val="DefaultParagraphFont"/>
    <w:rsid w:val="00AD0B1F"/>
  </w:style>
  <w:style w:type="character" w:customStyle="1" w:styleId="fc3">
    <w:name w:val="fc3"/>
    <w:basedOn w:val="DefaultParagraphFont"/>
    <w:rsid w:val="00AD0B1F"/>
  </w:style>
  <w:style w:type="character" w:customStyle="1" w:styleId="ls2">
    <w:name w:val="ls2"/>
    <w:basedOn w:val="DefaultParagraphFont"/>
    <w:rsid w:val="00AD0B1F"/>
  </w:style>
  <w:style w:type="character" w:customStyle="1" w:styleId="bibliographic-informationtitle">
    <w:name w:val="bibliographic-information__title"/>
    <w:basedOn w:val="DefaultParagraphFont"/>
    <w:rsid w:val="00AD0B1F"/>
  </w:style>
  <w:style w:type="character" w:customStyle="1" w:styleId="bibliographic-informationvalue">
    <w:name w:val="bibliographic-information__value"/>
    <w:basedOn w:val="DefaultParagraphFont"/>
    <w:rsid w:val="00AD0B1F"/>
  </w:style>
  <w:style w:type="character" w:customStyle="1" w:styleId="opaccatimpl">
    <w:name w:val="opaccatimpl"/>
    <w:basedOn w:val="DefaultParagraphFont"/>
    <w:rsid w:val="00AD0B1F"/>
  </w:style>
  <w:style w:type="character" w:customStyle="1" w:styleId="opaccatimug">
    <w:name w:val="opaccatimug"/>
    <w:basedOn w:val="DefaultParagraphFont"/>
    <w:rsid w:val="00AD0B1F"/>
  </w:style>
  <w:style w:type="character" w:customStyle="1" w:styleId="UnresolvedMention1">
    <w:name w:val="Unresolved Mention1"/>
    <w:basedOn w:val="DefaultParagraphFont"/>
    <w:uiPriority w:val="99"/>
    <w:rsid w:val="00A5389C"/>
    <w:rPr>
      <w:color w:val="605E5C"/>
      <w:shd w:val="clear" w:color="auto" w:fill="E1DFDD"/>
    </w:rPr>
  </w:style>
  <w:style w:type="character" w:customStyle="1" w:styleId="UnresolvedMention2">
    <w:name w:val="Unresolved Mention2"/>
    <w:basedOn w:val="DefaultParagraphFont"/>
    <w:uiPriority w:val="99"/>
    <w:semiHidden/>
    <w:unhideWhenUsed/>
    <w:rsid w:val="00FB3E5E"/>
    <w:rPr>
      <w:color w:val="605E5C"/>
      <w:shd w:val="clear" w:color="auto" w:fill="E1DFDD"/>
    </w:rPr>
  </w:style>
  <w:style w:type="paragraph" w:customStyle="1" w:styleId="NoSpacing2">
    <w:name w:val="No Spacing2"/>
    <w:uiPriority w:val="1"/>
    <w:qFormat/>
    <w:rsid w:val="007A6126"/>
    <w:rPr>
      <w:rFonts w:ascii="Times New Roman" w:eastAsia="Calibri" w:hAnsi="Times New Roman" w:cs="Times New Roman"/>
      <w:lang w:eastAsia="en-GB"/>
    </w:rPr>
  </w:style>
  <w:style w:type="character" w:customStyle="1" w:styleId="UnresolvedMention3">
    <w:name w:val="Unresolved Mention3"/>
    <w:uiPriority w:val="99"/>
    <w:semiHidden/>
    <w:unhideWhenUsed/>
    <w:rsid w:val="007A6126"/>
    <w:rPr>
      <w:color w:val="605E5C"/>
      <w:shd w:val="clear" w:color="auto" w:fill="E1DFDD"/>
    </w:rPr>
  </w:style>
  <w:style w:type="character" w:customStyle="1" w:styleId="UnresolvedMention4">
    <w:name w:val="Unresolved Mention4"/>
    <w:basedOn w:val="DefaultParagraphFont"/>
    <w:uiPriority w:val="99"/>
    <w:semiHidden/>
    <w:unhideWhenUsed/>
    <w:rsid w:val="008D48C0"/>
    <w:rPr>
      <w:color w:val="605E5C"/>
      <w:shd w:val="clear" w:color="auto" w:fill="E1DFDD"/>
    </w:rPr>
  </w:style>
  <w:style w:type="character" w:customStyle="1" w:styleId="UnresolvedMention5">
    <w:name w:val="Unresolved Mention5"/>
    <w:basedOn w:val="DefaultParagraphFont"/>
    <w:uiPriority w:val="99"/>
    <w:semiHidden/>
    <w:unhideWhenUsed/>
    <w:rsid w:val="008539C0"/>
    <w:rPr>
      <w:color w:val="605E5C"/>
      <w:shd w:val="clear" w:color="auto" w:fill="E1DFDD"/>
    </w:rPr>
  </w:style>
  <w:style w:type="character" w:customStyle="1" w:styleId="UnresolvedMention6">
    <w:name w:val="Unresolved Mention6"/>
    <w:basedOn w:val="DefaultParagraphFont"/>
    <w:uiPriority w:val="99"/>
    <w:semiHidden/>
    <w:unhideWhenUsed/>
    <w:rsid w:val="00B172B8"/>
    <w:rPr>
      <w:color w:val="605E5C"/>
      <w:shd w:val="clear" w:color="auto" w:fill="E1DFDD"/>
    </w:rPr>
  </w:style>
  <w:style w:type="character" w:customStyle="1" w:styleId="UnresolvedMention">
    <w:name w:val="Unresolved Mention"/>
    <w:basedOn w:val="DefaultParagraphFont"/>
    <w:uiPriority w:val="99"/>
    <w:rsid w:val="00A96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619">
      <w:bodyDiv w:val="1"/>
      <w:marLeft w:val="0"/>
      <w:marRight w:val="0"/>
      <w:marTop w:val="0"/>
      <w:marBottom w:val="0"/>
      <w:divBdr>
        <w:top w:val="none" w:sz="0" w:space="0" w:color="auto"/>
        <w:left w:val="none" w:sz="0" w:space="0" w:color="auto"/>
        <w:bottom w:val="none" w:sz="0" w:space="0" w:color="auto"/>
        <w:right w:val="none" w:sz="0" w:space="0" w:color="auto"/>
      </w:divBdr>
    </w:div>
    <w:div w:id="2171927">
      <w:bodyDiv w:val="1"/>
      <w:marLeft w:val="0"/>
      <w:marRight w:val="0"/>
      <w:marTop w:val="0"/>
      <w:marBottom w:val="0"/>
      <w:divBdr>
        <w:top w:val="none" w:sz="0" w:space="0" w:color="auto"/>
        <w:left w:val="none" w:sz="0" w:space="0" w:color="auto"/>
        <w:bottom w:val="none" w:sz="0" w:space="0" w:color="auto"/>
        <w:right w:val="none" w:sz="0" w:space="0" w:color="auto"/>
      </w:divBdr>
      <w:divsChild>
        <w:div w:id="368645051">
          <w:marLeft w:val="0"/>
          <w:marRight w:val="0"/>
          <w:marTop w:val="0"/>
          <w:marBottom w:val="0"/>
          <w:divBdr>
            <w:top w:val="none" w:sz="0" w:space="0" w:color="auto"/>
            <w:left w:val="none" w:sz="0" w:space="0" w:color="auto"/>
            <w:bottom w:val="none" w:sz="0" w:space="0" w:color="auto"/>
            <w:right w:val="none" w:sz="0" w:space="0" w:color="auto"/>
          </w:divBdr>
          <w:divsChild>
            <w:div w:id="1126507119">
              <w:marLeft w:val="0"/>
              <w:marRight w:val="0"/>
              <w:marTop w:val="0"/>
              <w:marBottom w:val="0"/>
              <w:divBdr>
                <w:top w:val="none" w:sz="0" w:space="0" w:color="auto"/>
                <w:left w:val="none" w:sz="0" w:space="0" w:color="auto"/>
                <w:bottom w:val="none" w:sz="0" w:space="0" w:color="auto"/>
                <w:right w:val="none" w:sz="0" w:space="0" w:color="auto"/>
              </w:divBdr>
              <w:divsChild>
                <w:div w:id="3415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923">
      <w:bodyDiv w:val="1"/>
      <w:marLeft w:val="0"/>
      <w:marRight w:val="0"/>
      <w:marTop w:val="0"/>
      <w:marBottom w:val="0"/>
      <w:divBdr>
        <w:top w:val="none" w:sz="0" w:space="0" w:color="auto"/>
        <w:left w:val="none" w:sz="0" w:space="0" w:color="auto"/>
        <w:bottom w:val="none" w:sz="0" w:space="0" w:color="auto"/>
        <w:right w:val="none" w:sz="0" w:space="0" w:color="auto"/>
      </w:divBdr>
      <w:divsChild>
        <w:div w:id="1985308355">
          <w:marLeft w:val="0"/>
          <w:marRight w:val="0"/>
          <w:marTop w:val="0"/>
          <w:marBottom w:val="0"/>
          <w:divBdr>
            <w:top w:val="none" w:sz="0" w:space="0" w:color="auto"/>
            <w:left w:val="none" w:sz="0" w:space="0" w:color="auto"/>
            <w:bottom w:val="none" w:sz="0" w:space="0" w:color="auto"/>
            <w:right w:val="none" w:sz="0" w:space="0" w:color="auto"/>
          </w:divBdr>
          <w:divsChild>
            <w:div w:id="894970345">
              <w:marLeft w:val="0"/>
              <w:marRight w:val="0"/>
              <w:marTop w:val="0"/>
              <w:marBottom w:val="0"/>
              <w:divBdr>
                <w:top w:val="none" w:sz="0" w:space="0" w:color="auto"/>
                <w:left w:val="none" w:sz="0" w:space="0" w:color="auto"/>
                <w:bottom w:val="none" w:sz="0" w:space="0" w:color="auto"/>
                <w:right w:val="none" w:sz="0" w:space="0" w:color="auto"/>
              </w:divBdr>
              <w:divsChild>
                <w:div w:id="1163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071">
      <w:bodyDiv w:val="1"/>
      <w:marLeft w:val="0"/>
      <w:marRight w:val="0"/>
      <w:marTop w:val="0"/>
      <w:marBottom w:val="0"/>
      <w:divBdr>
        <w:top w:val="none" w:sz="0" w:space="0" w:color="auto"/>
        <w:left w:val="none" w:sz="0" w:space="0" w:color="auto"/>
        <w:bottom w:val="none" w:sz="0" w:space="0" w:color="auto"/>
        <w:right w:val="none" w:sz="0" w:space="0" w:color="auto"/>
      </w:divBdr>
    </w:div>
    <w:div w:id="15039267">
      <w:bodyDiv w:val="1"/>
      <w:marLeft w:val="0"/>
      <w:marRight w:val="0"/>
      <w:marTop w:val="0"/>
      <w:marBottom w:val="0"/>
      <w:divBdr>
        <w:top w:val="none" w:sz="0" w:space="0" w:color="auto"/>
        <w:left w:val="none" w:sz="0" w:space="0" w:color="auto"/>
        <w:bottom w:val="none" w:sz="0" w:space="0" w:color="auto"/>
        <w:right w:val="none" w:sz="0" w:space="0" w:color="auto"/>
      </w:divBdr>
    </w:div>
    <w:div w:id="21521027">
      <w:bodyDiv w:val="1"/>
      <w:marLeft w:val="0"/>
      <w:marRight w:val="0"/>
      <w:marTop w:val="0"/>
      <w:marBottom w:val="0"/>
      <w:divBdr>
        <w:top w:val="none" w:sz="0" w:space="0" w:color="auto"/>
        <w:left w:val="none" w:sz="0" w:space="0" w:color="auto"/>
        <w:bottom w:val="none" w:sz="0" w:space="0" w:color="auto"/>
        <w:right w:val="none" w:sz="0" w:space="0" w:color="auto"/>
      </w:divBdr>
    </w:div>
    <w:div w:id="24445819">
      <w:bodyDiv w:val="1"/>
      <w:marLeft w:val="0"/>
      <w:marRight w:val="0"/>
      <w:marTop w:val="0"/>
      <w:marBottom w:val="0"/>
      <w:divBdr>
        <w:top w:val="none" w:sz="0" w:space="0" w:color="auto"/>
        <w:left w:val="none" w:sz="0" w:space="0" w:color="auto"/>
        <w:bottom w:val="none" w:sz="0" w:space="0" w:color="auto"/>
        <w:right w:val="none" w:sz="0" w:space="0" w:color="auto"/>
      </w:divBdr>
      <w:divsChild>
        <w:div w:id="647629454">
          <w:marLeft w:val="0"/>
          <w:marRight w:val="0"/>
          <w:marTop w:val="0"/>
          <w:marBottom w:val="0"/>
          <w:divBdr>
            <w:top w:val="none" w:sz="0" w:space="0" w:color="auto"/>
            <w:left w:val="none" w:sz="0" w:space="0" w:color="auto"/>
            <w:bottom w:val="none" w:sz="0" w:space="0" w:color="auto"/>
            <w:right w:val="none" w:sz="0" w:space="0" w:color="auto"/>
          </w:divBdr>
          <w:divsChild>
            <w:div w:id="677581586">
              <w:marLeft w:val="0"/>
              <w:marRight w:val="0"/>
              <w:marTop w:val="0"/>
              <w:marBottom w:val="0"/>
              <w:divBdr>
                <w:top w:val="none" w:sz="0" w:space="0" w:color="auto"/>
                <w:left w:val="none" w:sz="0" w:space="0" w:color="auto"/>
                <w:bottom w:val="none" w:sz="0" w:space="0" w:color="auto"/>
                <w:right w:val="none" w:sz="0" w:space="0" w:color="auto"/>
              </w:divBdr>
              <w:divsChild>
                <w:div w:id="804082608">
                  <w:marLeft w:val="0"/>
                  <w:marRight w:val="0"/>
                  <w:marTop w:val="0"/>
                  <w:marBottom w:val="0"/>
                  <w:divBdr>
                    <w:top w:val="none" w:sz="0" w:space="0" w:color="auto"/>
                    <w:left w:val="none" w:sz="0" w:space="0" w:color="auto"/>
                    <w:bottom w:val="none" w:sz="0" w:space="0" w:color="auto"/>
                    <w:right w:val="none" w:sz="0" w:space="0" w:color="auto"/>
                  </w:divBdr>
                  <w:divsChild>
                    <w:div w:id="9528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1792">
      <w:bodyDiv w:val="1"/>
      <w:marLeft w:val="0"/>
      <w:marRight w:val="0"/>
      <w:marTop w:val="0"/>
      <w:marBottom w:val="0"/>
      <w:divBdr>
        <w:top w:val="none" w:sz="0" w:space="0" w:color="auto"/>
        <w:left w:val="none" w:sz="0" w:space="0" w:color="auto"/>
        <w:bottom w:val="none" w:sz="0" w:space="0" w:color="auto"/>
        <w:right w:val="none" w:sz="0" w:space="0" w:color="auto"/>
      </w:divBdr>
      <w:divsChild>
        <w:div w:id="200556205">
          <w:marLeft w:val="0"/>
          <w:marRight w:val="0"/>
          <w:marTop w:val="0"/>
          <w:marBottom w:val="0"/>
          <w:divBdr>
            <w:top w:val="none" w:sz="0" w:space="0" w:color="auto"/>
            <w:left w:val="none" w:sz="0" w:space="0" w:color="auto"/>
            <w:bottom w:val="none" w:sz="0" w:space="0" w:color="auto"/>
            <w:right w:val="none" w:sz="0" w:space="0" w:color="auto"/>
          </w:divBdr>
          <w:divsChild>
            <w:div w:id="74670387">
              <w:marLeft w:val="0"/>
              <w:marRight w:val="0"/>
              <w:marTop w:val="0"/>
              <w:marBottom w:val="0"/>
              <w:divBdr>
                <w:top w:val="none" w:sz="0" w:space="0" w:color="auto"/>
                <w:left w:val="none" w:sz="0" w:space="0" w:color="auto"/>
                <w:bottom w:val="none" w:sz="0" w:space="0" w:color="auto"/>
                <w:right w:val="none" w:sz="0" w:space="0" w:color="auto"/>
              </w:divBdr>
              <w:divsChild>
                <w:div w:id="186667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9874">
      <w:bodyDiv w:val="1"/>
      <w:marLeft w:val="0"/>
      <w:marRight w:val="0"/>
      <w:marTop w:val="0"/>
      <w:marBottom w:val="0"/>
      <w:divBdr>
        <w:top w:val="none" w:sz="0" w:space="0" w:color="auto"/>
        <w:left w:val="none" w:sz="0" w:space="0" w:color="auto"/>
        <w:bottom w:val="none" w:sz="0" w:space="0" w:color="auto"/>
        <w:right w:val="none" w:sz="0" w:space="0" w:color="auto"/>
      </w:divBdr>
      <w:divsChild>
        <w:div w:id="652611527">
          <w:marLeft w:val="0"/>
          <w:marRight w:val="0"/>
          <w:marTop w:val="0"/>
          <w:marBottom w:val="0"/>
          <w:divBdr>
            <w:top w:val="none" w:sz="0" w:space="0" w:color="auto"/>
            <w:left w:val="none" w:sz="0" w:space="0" w:color="auto"/>
            <w:bottom w:val="none" w:sz="0" w:space="0" w:color="auto"/>
            <w:right w:val="none" w:sz="0" w:space="0" w:color="auto"/>
          </w:divBdr>
        </w:div>
        <w:div w:id="1075514282">
          <w:marLeft w:val="0"/>
          <w:marRight w:val="0"/>
          <w:marTop w:val="0"/>
          <w:marBottom w:val="0"/>
          <w:divBdr>
            <w:top w:val="none" w:sz="0" w:space="0" w:color="auto"/>
            <w:left w:val="none" w:sz="0" w:space="0" w:color="auto"/>
            <w:bottom w:val="none" w:sz="0" w:space="0" w:color="auto"/>
            <w:right w:val="none" w:sz="0" w:space="0" w:color="auto"/>
          </w:divBdr>
        </w:div>
        <w:div w:id="1235168756">
          <w:marLeft w:val="0"/>
          <w:marRight w:val="0"/>
          <w:marTop w:val="0"/>
          <w:marBottom w:val="0"/>
          <w:divBdr>
            <w:top w:val="none" w:sz="0" w:space="0" w:color="auto"/>
            <w:left w:val="none" w:sz="0" w:space="0" w:color="auto"/>
            <w:bottom w:val="none" w:sz="0" w:space="0" w:color="auto"/>
            <w:right w:val="none" w:sz="0" w:space="0" w:color="auto"/>
          </w:divBdr>
        </w:div>
        <w:div w:id="2056806035">
          <w:marLeft w:val="0"/>
          <w:marRight w:val="0"/>
          <w:marTop w:val="0"/>
          <w:marBottom w:val="0"/>
          <w:divBdr>
            <w:top w:val="none" w:sz="0" w:space="0" w:color="auto"/>
            <w:left w:val="none" w:sz="0" w:space="0" w:color="auto"/>
            <w:bottom w:val="none" w:sz="0" w:space="0" w:color="auto"/>
            <w:right w:val="none" w:sz="0" w:space="0" w:color="auto"/>
          </w:divBdr>
        </w:div>
        <w:div w:id="2099406448">
          <w:marLeft w:val="0"/>
          <w:marRight w:val="0"/>
          <w:marTop w:val="0"/>
          <w:marBottom w:val="0"/>
          <w:divBdr>
            <w:top w:val="none" w:sz="0" w:space="0" w:color="auto"/>
            <w:left w:val="none" w:sz="0" w:space="0" w:color="auto"/>
            <w:bottom w:val="none" w:sz="0" w:space="0" w:color="auto"/>
            <w:right w:val="none" w:sz="0" w:space="0" w:color="auto"/>
          </w:divBdr>
        </w:div>
      </w:divsChild>
    </w:div>
    <w:div w:id="42338530">
      <w:bodyDiv w:val="1"/>
      <w:marLeft w:val="0"/>
      <w:marRight w:val="0"/>
      <w:marTop w:val="0"/>
      <w:marBottom w:val="0"/>
      <w:divBdr>
        <w:top w:val="none" w:sz="0" w:space="0" w:color="auto"/>
        <w:left w:val="none" w:sz="0" w:space="0" w:color="auto"/>
        <w:bottom w:val="none" w:sz="0" w:space="0" w:color="auto"/>
        <w:right w:val="none" w:sz="0" w:space="0" w:color="auto"/>
      </w:divBdr>
      <w:divsChild>
        <w:div w:id="1142887068">
          <w:marLeft w:val="0"/>
          <w:marRight w:val="0"/>
          <w:marTop w:val="0"/>
          <w:marBottom w:val="0"/>
          <w:divBdr>
            <w:top w:val="none" w:sz="0" w:space="0" w:color="auto"/>
            <w:left w:val="none" w:sz="0" w:space="0" w:color="auto"/>
            <w:bottom w:val="none" w:sz="0" w:space="0" w:color="auto"/>
            <w:right w:val="none" w:sz="0" w:space="0" w:color="auto"/>
          </w:divBdr>
          <w:divsChild>
            <w:div w:id="2072072226">
              <w:marLeft w:val="0"/>
              <w:marRight w:val="0"/>
              <w:marTop w:val="0"/>
              <w:marBottom w:val="0"/>
              <w:divBdr>
                <w:top w:val="none" w:sz="0" w:space="0" w:color="auto"/>
                <w:left w:val="none" w:sz="0" w:space="0" w:color="auto"/>
                <w:bottom w:val="none" w:sz="0" w:space="0" w:color="auto"/>
                <w:right w:val="none" w:sz="0" w:space="0" w:color="auto"/>
              </w:divBdr>
              <w:divsChild>
                <w:div w:id="14675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6228">
      <w:bodyDiv w:val="1"/>
      <w:marLeft w:val="0"/>
      <w:marRight w:val="0"/>
      <w:marTop w:val="0"/>
      <w:marBottom w:val="0"/>
      <w:divBdr>
        <w:top w:val="none" w:sz="0" w:space="0" w:color="auto"/>
        <w:left w:val="none" w:sz="0" w:space="0" w:color="auto"/>
        <w:bottom w:val="none" w:sz="0" w:space="0" w:color="auto"/>
        <w:right w:val="none" w:sz="0" w:space="0" w:color="auto"/>
      </w:divBdr>
      <w:divsChild>
        <w:div w:id="1223564016">
          <w:marLeft w:val="0"/>
          <w:marRight w:val="0"/>
          <w:marTop w:val="0"/>
          <w:marBottom w:val="0"/>
          <w:divBdr>
            <w:top w:val="none" w:sz="0" w:space="0" w:color="auto"/>
            <w:left w:val="none" w:sz="0" w:space="0" w:color="auto"/>
            <w:bottom w:val="none" w:sz="0" w:space="0" w:color="auto"/>
            <w:right w:val="none" w:sz="0" w:space="0" w:color="auto"/>
          </w:divBdr>
          <w:divsChild>
            <w:div w:id="1746342515">
              <w:marLeft w:val="0"/>
              <w:marRight w:val="0"/>
              <w:marTop w:val="0"/>
              <w:marBottom w:val="0"/>
              <w:divBdr>
                <w:top w:val="none" w:sz="0" w:space="0" w:color="auto"/>
                <w:left w:val="none" w:sz="0" w:space="0" w:color="auto"/>
                <w:bottom w:val="none" w:sz="0" w:space="0" w:color="auto"/>
                <w:right w:val="none" w:sz="0" w:space="0" w:color="auto"/>
              </w:divBdr>
              <w:divsChild>
                <w:div w:id="13741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702">
      <w:bodyDiv w:val="1"/>
      <w:marLeft w:val="0"/>
      <w:marRight w:val="0"/>
      <w:marTop w:val="0"/>
      <w:marBottom w:val="0"/>
      <w:divBdr>
        <w:top w:val="none" w:sz="0" w:space="0" w:color="auto"/>
        <w:left w:val="none" w:sz="0" w:space="0" w:color="auto"/>
        <w:bottom w:val="none" w:sz="0" w:space="0" w:color="auto"/>
        <w:right w:val="none" w:sz="0" w:space="0" w:color="auto"/>
      </w:divBdr>
    </w:div>
    <w:div w:id="50810355">
      <w:bodyDiv w:val="1"/>
      <w:marLeft w:val="0"/>
      <w:marRight w:val="0"/>
      <w:marTop w:val="0"/>
      <w:marBottom w:val="0"/>
      <w:divBdr>
        <w:top w:val="none" w:sz="0" w:space="0" w:color="auto"/>
        <w:left w:val="none" w:sz="0" w:space="0" w:color="auto"/>
        <w:bottom w:val="none" w:sz="0" w:space="0" w:color="auto"/>
        <w:right w:val="none" w:sz="0" w:space="0" w:color="auto"/>
      </w:divBdr>
    </w:div>
    <w:div w:id="66418731">
      <w:bodyDiv w:val="1"/>
      <w:marLeft w:val="0"/>
      <w:marRight w:val="0"/>
      <w:marTop w:val="0"/>
      <w:marBottom w:val="0"/>
      <w:divBdr>
        <w:top w:val="none" w:sz="0" w:space="0" w:color="auto"/>
        <w:left w:val="none" w:sz="0" w:space="0" w:color="auto"/>
        <w:bottom w:val="none" w:sz="0" w:space="0" w:color="auto"/>
        <w:right w:val="none" w:sz="0" w:space="0" w:color="auto"/>
      </w:divBdr>
      <w:divsChild>
        <w:div w:id="5984350">
          <w:marLeft w:val="0"/>
          <w:marRight w:val="0"/>
          <w:marTop w:val="0"/>
          <w:marBottom w:val="0"/>
          <w:divBdr>
            <w:top w:val="none" w:sz="0" w:space="0" w:color="auto"/>
            <w:left w:val="none" w:sz="0" w:space="0" w:color="auto"/>
            <w:bottom w:val="none" w:sz="0" w:space="0" w:color="auto"/>
            <w:right w:val="none" w:sz="0" w:space="0" w:color="auto"/>
          </w:divBdr>
        </w:div>
        <w:div w:id="88476396">
          <w:marLeft w:val="0"/>
          <w:marRight w:val="0"/>
          <w:marTop w:val="0"/>
          <w:marBottom w:val="0"/>
          <w:divBdr>
            <w:top w:val="none" w:sz="0" w:space="0" w:color="auto"/>
            <w:left w:val="none" w:sz="0" w:space="0" w:color="auto"/>
            <w:bottom w:val="none" w:sz="0" w:space="0" w:color="auto"/>
            <w:right w:val="none" w:sz="0" w:space="0" w:color="auto"/>
          </w:divBdr>
        </w:div>
        <w:div w:id="415248807">
          <w:marLeft w:val="0"/>
          <w:marRight w:val="0"/>
          <w:marTop w:val="0"/>
          <w:marBottom w:val="0"/>
          <w:divBdr>
            <w:top w:val="none" w:sz="0" w:space="0" w:color="auto"/>
            <w:left w:val="none" w:sz="0" w:space="0" w:color="auto"/>
            <w:bottom w:val="none" w:sz="0" w:space="0" w:color="auto"/>
            <w:right w:val="none" w:sz="0" w:space="0" w:color="auto"/>
          </w:divBdr>
        </w:div>
        <w:div w:id="445389588">
          <w:marLeft w:val="0"/>
          <w:marRight w:val="0"/>
          <w:marTop w:val="0"/>
          <w:marBottom w:val="0"/>
          <w:divBdr>
            <w:top w:val="none" w:sz="0" w:space="0" w:color="auto"/>
            <w:left w:val="none" w:sz="0" w:space="0" w:color="auto"/>
            <w:bottom w:val="none" w:sz="0" w:space="0" w:color="auto"/>
            <w:right w:val="none" w:sz="0" w:space="0" w:color="auto"/>
          </w:divBdr>
        </w:div>
        <w:div w:id="549347311">
          <w:marLeft w:val="0"/>
          <w:marRight w:val="0"/>
          <w:marTop w:val="0"/>
          <w:marBottom w:val="0"/>
          <w:divBdr>
            <w:top w:val="none" w:sz="0" w:space="0" w:color="auto"/>
            <w:left w:val="none" w:sz="0" w:space="0" w:color="auto"/>
            <w:bottom w:val="none" w:sz="0" w:space="0" w:color="auto"/>
            <w:right w:val="none" w:sz="0" w:space="0" w:color="auto"/>
          </w:divBdr>
        </w:div>
        <w:div w:id="933785611">
          <w:marLeft w:val="0"/>
          <w:marRight w:val="0"/>
          <w:marTop w:val="0"/>
          <w:marBottom w:val="0"/>
          <w:divBdr>
            <w:top w:val="none" w:sz="0" w:space="0" w:color="auto"/>
            <w:left w:val="none" w:sz="0" w:space="0" w:color="auto"/>
            <w:bottom w:val="none" w:sz="0" w:space="0" w:color="auto"/>
            <w:right w:val="none" w:sz="0" w:space="0" w:color="auto"/>
          </w:divBdr>
        </w:div>
        <w:div w:id="1230532466">
          <w:marLeft w:val="0"/>
          <w:marRight w:val="0"/>
          <w:marTop w:val="0"/>
          <w:marBottom w:val="0"/>
          <w:divBdr>
            <w:top w:val="none" w:sz="0" w:space="0" w:color="auto"/>
            <w:left w:val="none" w:sz="0" w:space="0" w:color="auto"/>
            <w:bottom w:val="none" w:sz="0" w:space="0" w:color="auto"/>
            <w:right w:val="none" w:sz="0" w:space="0" w:color="auto"/>
          </w:divBdr>
        </w:div>
        <w:div w:id="1305501834">
          <w:marLeft w:val="0"/>
          <w:marRight w:val="0"/>
          <w:marTop w:val="0"/>
          <w:marBottom w:val="0"/>
          <w:divBdr>
            <w:top w:val="none" w:sz="0" w:space="0" w:color="auto"/>
            <w:left w:val="none" w:sz="0" w:space="0" w:color="auto"/>
            <w:bottom w:val="none" w:sz="0" w:space="0" w:color="auto"/>
            <w:right w:val="none" w:sz="0" w:space="0" w:color="auto"/>
          </w:divBdr>
        </w:div>
        <w:div w:id="1358390144">
          <w:marLeft w:val="0"/>
          <w:marRight w:val="0"/>
          <w:marTop w:val="0"/>
          <w:marBottom w:val="0"/>
          <w:divBdr>
            <w:top w:val="none" w:sz="0" w:space="0" w:color="auto"/>
            <w:left w:val="none" w:sz="0" w:space="0" w:color="auto"/>
            <w:bottom w:val="none" w:sz="0" w:space="0" w:color="auto"/>
            <w:right w:val="none" w:sz="0" w:space="0" w:color="auto"/>
          </w:divBdr>
        </w:div>
        <w:div w:id="2048334744">
          <w:marLeft w:val="0"/>
          <w:marRight w:val="0"/>
          <w:marTop w:val="0"/>
          <w:marBottom w:val="0"/>
          <w:divBdr>
            <w:top w:val="none" w:sz="0" w:space="0" w:color="auto"/>
            <w:left w:val="none" w:sz="0" w:space="0" w:color="auto"/>
            <w:bottom w:val="none" w:sz="0" w:space="0" w:color="auto"/>
            <w:right w:val="none" w:sz="0" w:space="0" w:color="auto"/>
          </w:divBdr>
        </w:div>
      </w:divsChild>
    </w:div>
    <w:div w:id="67653743">
      <w:bodyDiv w:val="1"/>
      <w:marLeft w:val="0"/>
      <w:marRight w:val="0"/>
      <w:marTop w:val="0"/>
      <w:marBottom w:val="0"/>
      <w:divBdr>
        <w:top w:val="none" w:sz="0" w:space="0" w:color="auto"/>
        <w:left w:val="none" w:sz="0" w:space="0" w:color="auto"/>
        <w:bottom w:val="none" w:sz="0" w:space="0" w:color="auto"/>
        <w:right w:val="none" w:sz="0" w:space="0" w:color="auto"/>
      </w:divBdr>
      <w:divsChild>
        <w:div w:id="2139181292">
          <w:marLeft w:val="0"/>
          <w:marRight w:val="0"/>
          <w:marTop w:val="0"/>
          <w:marBottom w:val="0"/>
          <w:divBdr>
            <w:top w:val="none" w:sz="0" w:space="0" w:color="auto"/>
            <w:left w:val="none" w:sz="0" w:space="0" w:color="auto"/>
            <w:bottom w:val="none" w:sz="0" w:space="0" w:color="auto"/>
            <w:right w:val="none" w:sz="0" w:space="0" w:color="auto"/>
          </w:divBdr>
          <w:divsChild>
            <w:div w:id="395668484">
              <w:marLeft w:val="0"/>
              <w:marRight w:val="0"/>
              <w:marTop w:val="0"/>
              <w:marBottom w:val="0"/>
              <w:divBdr>
                <w:top w:val="none" w:sz="0" w:space="0" w:color="auto"/>
                <w:left w:val="none" w:sz="0" w:space="0" w:color="auto"/>
                <w:bottom w:val="none" w:sz="0" w:space="0" w:color="auto"/>
                <w:right w:val="none" w:sz="0" w:space="0" w:color="auto"/>
              </w:divBdr>
              <w:divsChild>
                <w:div w:id="105404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8262">
      <w:bodyDiv w:val="1"/>
      <w:marLeft w:val="0"/>
      <w:marRight w:val="0"/>
      <w:marTop w:val="0"/>
      <w:marBottom w:val="0"/>
      <w:divBdr>
        <w:top w:val="none" w:sz="0" w:space="0" w:color="auto"/>
        <w:left w:val="none" w:sz="0" w:space="0" w:color="auto"/>
        <w:bottom w:val="none" w:sz="0" w:space="0" w:color="auto"/>
        <w:right w:val="none" w:sz="0" w:space="0" w:color="auto"/>
      </w:divBdr>
      <w:divsChild>
        <w:div w:id="960653269">
          <w:marLeft w:val="0"/>
          <w:marRight w:val="0"/>
          <w:marTop w:val="0"/>
          <w:marBottom w:val="0"/>
          <w:divBdr>
            <w:top w:val="none" w:sz="0" w:space="0" w:color="auto"/>
            <w:left w:val="none" w:sz="0" w:space="0" w:color="auto"/>
            <w:bottom w:val="none" w:sz="0" w:space="0" w:color="auto"/>
            <w:right w:val="none" w:sz="0" w:space="0" w:color="auto"/>
          </w:divBdr>
          <w:divsChild>
            <w:div w:id="1513452824">
              <w:marLeft w:val="0"/>
              <w:marRight w:val="0"/>
              <w:marTop w:val="0"/>
              <w:marBottom w:val="0"/>
              <w:divBdr>
                <w:top w:val="none" w:sz="0" w:space="0" w:color="auto"/>
                <w:left w:val="none" w:sz="0" w:space="0" w:color="auto"/>
                <w:bottom w:val="none" w:sz="0" w:space="0" w:color="auto"/>
                <w:right w:val="none" w:sz="0" w:space="0" w:color="auto"/>
              </w:divBdr>
              <w:divsChild>
                <w:div w:id="9956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5163">
      <w:bodyDiv w:val="1"/>
      <w:marLeft w:val="0"/>
      <w:marRight w:val="0"/>
      <w:marTop w:val="0"/>
      <w:marBottom w:val="0"/>
      <w:divBdr>
        <w:top w:val="none" w:sz="0" w:space="0" w:color="auto"/>
        <w:left w:val="none" w:sz="0" w:space="0" w:color="auto"/>
        <w:bottom w:val="none" w:sz="0" w:space="0" w:color="auto"/>
        <w:right w:val="none" w:sz="0" w:space="0" w:color="auto"/>
      </w:divBdr>
      <w:divsChild>
        <w:div w:id="97259357">
          <w:marLeft w:val="0"/>
          <w:marRight w:val="0"/>
          <w:marTop w:val="0"/>
          <w:marBottom w:val="0"/>
          <w:divBdr>
            <w:top w:val="none" w:sz="0" w:space="0" w:color="auto"/>
            <w:left w:val="none" w:sz="0" w:space="0" w:color="auto"/>
            <w:bottom w:val="none" w:sz="0" w:space="0" w:color="auto"/>
            <w:right w:val="none" w:sz="0" w:space="0" w:color="auto"/>
          </w:divBdr>
        </w:div>
        <w:div w:id="384068676">
          <w:marLeft w:val="0"/>
          <w:marRight w:val="0"/>
          <w:marTop w:val="0"/>
          <w:marBottom w:val="0"/>
          <w:divBdr>
            <w:top w:val="none" w:sz="0" w:space="0" w:color="auto"/>
            <w:left w:val="none" w:sz="0" w:space="0" w:color="auto"/>
            <w:bottom w:val="none" w:sz="0" w:space="0" w:color="auto"/>
            <w:right w:val="none" w:sz="0" w:space="0" w:color="auto"/>
          </w:divBdr>
        </w:div>
        <w:div w:id="464465549">
          <w:marLeft w:val="0"/>
          <w:marRight w:val="0"/>
          <w:marTop w:val="0"/>
          <w:marBottom w:val="0"/>
          <w:divBdr>
            <w:top w:val="none" w:sz="0" w:space="0" w:color="auto"/>
            <w:left w:val="none" w:sz="0" w:space="0" w:color="auto"/>
            <w:bottom w:val="none" w:sz="0" w:space="0" w:color="auto"/>
            <w:right w:val="none" w:sz="0" w:space="0" w:color="auto"/>
          </w:divBdr>
        </w:div>
        <w:div w:id="753160242">
          <w:marLeft w:val="0"/>
          <w:marRight w:val="0"/>
          <w:marTop w:val="0"/>
          <w:marBottom w:val="0"/>
          <w:divBdr>
            <w:top w:val="none" w:sz="0" w:space="0" w:color="auto"/>
            <w:left w:val="none" w:sz="0" w:space="0" w:color="auto"/>
            <w:bottom w:val="none" w:sz="0" w:space="0" w:color="auto"/>
            <w:right w:val="none" w:sz="0" w:space="0" w:color="auto"/>
          </w:divBdr>
        </w:div>
        <w:div w:id="784928837">
          <w:marLeft w:val="0"/>
          <w:marRight w:val="0"/>
          <w:marTop w:val="0"/>
          <w:marBottom w:val="0"/>
          <w:divBdr>
            <w:top w:val="none" w:sz="0" w:space="0" w:color="auto"/>
            <w:left w:val="none" w:sz="0" w:space="0" w:color="auto"/>
            <w:bottom w:val="none" w:sz="0" w:space="0" w:color="auto"/>
            <w:right w:val="none" w:sz="0" w:space="0" w:color="auto"/>
          </w:divBdr>
        </w:div>
        <w:div w:id="939875488">
          <w:marLeft w:val="0"/>
          <w:marRight w:val="0"/>
          <w:marTop w:val="0"/>
          <w:marBottom w:val="0"/>
          <w:divBdr>
            <w:top w:val="none" w:sz="0" w:space="0" w:color="auto"/>
            <w:left w:val="none" w:sz="0" w:space="0" w:color="auto"/>
            <w:bottom w:val="none" w:sz="0" w:space="0" w:color="auto"/>
            <w:right w:val="none" w:sz="0" w:space="0" w:color="auto"/>
          </w:divBdr>
        </w:div>
        <w:div w:id="961183519">
          <w:marLeft w:val="0"/>
          <w:marRight w:val="0"/>
          <w:marTop w:val="0"/>
          <w:marBottom w:val="0"/>
          <w:divBdr>
            <w:top w:val="none" w:sz="0" w:space="0" w:color="auto"/>
            <w:left w:val="none" w:sz="0" w:space="0" w:color="auto"/>
            <w:bottom w:val="none" w:sz="0" w:space="0" w:color="auto"/>
            <w:right w:val="none" w:sz="0" w:space="0" w:color="auto"/>
          </w:divBdr>
        </w:div>
        <w:div w:id="1549491545">
          <w:marLeft w:val="0"/>
          <w:marRight w:val="0"/>
          <w:marTop w:val="0"/>
          <w:marBottom w:val="0"/>
          <w:divBdr>
            <w:top w:val="none" w:sz="0" w:space="0" w:color="auto"/>
            <w:left w:val="none" w:sz="0" w:space="0" w:color="auto"/>
            <w:bottom w:val="none" w:sz="0" w:space="0" w:color="auto"/>
            <w:right w:val="none" w:sz="0" w:space="0" w:color="auto"/>
          </w:divBdr>
        </w:div>
        <w:div w:id="1683241269">
          <w:marLeft w:val="0"/>
          <w:marRight w:val="0"/>
          <w:marTop w:val="0"/>
          <w:marBottom w:val="0"/>
          <w:divBdr>
            <w:top w:val="none" w:sz="0" w:space="0" w:color="auto"/>
            <w:left w:val="none" w:sz="0" w:space="0" w:color="auto"/>
            <w:bottom w:val="none" w:sz="0" w:space="0" w:color="auto"/>
            <w:right w:val="none" w:sz="0" w:space="0" w:color="auto"/>
          </w:divBdr>
        </w:div>
        <w:div w:id="2061853904">
          <w:marLeft w:val="0"/>
          <w:marRight w:val="0"/>
          <w:marTop w:val="0"/>
          <w:marBottom w:val="0"/>
          <w:divBdr>
            <w:top w:val="none" w:sz="0" w:space="0" w:color="auto"/>
            <w:left w:val="none" w:sz="0" w:space="0" w:color="auto"/>
            <w:bottom w:val="none" w:sz="0" w:space="0" w:color="auto"/>
            <w:right w:val="none" w:sz="0" w:space="0" w:color="auto"/>
          </w:divBdr>
        </w:div>
      </w:divsChild>
    </w:div>
    <w:div w:id="104816019">
      <w:bodyDiv w:val="1"/>
      <w:marLeft w:val="0"/>
      <w:marRight w:val="0"/>
      <w:marTop w:val="0"/>
      <w:marBottom w:val="0"/>
      <w:divBdr>
        <w:top w:val="none" w:sz="0" w:space="0" w:color="auto"/>
        <w:left w:val="none" w:sz="0" w:space="0" w:color="auto"/>
        <w:bottom w:val="none" w:sz="0" w:space="0" w:color="auto"/>
        <w:right w:val="none" w:sz="0" w:space="0" w:color="auto"/>
      </w:divBdr>
      <w:divsChild>
        <w:div w:id="324168021">
          <w:marLeft w:val="0"/>
          <w:marRight w:val="0"/>
          <w:marTop w:val="0"/>
          <w:marBottom w:val="0"/>
          <w:divBdr>
            <w:top w:val="none" w:sz="0" w:space="0" w:color="auto"/>
            <w:left w:val="none" w:sz="0" w:space="0" w:color="auto"/>
            <w:bottom w:val="none" w:sz="0" w:space="0" w:color="auto"/>
            <w:right w:val="none" w:sz="0" w:space="0" w:color="auto"/>
          </w:divBdr>
          <w:divsChild>
            <w:div w:id="130251251">
              <w:marLeft w:val="0"/>
              <w:marRight w:val="0"/>
              <w:marTop w:val="0"/>
              <w:marBottom w:val="0"/>
              <w:divBdr>
                <w:top w:val="none" w:sz="0" w:space="0" w:color="auto"/>
                <w:left w:val="none" w:sz="0" w:space="0" w:color="auto"/>
                <w:bottom w:val="none" w:sz="0" w:space="0" w:color="auto"/>
                <w:right w:val="none" w:sz="0" w:space="0" w:color="auto"/>
              </w:divBdr>
              <w:divsChild>
                <w:div w:id="2417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9294">
      <w:bodyDiv w:val="1"/>
      <w:marLeft w:val="0"/>
      <w:marRight w:val="0"/>
      <w:marTop w:val="0"/>
      <w:marBottom w:val="0"/>
      <w:divBdr>
        <w:top w:val="none" w:sz="0" w:space="0" w:color="auto"/>
        <w:left w:val="none" w:sz="0" w:space="0" w:color="auto"/>
        <w:bottom w:val="none" w:sz="0" w:space="0" w:color="auto"/>
        <w:right w:val="none" w:sz="0" w:space="0" w:color="auto"/>
      </w:divBdr>
    </w:div>
    <w:div w:id="125203096">
      <w:bodyDiv w:val="1"/>
      <w:marLeft w:val="0"/>
      <w:marRight w:val="0"/>
      <w:marTop w:val="0"/>
      <w:marBottom w:val="0"/>
      <w:divBdr>
        <w:top w:val="none" w:sz="0" w:space="0" w:color="auto"/>
        <w:left w:val="none" w:sz="0" w:space="0" w:color="auto"/>
        <w:bottom w:val="none" w:sz="0" w:space="0" w:color="auto"/>
        <w:right w:val="none" w:sz="0" w:space="0" w:color="auto"/>
      </w:divBdr>
    </w:div>
    <w:div w:id="128787380">
      <w:bodyDiv w:val="1"/>
      <w:marLeft w:val="0"/>
      <w:marRight w:val="0"/>
      <w:marTop w:val="0"/>
      <w:marBottom w:val="0"/>
      <w:divBdr>
        <w:top w:val="none" w:sz="0" w:space="0" w:color="auto"/>
        <w:left w:val="none" w:sz="0" w:space="0" w:color="auto"/>
        <w:bottom w:val="none" w:sz="0" w:space="0" w:color="auto"/>
        <w:right w:val="none" w:sz="0" w:space="0" w:color="auto"/>
      </w:divBdr>
      <w:divsChild>
        <w:div w:id="436020654">
          <w:marLeft w:val="0"/>
          <w:marRight w:val="0"/>
          <w:marTop w:val="0"/>
          <w:marBottom w:val="0"/>
          <w:divBdr>
            <w:top w:val="none" w:sz="0" w:space="0" w:color="auto"/>
            <w:left w:val="none" w:sz="0" w:space="0" w:color="auto"/>
            <w:bottom w:val="none" w:sz="0" w:space="0" w:color="auto"/>
            <w:right w:val="none" w:sz="0" w:space="0" w:color="auto"/>
          </w:divBdr>
          <w:divsChild>
            <w:div w:id="383721368">
              <w:marLeft w:val="0"/>
              <w:marRight w:val="0"/>
              <w:marTop w:val="0"/>
              <w:marBottom w:val="0"/>
              <w:divBdr>
                <w:top w:val="none" w:sz="0" w:space="0" w:color="auto"/>
                <w:left w:val="none" w:sz="0" w:space="0" w:color="auto"/>
                <w:bottom w:val="none" w:sz="0" w:space="0" w:color="auto"/>
                <w:right w:val="none" w:sz="0" w:space="0" w:color="auto"/>
              </w:divBdr>
              <w:divsChild>
                <w:div w:id="12003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9165">
      <w:bodyDiv w:val="1"/>
      <w:marLeft w:val="0"/>
      <w:marRight w:val="0"/>
      <w:marTop w:val="0"/>
      <w:marBottom w:val="0"/>
      <w:divBdr>
        <w:top w:val="none" w:sz="0" w:space="0" w:color="auto"/>
        <w:left w:val="none" w:sz="0" w:space="0" w:color="auto"/>
        <w:bottom w:val="none" w:sz="0" w:space="0" w:color="auto"/>
        <w:right w:val="none" w:sz="0" w:space="0" w:color="auto"/>
      </w:divBdr>
      <w:divsChild>
        <w:div w:id="1852179679">
          <w:marLeft w:val="0"/>
          <w:marRight w:val="0"/>
          <w:marTop w:val="0"/>
          <w:marBottom w:val="225"/>
          <w:divBdr>
            <w:top w:val="none" w:sz="0" w:space="0" w:color="auto"/>
            <w:left w:val="none" w:sz="0" w:space="0" w:color="auto"/>
            <w:bottom w:val="none" w:sz="0" w:space="0" w:color="auto"/>
            <w:right w:val="none" w:sz="0" w:space="0" w:color="auto"/>
          </w:divBdr>
        </w:div>
        <w:div w:id="1947690195">
          <w:marLeft w:val="0"/>
          <w:marRight w:val="0"/>
          <w:marTop w:val="0"/>
          <w:marBottom w:val="0"/>
          <w:divBdr>
            <w:top w:val="none" w:sz="0" w:space="0" w:color="auto"/>
            <w:left w:val="none" w:sz="0" w:space="0" w:color="auto"/>
            <w:bottom w:val="none" w:sz="0" w:space="0" w:color="auto"/>
            <w:right w:val="none" w:sz="0" w:space="0" w:color="auto"/>
          </w:divBdr>
          <w:divsChild>
            <w:div w:id="98065804">
              <w:marLeft w:val="0"/>
              <w:marRight w:val="0"/>
              <w:marTop w:val="120"/>
              <w:marBottom w:val="288"/>
              <w:divBdr>
                <w:top w:val="none" w:sz="0" w:space="0" w:color="auto"/>
                <w:left w:val="none" w:sz="0" w:space="0" w:color="auto"/>
                <w:bottom w:val="none" w:sz="0" w:space="0" w:color="auto"/>
                <w:right w:val="none" w:sz="0" w:space="0" w:color="auto"/>
              </w:divBdr>
              <w:divsChild>
                <w:div w:id="865219336">
                  <w:marLeft w:val="0"/>
                  <w:marRight w:val="0"/>
                  <w:marTop w:val="0"/>
                  <w:marBottom w:val="0"/>
                  <w:divBdr>
                    <w:top w:val="none" w:sz="0" w:space="0" w:color="auto"/>
                    <w:left w:val="none" w:sz="0" w:space="0" w:color="auto"/>
                    <w:bottom w:val="none" w:sz="0" w:space="0" w:color="auto"/>
                    <w:right w:val="none" w:sz="0" w:space="0" w:color="auto"/>
                  </w:divBdr>
                </w:div>
                <w:div w:id="1185945735">
                  <w:marLeft w:val="0"/>
                  <w:marRight w:val="0"/>
                  <w:marTop w:val="0"/>
                  <w:marBottom w:val="0"/>
                  <w:divBdr>
                    <w:top w:val="none" w:sz="0" w:space="0" w:color="auto"/>
                    <w:left w:val="none" w:sz="0" w:space="0" w:color="auto"/>
                    <w:bottom w:val="none" w:sz="0" w:space="0" w:color="auto"/>
                    <w:right w:val="none" w:sz="0" w:space="0" w:color="auto"/>
                  </w:divBdr>
                </w:div>
                <w:div w:id="1889028566">
                  <w:marLeft w:val="0"/>
                  <w:marRight w:val="0"/>
                  <w:marTop w:val="0"/>
                  <w:marBottom w:val="0"/>
                  <w:divBdr>
                    <w:top w:val="none" w:sz="0" w:space="0" w:color="auto"/>
                    <w:left w:val="none" w:sz="0" w:space="0" w:color="auto"/>
                    <w:bottom w:val="none" w:sz="0" w:space="0" w:color="auto"/>
                    <w:right w:val="none" w:sz="0" w:space="0" w:color="auto"/>
                  </w:divBdr>
                </w:div>
              </w:divsChild>
            </w:div>
            <w:div w:id="119347612">
              <w:marLeft w:val="0"/>
              <w:marRight w:val="0"/>
              <w:marTop w:val="120"/>
              <w:marBottom w:val="288"/>
              <w:divBdr>
                <w:top w:val="none" w:sz="0" w:space="0" w:color="auto"/>
                <w:left w:val="none" w:sz="0" w:space="0" w:color="auto"/>
                <w:bottom w:val="none" w:sz="0" w:space="0" w:color="auto"/>
                <w:right w:val="none" w:sz="0" w:space="0" w:color="auto"/>
              </w:divBdr>
              <w:divsChild>
                <w:div w:id="553929863">
                  <w:marLeft w:val="0"/>
                  <w:marRight w:val="0"/>
                  <w:marTop w:val="0"/>
                  <w:marBottom w:val="0"/>
                  <w:divBdr>
                    <w:top w:val="none" w:sz="0" w:space="0" w:color="auto"/>
                    <w:left w:val="none" w:sz="0" w:space="0" w:color="auto"/>
                    <w:bottom w:val="none" w:sz="0" w:space="0" w:color="auto"/>
                    <w:right w:val="none" w:sz="0" w:space="0" w:color="auto"/>
                  </w:divBdr>
                </w:div>
                <w:div w:id="656418556">
                  <w:marLeft w:val="0"/>
                  <w:marRight w:val="0"/>
                  <w:marTop w:val="0"/>
                  <w:marBottom w:val="0"/>
                  <w:divBdr>
                    <w:top w:val="none" w:sz="0" w:space="0" w:color="auto"/>
                    <w:left w:val="none" w:sz="0" w:space="0" w:color="auto"/>
                    <w:bottom w:val="none" w:sz="0" w:space="0" w:color="auto"/>
                    <w:right w:val="none" w:sz="0" w:space="0" w:color="auto"/>
                  </w:divBdr>
                </w:div>
                <w:div w:id="1193568461">
                  <w:marLeft w:val="0"/>
                  <w:marRight w:val="0"/>
                  <w:marTop w:val="0"/>
                  <w:marBottom w:val="0"/>
                  <w:divBdr>
                    <w:top w:val="none" w:sz="0" w:space="0" w:color="auto"/>
                    <w:left w:val="none" w:sz="0" w:space="0" w:color="auto"/>
                    <w:bottom w:val="none" w:sz="0" w:space="0" w:color="auto"/>
                    <w:right w:val="none" w:sz="0" w:space="0" w:color="auto"/>
                  </w:divBdr>
                </w:div>
                <w:div w:id="1226068277">
                  <w:marLeft w:val="0"/>
                  <w:marRight w:val="0"/>
                  <w:marTop w:val="0"/>
                  <w:marBottom w:val="0"/>
                  <w:divBdr>
                    <w:top w:val="none" w:sz="0" w:space="0" w:color="auto"/>
                    <w:left w:val="none" w:sz="0" w:space="0" w:color="auto"/>
                    <w:bottom w:val="none" w:sz="0" w:space="0" w:color="auto"/>
                    <w:right w:val="none" w:sz="0" w:space="0" w:color="auto"/>
                  </w:divBdr>
                </w:div>
                <w:div w:id="1383601862">
                  <w:marLeft w:val="0"/>
                  <w:marRight w:val="0"/>
                  <w:marTop w:val="0"/>
                  <w:marBottom w:val="0"/>
                  <w:divBdr>
                    <w:top w:val="none" w:sz="0" w:space="0" w:color="auto"/>
                    <w:left w:val="none" w:sz="0" w:space="0" w:color="auto"/>
                    <w:bottom w:val="none" w:sz="0" w:space="0" w:color="auto"/>
                    <w:right w:val="none" w:sz="0" w:space="0" w:color="auto"/>
                  </w:divBdr>
                </w:div>
                <w:div w:id="1896820331">
                  <w:marLeft w:val="0"/>
                  <w:marRight w:val="0"/>
                  <w:marTop w:val="0"/>
                  <w:marBottom w:val="0"/>
                  <w:divBdr>
                    <w:top w:val="none" w:sz="0" w:space="0" w:color="auto"/>
                    <w:left w:val="none" w:sz="0" w:space="0" w:color="auto"/>
                    <w:bottom w:val="none" w:sz="0" w:space="0" w:color="auto"/>
                    <w:right w:val="none" w:sz="0" w:space="0" w:color="auto"/>
                  </w:divBdr>
                </w:div>
              </w:divsChild>
            </w:div>
            <w:div w:id="163328350">
              <w:marLeft w:val="0"/>
              <w:marRight w:val="0"/>
              <w:marTop w:val="120"/>
              <w:marBottom w:val="288"/>
              <w:divBdr>
                <w:top w:val="none" w:sz="0" w:space="0" w:color="auto"/>
                <w:left w:val="none" w:sz="0" w:space="0" w:color="auto"/>
                <w:bottom w:val="none" w:sz="0" w:space="0" w:color="auto"/>
                <w:right w:val="none" w:sz="0" w:space="0" w:color="auto"/>
              </w:divBdr>
              <w:divsChild>
                <w:div w:id="406193032">
                  <w:marLeft w:val="0"/>
                  <w:marRight w:val="0"/>
                  <w:marTop w:val="0"/>
                  <w:marBottom w:val="0"/>
                  <w:divBdr>
                    <w:top w:val="none" w:sz="0" w:space="0" w:color="auto"/>
                    <w:left w:val="none" w:sz="0" w:space="0" w:color="auto"/>
                    <w:bottom w:val="none" w:sz="0" w:space="0" w:color="auto"/>
                    <w:right w:val="none" w:sz="0" w:space="0" w:color="auto"/>
                  </w:divBdr>
                </w:div>
                <w:div w:id="1741439228">
                  <w:marLeft w:val="0"/>
                  <w:marRight w:val="0"/>
                  <w:marTop w:val="0"/>
                  <w:marBottom w:val="0"/>
                  <w:divBdr>
                    <w:top w:val="none" w:sz="0" w:space="0" w:color="auto"/>
                    <w:left w:val="none" w:sz="0" w:space="0" w:color="auto"/>
                    <w:bottom w:val="none" w:sz="0" w:space="0" w:color="auto"/>
                    <w:right w:val="none" w:sz="0" w:space="0" w:color="auto"/>
                  </w:divBdr>
                </w:div>
              </w:divsChild>
            </w:div>
            <w:div w:id="188955917">
              <w:marLeft w:val="0"/>
              <w:marRight w:val="0"/>
              <w:marTop w:val="120"/>
              <w:marBottom w:val="288"/>
              <w:divBdr>
                <w:top w:val="none" w:sz="0" w:space="0" w:color="auto"/>
                <w:left w:val="none" w:sz="0" w:space="0" w:color="auto"/>
                <w:bottom w:val="none" w:sz="0" w:space="0" w:color="auto"/>
                <w:right w:val="none" w:sz="0" w:space="0" w:color="auto"/>
              </w:divBdr>
              <w:divsChild>
                <w:div w:id="51316403">
                  <w:marLeft w:val="0"/>
                  <w:marRight w:val="0"/>
                  <w:marTop w:val="0"/>
                  <w:marBottom w:val="0"/>
                  <w:divBdr>
                    <w:top w:val="none" w:sz="0" w:space="0" w:color="auto"/>
                    <w:left w:val="none" w:sz="0" w:space="0" w:color="auto"/>
                    <w:bottom w:val="none" w:sz="0" w:space="0" w:color="auto"/>
                    <w:right w:val="none" w:sz="0" w:space="0" w:color="auto"/>
                  </w:divBdr>
                </w:div>
                <w:div w:id="1072777508">
                  <w:marLeft w:val="0"/>
                  <w:marRight w:val="0"/>
                  <w:marTop w:val="0"/>
                  <w:marBottom w:val="0"/>
                  <w:divBdr>
                    <w:top w:val="none" w:sz="0" w:space="0" w:color="auto"/>
                    <w:left w:val="none" w:sz="0" w:space="0" w:color="auto"/>
                    <w:bottom w:val="none" w:sz="0" w:space="0" w:color="auto"/>
                    <w:right w:val="none" w:sz="0" w:space="0" w:color="auto"/>
                  </w:divBdr>
                </w:div>
              </w:divsChild>
            </w:div>
            <w:div w:id="840466316">
              <w:marLeft w:val="0"/>
              <w:marRight w:val="0"/>
              <w:marTop w:val="0"/>
              <w:marBottom w:val="0"/>
              <w:divBdr>
                <w:top w:val="none" w:sz="0" w:space="0" w:color="auto"/>
                <w:left w:val="none" w:sz="0" w:space="0" w:color="auto"/>
                <w:bottom w:val="none" w:sz="0" w:space="0" w:color="auto"/>
                <w:right w:val="none" w:sz="0" w:space="0" w:color="auto"/>
              </w:divBdr>
            </w:div>
            <w:div w:id="846289021">
              <w:marLeft w:val="0"/>
              <w:marRight w:val="0"/>
              <w:marTop w:val="0"/>
              <w:marBottom w:val="0"/>
              <w:divBdr>
                <w:top w:val="none" w:sz="0" w:space="0" w:color="auto"/>
                <w:left w:val="none" w:sz="0" w:space="0" w:color="auto"/>
                <w:bottom w:val="none" w:sz="0" w:space="0" w:color="auto"/>
                <w:right w:val="none" w:sz="0" w:space="0" w:color="auto"/>
              </w:divBdr>
            </w:div>
            <w:div w:id="942495968">
              <w:marLeft w:val="0"/>
              <w:marRight w:val="0"/>
              <w:marTop w:val="120"/>
              <w:marBottom w:val="288"/>
              <w:divBdr>
                <w:top w:val="none" w:sz="0" w:space="0" w:color="auto"/>
                <w:left w:val="none" w:sz="0" w:space="0" w:color="auto"/>
                <w:bottom w:val="none" w:sz="0" w:space="0" w:color="auto"/>
                <w:right w:val="none" w:sz="0" w:space="0" w:color="auto"/>
              </w:divBdr>
              <w:divsChild>
                <w:div w:id="487941737">
                  <w:marLeft w:val="0"/>
                  <w:marRight w:val="0"/>
                  <w:marTop w:val="0"/>
                  <w:marBottom w:val="0"/>
                  <w:divBdr>
                    <w:top w:val="none" w:sz="0" w:space="0" w:color="auto"/>
                    <w:left w:val="none" w:sz="0" w:space="0" w:color="auto"/>
                    <w:bottom w:val="none" w:sz="0" w:space="0" w:color="auto"/>
                    <w:right w:val="none" w:sz="0" w:space="0" w:color="auto"/>
                  </w:divBdr>
                </w:div>
                <w:div w:id="829634679">
                  <w:marLeft w:val="0"/>
                  <w:marRight w:val="0"/>
                  <w:marTop w:val="0"/>
                  <w:marBottom w:val="0"/>
                  <w:divBdr>
                    <w:top w:val="none" w:sz="0" w:space="0" w:color="auto"/>
                    <w:left w:val="none" w:sz="0" w:space="0" w:color="auto"/>
                    <w:bottom w:val="none" w:sz="0" w:space="0" w:color="auto"/>
                    <w:right w:val="none" w:sz="0" w:space="0" w:color="auto"/>
                  </w:divBdr>
                </w:div>
                <w:div w:id="1912081450">
                  <w:marLeft w:val="0"/>
                  <w:marRight w:val="0"/>
                  <w:marTop w:val="0"/>
                  <w:marBottom w:val="0"/>
                  <w:divBdr>
                    <w:top w:val="none" w:sz="0" w:space="0" w:color="auto"/>
                    <w:left w:val="none" w:sz="0" w:space="0" w:color="auto"/>
                    <w:bottom w:val="none" w:sz="0" w:space="0" w:color="auto"/>
                    <w:right w:val="none" w:sz="0" w:space="0" w:color="auto"/>
                  </w:divBdr>
                </w:div>
              </w:divsChild>
            </w:div>
            <w:div w:id="998801192">
              <w:marLeft w:val="0"/>
              <w:marRight w:val="0"/>
              <w:marTop w:val="120"/>
              <w:marBottom w:val="288"/>
              <w:divBdr>
                <w:top w:val="none" w:sz="0" w:space="0" w:color="auto"/>
                <w:left w:val="none" w:sz="0" w:space="0" w:color="auto"/>
                <w:bottom w:val="none" w:sz="0" w:space="0" w:color="auto"/>
                <w:right w:val="none" w:sz="0" w:space="0" w:color="auto"/>
              </w:divBdr>
              <w:divsChild>
                <w:div w:id="1077942407">
                  <w:marLeft w:val="0"/>
                  <w:marRight w:val="0"/>
                  <w:marTop w:val="0"/>
                  <w:marBottom w:val="0"/>
                  <w:divBdr>
                    <w:top w:val="none" w:sz="0" w:space="0" w:color="auto"/>
                    <w:left w:val="none" w:sz="0" w:space="0" w:color="auto"/>
                    <w:bottom w:val="none" w:sz="0" w:space="0" w:color="auto"/>
                    <w:right w:val="none" w:sz="0" w:space="0" w:color="auto"/>
                  </w:divBdr>
                </w:div>
                <w:div w:id="1905724892">
                  <w:marLeft w:val="0"/>
                  <w:marRight w:val="0"/>
                  <w:marTop w:val="0"/>
                  <w:marBottom w:val="0"/>
                  <w:divBdr>
                    <w:top w:val="none" w:sz="0" w:space="0" w:color="auto"/>
                    <w:left w:val="none" w:sz="0" w:space="0" w:color="auto"/>
                    <w:bottom w:val="none" w:sz="0" w:space="0" w:color="auto"/>
                    <w:right w:val="none" w:sz="0" w:space="0" w:color="auto"/>
                  </w:divBdr>
                </w:div>
                <w:div w:id="2129660733">
                  <w:marLeft w:val="0"/>
                  <w:marRight w:val="0"/>
                  <w:marTop w:val="0"/>
                  <w:marBottom w:val="0"/>
                  <w:divBdr>
                    <w:top w:val="none" w:sz="0" w:space="0" w:color="auto"/>
                    <w:left w:val="none" w:sz="0" w:space="0" w:color="auto"/>
                    <w:bottom w:val="none" w:sz="0" w:space="0" w:color="auto"/>
                    <w:right w:val="none" w:sz="0" w:space="0" w:color="auto"/>
                  </w:divBdr>
                </w:div>
              </w:divsChild>
            </w:div>
            <w:div w:id="1183280674">
              <w:marLeft w:val="0"/>
              <w:marRight w:val="0"/>
              <w:marTop w:val="0"/>
              <w:marBottom w:val="0"/>
              <w:divBdr>
                <w:top w:val="none" w:sz="0" w:space="0" w:color="auto"/>
                <w:left w:val="none" w:sz="0" w:space="0" w:color="auto"/>
                <w:bottom w:val="none" w:sz="0" w:space="0" w:color="auto"/>
                <w:right w:val="none" w:sz="0" w:space="0" w:color="auto"/>
              </w:divBdr>
            </w:div>
            <w:div w:id="1430005561">
              <w:marLeft w:val="0"/>
              <w:marRight w:val="0"/>
              <w:marTop w:val="120"/>
              <w:marBottom w:val="288"/>
              <w:divBdr>
                <w:top w:val="none" w:sz="0" w:space="0" w:color="auto"/>
                <w:left w:val="none" w:sz="0" w:space="0" w:color="auto"/>
                <w:bottom w:val="none" w:sz="0" w:space="0" w:color="auto"/>
                <w:right w:val="none" w:sz="0" w:space="0" w:color="auto"/>
              </w:divBdr>
              <w:divsChild>
                <w:div w:id="855657944">
                  <w:marLeft w:val="0"/>
                  <w:marRight w:val="0"/>
                  <w:marTop w:val="0"/>
                  <w:marBottom w:val="0"/>
                  <w:divBdr>
                    <w:top w:val="none" w:sz="0" w:space="0" w:color="auto"/>
                    <w:left w:val="none" w:sz="0" w:space="0" w:color="auto"/>
                    <w:bottom w:val="none" w:sz="0" w:space="0" w:color="auto"/>
                    <w:right w:val="none" w:sz="0" w:space="0" w:color="auto"/>
                  </w:divBdr>
                </w:div>
                <w:div w:id="1327788289">
                  <w:marLeft w:val="0"/>
                  <w:marRight w:val="0"/>
                  <w:marTop w:val="0"/>
                  <w:marBottom w:val="0"/>
                  <w:divBdr>
                    <w:top w:val="none" w:sz="0" w:space="0" w:color="auto"/>
                    <w:left w:val="none" w:sz="0" w:space="0" w:color="auto"/>
                    <w:bottom w:val="none" w:sz="0" w:space="0" w:color="auto"/>
                    <w:right w:val="none" w:sz="0" w:space="0" w:color="auto"/>
                  </w:divBdr>
                </w:div>
                <w:div w:id="1436050299">
                  <w:marLeft w:val="0"/>
                  <w:marRight w:val="0"/>
                  <w:marTop w:val="0"/>
                  <w:marBottom w:val="0"/>
                  <w:divBdr>
                    <w:top w:val="none" w:sz="0" w:space="0" w:color="auto"/>
                    <w:left w:val="none" w:sz="0" w:space="0" w:color="auto"/>
                    <w:bottom w:val="none" w:sz="0" w:space="0" w:color="auto"/>
                    <w:right w:val="none" w:sz="0" w:space="0" w:color="auto"/>
                  </w:divBdr>
                </w:div>
                <w:div w:id="1673484356">
                  <w:marLeft w:val="0"/>
                  <w:marRight w:val="0"/>
                  <w:marTop w:val="0"/>
                  <w:marBottom w:val="0"/>
                  <w:divBdr>
                    <w:top w:val="none" w:sz="0" w:space="0" w:color="auto"/>
                    <w:left w:val="none" w:sz="0" w:space="0" w:color="auto"/>
                    <w:bottom w:val="none" w:sz="0" w:space="0" w:color="auto"/>
                    <w:right w:val="none" w:sz="0" w:space="0" w:color="auto"/>
                  </w:divBdr>
                </w:div>
                <w:div w:id="1744791048">
                  <w:marLeft w:val="0"/>
                  <w:marRight w:val="0"/>
                  <w:marTop w:val="0"/>
                  <w:marBottom w:val="0"/>
                  <w:divBdr>
                    <w:top w:val="none" w:sz="0" w:space="0" w:color="auto"/>
                    <w:left w:val="none" w:sz="0" w:space="0" w:color="auto"/>
                    <w:bottom w:val="none" w:sz="0" w:space="0" w:color="auto"/>
                    <w:right w:val="none" w:sz="0" w:space="0" w:color="auto"/>
                  </w:divBdr>
                </w:div>
                <w:div w:id="2037533733">
                  <w:marLeft w:val="0"/>
                  <w:marRight w:val="0"/>
                  <w:marTop w:val="0"/>
                  <w:marBottom w:val="0"/>
                  <w:divBdr>
                    <w:top w:val="none" w:sz="0" w:space="0" w:color="auto"/>
                    <w:left w:val="none" w:sz="0" w:space="0" w:color="auto"/>
                    <w:bottom w:val="none" w:sz="0" w:space="0" w:color="auto"/>
                    <w:right w:val="none" w:sz="0" w:space="0" w:color="auto"/>
                  </w:divBdr>
                </w:div>
              </w:divsChild>
            </w:div>
            <w:div w:id="1430420672">
              <w:marLeft w:val="0"/>
              <w:marRight w:val="0"/>
              <w:marTop w:val="0"/>
              <w:marBottom w:val="0"/>
              <w:divBdr>
                <w:top w:val="none" w:sz="0" w:space="0" w:color="auto"/>
                <w:left w:val="none" w:sz="0" w:space="0" w:color="auto"/>
                <w:bottom w:val="none" w:sz="0" w:space="0" w:color="auto"/>
                <w:right w:val="none" w:sz="0" w:space="0" w:color="auto"/>
              </w:divBdr>
            </w:div>
            <w:div w:id="1531721788">
              <w:marLeft w:val="0"/>
              <w:marRight w:val="0"/>
              <w:marTop w:val="120"/>
              <w:marBottom w:val="288"/>
              <w:divBdr>
                <w:top w:val="none" w:sz="0" w:space="0" w:color="auto"/>
                <w:left w:val="none" w:sz="0" w:space="0" w:color="auto"/>
                <w:bottom w:val="none" w:sz="0" w:space="0" w:color="auto"/>
                <w:right w:val="none" w:sz="0" w:space="0" w:color="auto"/>
              </w:divBdr>
              <w:divsChild>
                <w:div w:id="454910215">
                  <w:marLeft w:val="0"/>
                  <w:marRight w:val="0"/>
                  <w:marTop w:val="0"/>
                  <w:marBottom w:val="0"/>
                  <w:divBdr>
                    <w:top w:val="none" w:sz="0" w:space="0" w:color="auto"/>
                    <w:left w:val="none" w:sz="0" w:space="0" w:color="auto"/>
                    <w:bottom w:val="none" w:sz="0" w:space="0" w:color="auto"/>
                    <w:right w:val="none" w:sz="0" w:space="0" w:color="auto"/>
                  </w:divBdr>
                </w:div>
                <w:div w:id="1060133775">
                  <w:marLeft w:val="0"/>
                  <w:marRight w:val="0"/>
                  <w:marTop w:val="0"/>
                  <w:marBottom w:val="0"/>
                  <w:divBdr>
                    <w:top w:val="none" w:sz="0" w:space="0" w:color="auto"/>
                    <w:left w:val="none" w:sz="0" w:space="0" w:color="auto"/>
                    <w:bottom w:val="none" w:sz="0" w:space="0" w:color="auto"/>
                    <w:right w:val="none" w:sz="0" w:space="0" w:color="auto"/>
                  </w:divBdr>
                </w:div>
                <w:div w:id="1848518070">
                  <w:marLeft w:val="0"/>
                  <w:marRight w:val="0"/>
                  <w:marTop w:val="0"/>
                  <w:marBottom w:val="0"/>
                  <w:divBdr>
                    <w:top w:val="none" w:sz="0" w:space="0" w:color="auto"/>
                    <w:left w:val="none" w:sz="0" w:space="0" w:color="auto"/>
                    <w:bottom w:val="none" w:sz="0" w:space="0" w:color="auto"/>
                    <w:right w:val="none" w:sz="0" w:space="0" w:color="auto"/>
                  </w:divBdr>
                </w:div>
              </w:divsChild>
            </w:div>
            <w:div w:id="1630234844">
              <w:marLeft w:val="0"/>
              <w:marRight w:val="0"/>
              <w:marTop w:val="0"/>
              <w:marBottom w:val="0"/>
              <w:divBdr>
                <w:top w:val="none" w:sz="0" w:space="0" w:color="auto"/>
                <w:left w:val="none" w:sz="0" w:space="0" w:color="auto"/>
                <w:bottom w:val="none" w:sz="0" w:space="0" w:color="auto"/>
                <w:right w:val="none" w:sz="0" w:space="0" w:color="auto"/>
              </w:divBdr>
            </w:div>
            <w:div w:id="1923027890">
              <w:marLeft w:val="0"/>
              <w:marRight w:val="0"/>
              <w:marTop w:val="0"/>
              <w:marBottom w:val="0"/>
              <w:divBdr>
                <w:top w:val="none" w:sz="0" w:space="0" w:color="auto"/>
                <w:left w:val="none" w:sz="0" w:space="0" w:color="auto"/>
                <w:bottom w:val="none" w:sz="0" w:space="0" w:color="auto"/>
                <w:right w:val="none" w:sz="0" w:space="0" w:color="auto"/>
              </w:divBdr>
            </w:div>
            <w:div w:id="20848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6901">
      <w:bodyDiv w:val="1"/>
      <w:marLeft w:val="0"/>
      <w:marRight w:val="0"/>
      <w:marTop w:val="0"/>
      <w:marBottom w:val="0"/>
      <w:divBdr>
        <w:top w:val="none" w:sz="0" w:space="0" w:color="auto"/>
        <w:left w:val="none" w:sz="0" w:space="0" w:color="auto"/>
        <w:bottom w:val="none" w:sz="0" w:space="0" w:color="auto"/>
        <w:right w:val="none" w:sz="0" w:space="0" w:color="auto"/>
      </w:divBdr>
      <w:divsChild>
        <w:div w:id="1704750278">
          <w:marLeft w:val="0"/>
          <w:marRight w:val="0"/>
          <w:marTop w:val="0"/>
          <w:marBottom w:val="0"/>
          <w:divBdr>
            <w:top w:val="none" w:sz="0" w:space="0" w:color="auto"/>
            <w:left w:val="none" w:sz="0" w:space="0" w:color="auto"/>
            <w:bottom w:val="none" w:sz="0" w:space="0" w:color="auto"/>
            <w:right w:val="none" w:sz="0" w:space="0" w:color="auto"/>
          </w:divBdr>
          <w:divsChild>
            <w:div w:id="1598295360">
              <w:marLeft w:val="0"/>
              <w:marRight w:val="0"/>
              <w:marTop w:val="0"/>
              <w:marBottom w:val="0"/>
              <w:divBdr>
                <w:top w:val="none" w:sz="0" w:space="0" w:color="auto"/>
                <w:left w:val="none" w:sz="0" w:space="0" w:color="auto"/>
                <w:bottom w:val="none" w:sz="0" w:space="0" w:color="auto"/>
                <w:right w:val="none" w:sz="0" w:space="0" w:color="auto"/>
              </w:divBdr>
              <w:divsChild>
                <w:div w:id="10442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458">
      <w:bodyDiv w:val="1"/>
      <w:marLeft w:val="0"/>
      <w:marRight w:val="0"/>
      <w:marTop w:val="0"/>
      <w:marBottom w:val="0"/>
      <w:divBdr>
        <w:top w:val="none" w:sz="0" w:space="0" w:color="auto"/>
        <w:left w:val="none" w:sz="0" w:space="0" w:color="auto"/>
        <w:bottom w:val="none" w:sz="0" w:space="0" w:color="auto"/>
        <w:right w:val="none" w:sz="0" w:space="0" w:color="auto"/>
      </w:divBdr>
      <w:divsChild>
        <w:div w:id="1154176203">
          <w:marLeft w:val="0"/>
          <w:marRight w:val="0"/>
          <w:marTop w:val="0"/>
          <w:marBottom w:val="0"/>
          <w:divBdr>
            <w:top w:val="none" w:sz="0" w:space="0" w:color="auto"/>
            <w:left w:val="none" w:sz="0" w:space="0" w:color="auto"/>
            <w:bottom w:val="none" w:sz="0" w:space="0" w:color="auto"/>
            <w:right w:val="none" w:sz="0" w:space="0" w:color="auto"/>
          </w:divBdr>
          <w:divsChild>
            <w:div w:id="1884635419">
              <w:marLeft w:val="0"/>
              <w:marRight w:val="0"/>
              <w:marTop w:val="0"/>
              <w:marBottom w:val="0"/>
              <w:divBdr>
                <w:top w:val="none" w:sz="0" w:space="0" w:color="auto"/>
                <w:left w:val="none" w:sz="0" w:space="0" w:color="auto"/>
                <w:bottom w:val="none" w:sz="0" w:space="0" w:color="auto"/>
                <w:right w:val="none" w:sz="0" w:space="0" w:color="auto"/>
              </w:divBdr>
              <w:divsChild>
                <w:div w:id="994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5547">
      <w:bodyDiv w:val="1"/>
      <w:marLeft w:val="0"/>
      <w:marRight w:val="0"/>
      <w:marTop w:val="0"/>
      <w:marBottom w:val="0"/>
      <w:divBdr>
        <w:top w:val="none" w:sz="0" w:space="0" w:color="auto"/>
        <w:left w:val="none" w:sz="0" w:space="0" w:color="auto"/>
        <w:bottom w:val="none" w:sz="0" w:space="0" w:color="auto"/>
        <w:right w:val="none" w:sz="0" w:space="0" w:color="auto"/>
      </w:divBdr>
      <w:divsChild>
        <w:div w:id="653997547">
          <w:marLeft w:val="0"/>
          <w:marRight w:val="0"/>
          <w:marTop w:val="0"/>
          <w:marBottom w:val="0"/>
          <w:divBdr>
            <w:top w:val="none" w:sz="0" w:space="0" w:color="auto"/>
            <w:left w:val="none" w:sz="0" w:space="0" w:color="auto"/>
            <w:bottom w:val="none" w:sz="0" w:space="0" w:color="auto"/>
            <w:right w:val="none" w:sz="0" w:space="0" w:color="auto"/>
          </w:divBdr>
          <w:divsChild>
            <w:div w:id="705451445">
              <w:marLeft w:val="0"/>
              <w:marRight w:val="0"/>
              <w:marTop w:val="0"/>
              <w:marBottom w:val="0"/>
              <w:divBdr>
                <w:top w:val="none" w:sz="0" w:space="0" w:color="auto"/>
                <w:left w:val="none" w:sz="0" w:space="0" w:color="auto"/>
                <w:bottom w:val="none" w:sz="0" w:space="0" w:color="auto"/>
                <w:right w:val="none" w:sz="0" w:space="0" w:color="auto"/>
              </w:divBdr>
              <w:divsChild>
                <w:div w:id="17642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5078">
      <w:bodyDiv w:val="1"/>
      <w:marLeft w:val="0"/>
      <w:marRight w:val="0"/>
      <w:marTop w:val="0"/>
      <w:marBottom w:val="0"/>
      <w:divBdr>
        <w:top w:val="none" w:sz="0" w:space="0" w:color="auto"/>
        <w:left w:val="none" w:sz="0" w:space="0" w:color="auto"/>
        <w:bottom w:val="none" w:sz="0" w:space="0" w:color="auto"/>
        <w:right w:val="none" w:sz="0" w:space="0" w:color="auto"/>
      </w:divBdr>
      <w:divsChild>
        <w:div w:id="1149977508">
          <w:marLeft w:val="0"/>
          <w:marRight w:val="0"/>
          <w:marTop w:val="0"/>
          <w:marBottom w:val="0"/>
          <w:divBdr>
            <w:top w:val="none" w:sz="0" w:space="0" w:color="auto"/>
            <w:left w:val="none" w:sz="0" w:space="0" w:color="auto"/>
            <w:bottom w:val="none" w:sz="0" w:space="0" w:color="auto"/>
            <w:right w:val="none" w:sz="0" w:space="0" w:color="auto"/>
          </w:divBdr>
          <w:divsChild>
            <w:div w:id="432091264">
              <w:marLeft w:val="0"/>
              <w:marRight w:val="0"/>
              <w:marTop w:val="0"/>
              <w:marBottom w:val="0"/>
              <w:divBdr>
                <w:top w:val="none" w:sz="0" w:space="0" w:color="auto"/>
                <w:left w:val="none" w:sz="0" w:space="0" w:color="auto"/>
                <w:bottom w:val="none" w:sz="0" w:space="0" w:color="auto"/>
                <w:right w:val="none" w:sz="0" w:space="0" w:color="auto"/>
              </w:divBdr>
              <w:divsChild>
                <w:div w:id="14787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355">
      <w:bodyDiv w:val="1"/>
      <w:marLeft w:val="0"/>
      <w:marRight w:val="0"/>
      <w:marTop w:val="0"/>
      <w:marBottom w:val="0"/>
      <w:divBdr>
        <w:top w:val="none" w:sz="0" w:space="0" w:color="auto"/>
        <w:left w:val="none" w:sz="0" w:space="0" w:color="auto"/>
        <w:bottom w:val="none" w:sz="0" w:space="0" w:color="auto"/>
        <w:right w:val="none" w:sz="0" w:space="0" w:color="auto"/>
      </w:divBdr>
    </w:div>
    <w:div w:id="174350526">
      <w:bodyDiv w:val="1"/>
      <w:marLeft w:val="0"/>
      <w:marRight w:val="0"/>
      <w:marTop w:val="0"/>
      <w:marBottom w:val="0"/>
      <w:divBdr>
        <w:top w:val="none" w:sz="0" w:space="0" w:color="auto"/>
        <w:left w:val="none" w:sz="0" w:space="0" w:color="auto"/>
        <w:bottom w:val="none" w:sz="0" w:space="0" w:color="auto"/>
        <w:right w:val="none" w:sz="0" w:space="0" w:color="auto"/>
      </w:divBdr>
      <w:divsChild>
        <w:div w:id="183400490">
          <w:marLeft w:val="0"/>
          <w:marRight w:val="0"/>
          <w:marTop w:val="0"/>
          <w:marBottom w:val="0"/>
          <w:divBdr>
            <w:top w:val="none" w:sz="0" w:space="0" w:color="auto"/>
            <w:left w:val="none" w:sz="0" w:space="0" w:color="auto"/>
            <w:bottom w:val="none" w:sz="0" w:space="0" w:color="auto"/>
            <w:right w:val="none" w:sz="0" w:space="0" w:color="auto"/>
          </w:divBdr>
          <w:divsChild>
            <w:div w:id="373970333">
              <w:marLeft w:val="0"/>
              <w:marRight w:val="0"/>
              <w:marTop w:val="0"/>
              <w:marBottom w:val="0"/>
              <w:divBdr>
                <w:top w:val="none" w:sz="0" w:space="0" w:color="auto"/>
                <w:left w:val="none" w:sz="0" w:space="0" w:color="auto"/>
                <w:bottom w:val="none" w:sz="0" w:space="0" w:color="auto"/>
                <w:right w:val="none" w:sz="0" w:space="0" w:color="auto"/>
              </w:divBdr>
              <w:divsChild>
                <w:div w:id="10356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987">
      <w:bodyDiv w:val="1"/>
      <w:marLeft w:val="0"/>
      <w:marRight w:val="0"/>
      <w:marTop w:val="0"/>
      <w:marBottom w:val="0"/>
      <w:divBdr>
        <w:top w:val="none" w:sz="0" w:space="0" w:color="auto"/>
        <w:left w:val="none" w:sz="0" w:space="0" w:color="auto"/>
        <w:bottom w:val="none" w:sz="0" w:space="0" w:color="auto"/>
        <w:right w:val="none" w:sz="0" w:space="0" w:color="auto"/>
      </w:divBdr>
      <w:divsChild>
        <w:div w:id="436363891">
          <w:marLeft w:val="0"/>
          <w:marRight w:val="0"/>
          <w:marTop w:val="0"/>
          <w:marBottom w:val="0"/>
          <w:divBdr>
            <w:top w:val="none" w:sz="0" w:space="0" w:color="auto"/>
            <w:left w:val="none" w:sz="0" w:space="0" w:color="auto"/>
            <w:bottom w:val="none" w:sz="0" w:space="0" w:color="auto"/>
            <w:right w:val="none" w:sz="0" w:space="0" w:color="auto"/>
          </w:divBdr>
          <w:divsChild>
            <w:div w:id="1178958353">
              <w:marLeft w:val="0"/>
              <w:marRight w:val="0"/>
              <w:marTop w:val="0"/>
              <w:marBottom w:val="0"/>
              <w:divBdr>
                <w:top w:val="none" w:sz="0" w:space="0" w:color="auto"/>
                <w:left w:val="none" w:sz="0" w:space="0" w:color="auto"/>
                <w:bottom w:val="none" w:sz="0" w:space="0" w:color="auto"/>
                <w:right w:val="none" w:sz="0" w:space="0" w:color="auto"/>
              </w:divBdr>
              <w:divsChild>
                <w:div w:id="18639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130">
      <w:bodyDiv w:val="1"/>
      <w:marLeft w:val="0"/>
      <w:marRight w:val="0"/>
      <w:marTop w:val="0"/>
      <w:marBottom w:val="0"/>
      <w:divBdr>
        <w:top w:val="none" w:sz="0" w:space="0" w:color="auto"/>
        <w:left w:val="none" w:sz="0" w:space="0" w:color="auto"/>
        <w:bottom w:val="none" w:sz="0" w:space="0" w:color="auto"/>
        <w:right w:val="none" w:sz="0" w:space="0" w:color="auto"/>
      </w:divBdr>
    </w:div>
    <w:div w:id="177500544">
      <w:bodyDiv w:val="1"/>
      <w:marLeft w:val="0"/>
      <w:marRight w:val="0"/>
      <w:marTop w:val="0"/>
      <w:marBottom w:val="0"/>
      <w:divBdr>
        <w:top w:val="none" w:sz="0" w:space="0" w:color="auto"/>
        <w:left w:val="none" w:sz="0" w:space="0" w:color="auto"/>
        <w:bottom w:val="none" w:sz="0" w:space="0" w:color="auto"/>
        <w:right w:val="none" w:sz="0" w:space="0" w:color="auto"/>
      </w:divBdr>
    </w:div>
    <w:div w:id="186141309">
      <w:bodyDiv w:val="1"/>
      <w:marLeft w:val="0"/>
      <w:marRight w:val="0"/>
      <w:marTop w:val="0"/>
      <w:marBottom w:val="0"/>
      <w:divBdr>
        <w:top w:val="none" w:sz="0" w:space="0" w:color="auto"/>
        <w:left w:val="none" w:sz="0" w:space="0" w:color="auto"/>
        <w:bottom w:val="none" w:sz="0" w:space="0" w:color="auto"/>
        <w:right w:val="none" w:sz="0" w:space="0" w:color="auto"/>
      </w:divBdr>
      <w:divsChild>
        <w:div w:id="336544292">
          <w:marLeft w:val="0"/>
          <w:marRight w:val="0"/>
          <w:marTop w:val="0"/>
          <w:marBottom w:val="0"/>
          <w:divBdr>
            <w:top w:val="none" w:sz="0" w:space="0" w:color="auto"/>
            <w:left w:val="none" w:sz="0" w:space="0" w:color="auto"/>
            <w:bottom w:val="none" w:sz="0" w:space="0" w:color="auto"/>
            <w:right w:val="none" w:sz="0" w:space="0" w:color="auto"/>
          </w:divBdr>
          <w:divsChild>
            <w:div w:id="580213950">
              <w:marLeft w:val="0"/>
              <w:marRight w:val="0"/>
              <w:marTop w:val="0"/>
              <w:marBottom w:val="0"/>
              <w:divBdr>
                <w:top w:val="none" w:sz="0" w:space="0" w:color="auto"/>
                <w:left w:val="none" w:sz="0" w:space="0" w:color="auto"/>
                <w:bottom w:val="none" w:sz="0" w:space="0" w:color="auto"/>
                <w:right w:val="none" w:sz="0" w:space="0" w:color="auto"/>
              </w:divBdr>
              <w:divsChild>
                <w:div w:id="12855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472">
      <w:bodyDiv w:val="1"/>
      <w:marLeft w:val="0"/>
      <w:marRight w:val="0"/>
      <w:marTop w:val="0"/>
      <w:marBottom w:val="0"/>
      <w:divBdr>
        <w:top w:val="none" w:sz="0" w:space="0" w:color="auto"/>
        <w:left w:val="none" w:sz="0" w:space="0" w:color="auto"/>
        <w:bottom w:val="none" w:sz="0" w:space="0" w:color="auto"/>
        <w:right w:val="none" w:sz="0" w:space="0" w:color="auto"/>
      </w:divBdr>
    </w:div>
    <w:div w:id="194584144">
      <w:bodyDiv w:val="1"/>
      <w:marLeft w:val="0"/>
      <w:marRight w:val="0"/>
      <w:marTop w:val="0"/>
      <w:marBottom w:val="0"/>
      <w:divBdr>
        <w:top w:val="none" w:sz="0" w:space="0" w:color="auto"/>
        <w:left w:val="none" w:sz="0" w:space="0" w:color="auto"/>
        <w:bottom w:val="none" w:sz="0" w:space="0" w:color="auto"/>
        <w:right w:val="none" w:sz="0" w:space="0" w:color="auto"/>
      </w:divBdr>
      <w:divsChild>
        <w:div w:id="1863859528">
          <w:marLeft w:val="0"/>
          <w:marRight w:val="0"/>
          <w:marTop w:val="0"/>
          <w:marBottom w:val="0"/>
          <w:divBdr>
            <w:top w:val="none" w:sz="0" w:space="0" w:color="auto"/>
            <w:left w:val="none" w:sz="0" w:space="0" w:color="auto"/>
            <w:bottom w:val="none" w:sz="0" w:space="0" w:color="auto"/>
            <w:right w:val="none" w:sz="0" w:space="0" w:color="auto"/>
          </w:divBdr>
          <w:divsChild>
            <w:div w:id="1667786128">
              <w:marLeft w:val="0"/>
              <w:marRight w:val="0"/>
              <w:marTop w:val="0"/>
              <w:marBottom w:val="0"/>
              <w:divBdr>
                <w:top w:val="none" w:sz="0" w:space="0" w:color="auto"/>
                <w:left w:val="none" w:sz="0" w:space="0" w:color="auto"/>
                <w:bottom w:val="none" w:sz="0" w:space="0" w:color="auto"/>
                <w:right w:val="none" w:sz="0" w:space="0" w:color="auto"/>
              </w:divBdr>
              <w:divsChild>
                <w:div w:id="16339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541">
      <w:bodyDiv w:val="1"/>
      <w:marLeft w:val="0"/>
      <w:marRight w:val="0"/>
      <w:marTop w:val="0"/>
      <w:marBottom w:val="0"/>
      <w:divBdr>
        <w:top w:val="none" w:sz="0" w:space="0" w:color="auto"/>
        <w:left w:val="none" w:sz="0" w:space="0" w:color="auto"/>
        <w:bottom w:val="none" w:sz="0" w:space="0" w:color="auto"/>
        <w:right w:val="none" w:sz="0" w:space="0" w:color="auto"/>
      </w:divBdr>
    </w:div>
    <w:div w:id="208692911">
      <w:bodyDiv w:val="1"/>
      <w:marLeft w:val="0"/>
      <w:marRight w:val="0"/>
      <w:marTop w:val="0"/>
      <w:marBottom w:val="0"/>
      <w:divBdr>
        <w:top w:val="none" w:sz="0" w:space="0" w:color="auto"/>
        <w:left w:val="none" w:sz="0" w:space="0" w:color="auto"/>
        <w:bottom w:val="none" w:sz="0" w:space="0" w:color="auto"/>
        <w:right w:val="none" w:sz="0" w:space="0" w:color="auto"/>
      </w:divBdr>
      <w:divsChild>
        <w:div w:id="1328440407">
          <w:marLeft w:val="0"/>
          <w:marRight w:val="0"/>
          <w:marTop w:val="0"/>
          <w:marBottom w:val="0"/>
          <w:divBdr>
            <w:top w:val="none" w:sz="0" w:space="0" w:color="auto"/>
            <w:left w:val="none" w:sz="0" w:space="0" w:color="auto"/>
            <w:bottom w:val="none" w:sz="0" w:space="0" w:color="auto"/>
            <w:right w:val="none" w:sz="0" w:space="0" w:color="auto"/>
          </w:divBdr>
          <w:divsChild>
            <w:div w:id="1194266220">
              <w:marLeft w:val="0"/>
              <w:marRight w:val="0"/>
              <w:marTop w:val="0"/>
              <w:marBottom w:val="0"/>
              <w:divBdr>
                <w:top w:val="none" w:sz="0" w:space="0" w:color="auto"/>
                <w:left w:val="none" w:sz="0" w:space="0" w:color="auto"/>
                <w:bottom w:val="none" w:sz="0" w:space="0" w:color="auto"/>
                <w:right w:val="none" w:sz="0" w:space="0" w:color="auto"/>
              </w:divBdr>
              <w:divsChild>
                <w:div w:id="12798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3128">
      <w:bodyDiv w:val="1"/>
      <w:marLeft w:val="0"/>
      <w:marRight w:val="0"/>
      <w:marTop w:val="0"/>
      <w:marBottom w:val="0"/>
      <w:divBdr>
        <w:top w:val="none" w:sz="0" w:space="0" w:color="auto"/>
        <w:left w:val="none" w:sz="0" w:space="0" w:color="auto"/>
        <w:bottom w:val="none" w:sz="0" w:space="0" w:color="auto"/>
        <w:right w:val="none" w:sz="0" w:space="0" w:color="auto"/>
      </w:divBdr>
    </w:div>
    <w:div w:id="215699472">
      <w:bodyDiv w:val="1"/>
      <w:marLeft w:val="0"/>
      <w:marRight w:val="0"/>
      <w:marTop w:val="0"/>
      <w:marBottom w:val="0"/>
      <w:divBdr>
        <w:top w:val="none" w:sz="0" w:space="0" w:color="auto"/>
        <w:left w:val="none" w:sz="0" w:space="0" w:color="auto"/>
        <w:bottom w:val="none" w:sz="0" w:space="0" w:color="auto"/>
        <w:right w:val="none" w:sz="0" w:space="0" w:color="auto"/>
      </w:divBdr>
    </w:div>
    <w:div w:id="219832423">
      <w:bodyDiv w:val="1"/>
      <w:marLeft w:val="0"/>
      <w:marRight w:val="0"/>
      <w:marTop w:val="0"/>
      <w:marBottom w:val="0"/>
      <w:divBdr>
        <w:top w:val="none" w:sz="0" w:space="0" w:color="auto"/>
        <w:left w:val="none" w:sz="0" w:space="0" w:color="auto"/>
        <w:bottom w:val="none" w:sz="0" w:space="0" w:color="auto"/>
        <w:right w:val="none" w:sz="0" w:space="0" w:color="auto"/>
      </w:divBdr>
      <w:divsChild>
        <w:div w:id="1231892514">
          <w:marLeft w:val="0"/>
          <w:marRight w:val="0"/>
          <w:marTop w:val="0"/>
          <w:marBottom w:val="0"/>
          <w:divBdr>
            <w:top w:val="none" w:sz="0" w:space="0" w:color="auto"/>
            <w:left w:val="none" w:sz="0" w:space="0" w:color="auto"/>
            <w:bottom w:val="none" w:sz="0" w:space="0" w:color="auto"/>
            <w:right w:val="none" w:sz="0" w:space="0" w:color="auto"/>
          </w:divBdr>
          <w:divsChild>
            <w:div w:id="415977449">
              <w:marLeft w:val="0"/>
              <w:marRight w:val="0"/>
              <w:marTop w:val="0"/>
              <w:marBottom w:val="0"/>
              <w:divBdr>
                <w:top w:val="none" w:sz="0" w:space="0" w:color="auto"/>
                <w:left w:val="none" w:sz="0" w:space="0" w:color="auto"/>
                <w:bottom w:val="none" w:sz="0" w:space="0" w:color="auto"/>
                <w:right w:val="none" w:sz="0" w:space="0" w:color="auto"/>
              </w:divBdr>
              <w:divsChild>
                <w:div w:id="1679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634">
      <w:bodyDiv w:val="1"/>
      <w:marLeft w:val="0"/>
      <w:marRight w:val="0"/>
      <w:marTop w:val="0"/>
      <w:marBottom w:val="0"/>
      <w:divBdr>
        <w:top w:val="none" w:sz="0" w:space="0" w:color="auto"/>
        <w:left w:val="none" w:sz="0" w:space="0" w:color="auto"/>
        <w:bottom w:val="none" w:sz="0" w:space="0" w:color="auto"/>
        <w:right w:val="none" w:sz="0" w:space="0" w:color="auto"/>
      </w:divBdr>
    </w:div>
    <w:div w:id="224340649">
      <w:bodyDiv w:val="1"/>
      <w:marLeft w:val="0"/>
      <w:marRight w:val="0"/>
      <w:marTop w:val="0"/>
      <w:marBottom w:val="0"/>
      <w:divBdr>
        <w:top w:val="none" w:sz="0" w:space="0" w:color="auto"/>
        <w:left w:val="none" w:sz="0" w:space="0" w:color="auto"/>
        <w:bottom w:val="none" w:sz="0" w:space="0" w:color="auto"/>
        <w:right w:val="none" w:sz="0" w:space="0" w:color="auto"/>
      </w:divBdr>
      <w:divsChild>
        <w:div w:id="1904688">
          <w:marLeft w:val="0"/>
          <w:marRight w:val="0"/>
          <w:marTop w:val="0"/>
          <w:marBottom w:val="0"/>
          <w:divBdr>
            <w:top w:val="none" w:sz="0" w:space="0" w:color="auto"/>
            <w:left w:val="none" w:sz="0" w:space="0" w:color="auto"/>
            <w:bottom w:val="none" w:sz="0" w:space="0" w:color="auto"/>
            <w:right w:val="none" w:sz="0" w:space="0" w:color="auto"/>
          </w:divBdr>
          <w:divsChild>
            <w:div w:id="2093355159">
              <w:marLeft w:val="0"/>
              <w:marRight w:val="0"/>
              <w:marTop w:val="0"/>
              <w:marBottom w:val="0"/>
              <w:divBdr>
                <w:top w:val="none" w:sz="0" w:space="0" w:color="auto"/>
                <w:left w:val="none" w:sz="0" w:space="0" w:color="auto"/>
                <w:bottom w:val="none" w:sz="0" w:space="0" w:color="auto"/>
                <w:right w:val="none" w:sz="0" w:space="0" w:color="auto"/>
              </w:divBdr>
              <w:divsChild>
                <w:div w:id="16706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4074">
      <w:bodyDiv w:val="1"/>
      <w:marLeft w:val="0"/>
      <w:marRight w:val="0"/>
      <w:marTop w:val="0"/>
      <w:marBottom w:val="0"/>
      <w:divBdr>
        <w:top w:val="none" w:sz="0" w:space="0" w:color="auto"/>
        <w:left w:val="none" w:sz="0" w:space="0" w:color="auto"/>
        <w:bottom w:val="none" w:sz="0" w:space="0" w:color="auto"/>
        <w:right w:val="none" w:sz="0" w:space="0" w:color="auto"/>
      </w:divBdr>
      <w:divsChild>
        <w:div w:id="589431345">
          <w:marLeft w:val="0"/>
          <w:marRight w:val="0"/>
          <w:marTop w:val="0"/>
          <w:marBottom w:val="0"/>
          <w:divBdr>
            <w:top w:val="none" w:sz="0" w:space="0" w:color="auto"/>
            <w:left w:val="none" w:sz="0" w:space="0" w:color="auto"/>
            <w:bottom w:val="none" w:sz="0" w:space="0" w:color="auto"/>
            <w:right w:val="none" w:sz="0" w:space="0" w:color="auto"/>
          </w:divBdr>
          <w:divsChild>
            <w:div w:id="1743991108">
              <w:marLeft w:val="0"/>
              <w:marRight w:val="0"/>
              <w:marTop w:val="0"/>
              <w:marBottom w:val="0"/>
              <w:divBdr>
                <w:top w:val="none" w:sz="0" w:space="0" w:color="auto"/>
                <w:left w:val="none" w:sz="0" w:space="0" w:color="auto"/>
                <w:bottom w:val="none" w:sz="0" w:space="0" w:color="auto"/>
                <w:right w:val="none" w:sz="0" w:space="0" w:color="auto"/>
              </w:divBdr>
              <w:divsChild>
                <w:div w:id="17178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4597">
      <w:bodyDiv w:val="1"/>
      <w:marLeft w:val="0"/>
      <w:marRight w:val="0"/>
      <w:marTop w:val="0"/>
      <w:marBottom w:val="0"/>
      <w:divBdr>
        <w:top w:val="none" w:sz="0" w:space="0" w:color="auto"/>
        <w:left w:val="none" w:sz="0" w:space="0" w:color="auto"/>
        <w:bottom w:val="none" w:sz="0" w:space="0" w:color="auto"/>
        <w:right w:val="none" w:sz="0" w:space="0" w:color="auto"/>
      </w:divBdr>
      <w:divsChild>
        <w:div w:id="533231625">
          <w:marLeft w:val="0"/>
          <w:marRight w:val="0"/>
          <w:marTop w:val="0"/>
          <w:marBottom w:val="0"/>
          <w:divBdr>
            <w:top w:val="none" w:sz="0" w:space="0" w:color="auto"/>
            <w:left w:val="none" w:sz="0" w:space="0" w:color="auto"/>
            <w:bottom w:val="none" w:sz="0" w:space="0" w:color="auto"/>
            <w:right w:val="none" w:sz="0" w:space="0" w:color="auto"/>
          </w:divBdr>
          <w:divsChild>
            <w:div w:id="996494005">
              <w:marLeft w:val="0"/>
              <w:marRight w:val="0"/>
              <w:marTop w:val="0"/>
              <w:marBottom w:val="0"/>
              <w:divBdr>
                <w:top w:val="none" w:sz="0" w:space="0" w:color="auto"/>
                <w:left w:val="none" w:sz="0" w:space="0" w:color="auto"/>
                <w:bottom w:val="none" w:sz="0" w:space="0" w:color="auto"/>
                <w:right w:val="none" w:sz="0" w:space="0" w:color="auto"/>
              </w:divBdr>
              <w:divsChild>
                <w:div w:id="10468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8987">
      <w:bodyDiv w:val="1"/>
      <w:marLeft w:val="0"/>
      <w:marRight w:val="0"/>
      <w:marTop w:val="0"/>
      <w:marBottom w:val="0"/>
      <w:divBdr>
        <w:top w:val="none" w:sz="0" w:space="0" w:color="auto"/>
        <w:left w:val="none" w:sz="0" w:space="0" w:color="auto"/>
        <w:bottom w:val="none" w:sz="0" w:space="0" w:color="auto"/>
        <w:right w:val="none" w:sz="0" w:space="0" w:color="auto"/>
      </w:divBdr>
    </w:div>
    <w:div w:id="228855139">
      <w:bodyDiv w:val="1"/>
      <w:marLeft w:val="0"/>
      <w:marRight w:val="0"/>
      <w:marTop w:val="0"/>
      <w:marBottom w:val="0"/>
      <w:divBdr>
        <w:top w:val="none" w:sz="0" w:space="0" w:color="auto"/>
        <w:left w:val="none" w:sz="0" w:space="0" w:color="auto"/>
        <w:bottom w:val="none" w:sz="0" w:space="0" w:color="auto"/>
        <w:right w:val="none" w:sz="0" w:space="0" w:color="auto"/>
      </w:divBdr>
      <w:divsChild>
        <w:div w:id="1865902925">
          <w:marLeft w:val="0"/>
          <w:marRight w:val="0"/>
          <w:marTop w:val="0"/>
          <w:marBottom w:val="0"/>
          <w:divBdr>
            <w:top w:val="none" w:sz="0" w:space="0" w:color="auto"/>
            <w:left w:val="none" w:sz="0" w:space="0" w:color="auto"/>
            <w:bottom w:val="none" w:sz="0" w:space="0" w:color="auto"/>
            <w:right w:val="none" w:sz="0" w:space="0" w:color="auto"/>
          </w:divBdr>
          <w:divsChild>
            <w:div w:id="1412267820">
              <w:marLeft w:val="0"/>
              <w:marRight w:val="0"/>
              <w:marTop w:val="0"/>
              <w:marBottom w:val="0"/>
              <w:divBdr>
                <w:top w:val="none" w:sz="0" w:space="0" w:color="auto"/>
                <w:left w:val="none" w:sz="0" w:space="0" w:color="auto"/>
                <w:bottom w:val="none" w:sz="0" w:space="0" w:color="auto"/>
                <w:right w:val="none" w:sz="0" w:space="0" w:color="auto"/>
              </w:divBdr>
              <w:divsChild>
                <w:div w:id="4750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09126">
      <w:bodyDiv w:val="1"/>
      <w:marLeft w:val="0"/>
      <w:marRight w:val="0"/>
      <w:marTop w:val="0"/>
      <w:marBottom w:val="0"/>
      <w:divBdr>
        <w:top w:val="none" w:sz="0" w:space="0" w:color="auto"/>
        <w:left w:val="none" w:sz="0" w:space="0" w:color="auto"/>
        <w:bottom w:val="none" w:sz="0" w:space="0" w:color="auto"/>
        <w:right w:val="none" w:sz="0" w:space="0" w:color="auto"/>
      </w:divBdr>
      <w:divsChild>
        <w:div w:id="597299498">
          <w:marLeft w:val="0"/>
          <w:marRight w:val="0"/>
          <w:marTop w:val="0"/>
          <w:marBottom w:val="0"/>
          <w:divBdr>
            <w:top w:val="none" w:sz="0" w:space="0" w:color="auto"/>
            <w:left w:val="none" w:sz="0" w:space="0" w:color="auto"/>
            <w:bottom w:val="none" w:sz="0" w:space="0" w:color="auto"/>
            <w:right w:val="none" w:sz="0" w:space="0" w:color="auto"/>
          </w:divBdr>
          <w:divsChild>
            <w:div w:id="1194424656">
              <w:marLeft w:val="0"/>
              <w:marRight w:val="0"/>
              <w:marTop w:val="0"/>
              <w:marBottom w:val="0"/>
              <w:divBdr>
                <w:top w:val="none" w:sz="0" w:space="0" w:color="auto"/>
                <w:left w:val="none" w:sz="0" w:space="0" w:color="auto"/>
                <w:bottom w:val="none" w:sz="0" w:space="0" w:color="auto"/>
                <w:right w:val="none" w:sz="0" w:space="0" w:color="auto"/>
              </w:divBdr>
              <w:divsChild>
                <w:div w:id="13622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23067">
      <w:bodyDiv w:val="1"/>
      <w:marLeft w:val="0"/>
      <w:marRight w:val="0"/>
      <w:marTop w:val="0"/>
      <w:marBottom w:val="0"/>
      <w:divBdr>
        <w:top w:val="none" w:sz="0" w:space="0" w:color="auto"/>
        <w:left w:val="none" w:sz="0" w:space="0" w:color="auto"/>
        <w:bottom w:val="none" w:sz="0" w:space="0" w:color="auto"/>
        <w:right w:val="none" w:sz="0" w:space="0" w:color="auto"/>
      </w:divBdr>
      <w:divsChild>
        <w:div w:id="4208738">
          <w:marLeft w:val="0"/>
          <w:marRight w:val="0"/>
          <w:marTop w:val="0"/>
          <w:marBottom w:val="0"/>
          <w:divBdr>
            <w:top w:val="none" w:sz="0" w:space="0" w:color="auto"/>
            <w:left w:val="none" w:sz="0" w:space="0" w:color="auto"/>
            <w:bottom w:val="none" w:sz="0" w:space="0" w:color="auto"/>
            <w:right w:val="none" w:sz="0" w:space="0" w:color="auto"/>
          </w:divBdr>
          <w:divsChild>
            <w:div w:id="1253857086">
              <w:marLeft w:val="0"/>
              <w:marRight w:val="0"/>
              <w:marTop w:val="0"/>
              <w:marBottom w:val="0"/>
              <w:divBdr>
                <w:top w:val="none" w:sz="0" w:space="0" w:color="auto"/>
                <w:left w:val="none" w:sz="0" w:space="0" w:color="auto"/>
                <w:bottom w:val="none" w:sz="0" w:space="0" w:color="auto"/>
                <w:right w:val="none" w:sz="0" w:space="0" w:color="auto"/>
              </w:divBdr>
              <w:divsChild>
                <w:div w:id="16540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2169">
      <w:bodyDiv w:val="1"/>
      <w:marLeft w:val="0"/>
      <w:marRight w:val="0"/>
      <w:marTop w:val="0"/>
      <w:marBottom w:val="0"/>
      <w:divBdr>
        <w:top w:val="none" w:sz="0" w:space="0" w:color="auto"/>
        <w:left w:val="none" w:sz="0" w:space="0" w:color="auto"/>
        <w:bottom w:val="none" w:sz="0" w:space="0" w:color="auto"/>
        <w:right w:val="none" w:sz="0" w:space="0" w:color="auto"/>
      </w:divBdr>
      <w:divsChild>
        <w:div w:id="67268443">
          <w:marLeft w:val="0"/>
          <w:marRight w:val="0"/>
          <w:marTop w:val="0"/>
          <w:marBottom w:val="0"/>
          <w:divBdr>
            <w:top w:val="none" w:sz="0" w:space="0" w:color="auto"/>
            <w:left w:val="none" w:sz="0" w:space="0" w:color="auto"/>
            <w:bottom w:val="none" w:sz="0" w:space="0" w:color="auto"/>
            <w:right w:val="none" w:sz="0" w:space="0" w:color="auto"/>
          </w:divBdr>
          <w:divsChild>
            <w:div w:id="438261713">
              <w:marLeft w:val="0"/>
              <w:marRight w:val="0"/>
              <w:marTop w:val="0"/>
              <w:marBottom w:val="0"/>
              <w:divBdr>
                <w:top w:val="none" w:sz="0" w:space="0" w:color="auto"/>
                <w:left w:val="none" w:sz="0" w:space="0" w:color="auto"/>
                <w:bottom w:val="none" w:sz="0" w:space="0" w:color="auto"/>
                <w:right w:val="none" w:sz="0" w:space="0" w:color="auto"/>
              </w:divBdr>
              <w:divsChild>
                <w:div w:id="15366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4666">
      <w:bodyDiv w:val="1"/>
      <w:marLeft w:val="0"/>
      <w:marRight w:val="0"/>
      <w:marTop w:val="0"/>
      <w:marBottom w:val="0"/>
      <w:divBdr>
        <w:top w:val="none" w:sz="0" w:space="0" w:color="auto"/>
        <w:left w:val="none" w:sz="0" w:space="0" w:color="auto"/>
        <w:bottom w:val="none" w:sz="0" w:space="0" w:color="auto"/>
        <w:right w:val="none" w:sz="0" w:space="0" w:color="auto"/>
      </w:divBdr>
    </w:div>
    <w:div w:id="278220030">
      <w:bodyDiv w:val="1"/>
      <w:marLeft w:val="0"/>
      <w:marRight w:val="0"/>
      <w:marTop w:val="0"/>
      <w:marBottom w:val="0"/>
      <w:divBdr>
        <w:top w:val="none" w:sz="0" w:space="0" w:color="auto"/>
        <w:left w:val="none" w:sz="0" w:space="0" w:color="auto"/>
        <w:bottom w:val="none" w:sz="0" w:space="0" w:color="auto"/>
        <w:right w:val="none" w:sz="0" w:space="0" w:color="auto"/>
      </w:divBdr>
      <w:divsChild>
        <w:div w:id="1993411041">
          <w:marLeft w:val="0"/>
          <w:marRight w:val="0"/>
          <w:marTop w:val="0"/>
          <w:marBottom w:val="0"/>
          <w:divBdr>
            <w:top w:val="none" w:sz="0" w:space="0" w:color="auto"/>
            <w:left w:val="none" w:sz="0" w:space="0" w:color="auto"/>
            <w:bottom w:val="none" w:sz="0" w:space="0" w:color="auto"/>
            <w:right w:val="none" w:sz="0" w:space="0" w:color="auto"/>
          </w:divBdr>
          <w:divsChild>
            <w:div w:id="1852724136">
              <w:marLeft w:val="0"/>
              <w:marRight w:val="0"/>
              <w:marTop w:val="0"/>
              <w:marBottom w:val="0"/>
              <w:divBdr>
                <w:top w:val="none" w:sz="0" w:space="0" w:color="auto"/>
                <w:left w:val="none" w:sz="0" w:space="0" w:color="auto"/>
                <w:bottom w:val="none" w:sz="0" w:space="0" w:color="auto"/>
                <w:right w:val="none" w:sz="0" w:space="0" w:color="auto"/>
              </w:divBdr>
              <w:divsChild>
                <w:div w:id="11660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18283">
      <w:bodyDiv w:val="1"/>
      <w:marLeft w:val="0"/>
      <w:marRight w:val="0"/>
      <w:marTop w:val="0"/>
      <w:marBottom w:val="0"/>
      <w:divBdr>
        <w:top w:val="none" w:sz="0" w:space="0" w:color="auto"/>
        <w:left w:val="none" w:sz="0" w:space="0" w:color="auto"/>
        <w:bottom w:val="none" w:sz="0" w:space="0" w:color="auto"/>
        <w:right w:val="none" w:sz="0" w:space="0" w:color="auto"/>
      </w:divBdr>
      <w:divsChild>
        <w:div w:id="1901743533">
          <w:marLeft w:val="0"/>
          <w:marRight w:val="0"/>
          <w:marTop w:val="0"/>
          <w:marBottom w:val="0"/>
          <w:divBdr>
            <w:top w:val="none" w:sz="0" w:space="0" w:color="auto"/>
            <w:left w:val="none" w:sz="0" w:space="0" w:color="auto"/>
            <w:bottom w:val="none" w:sz="0" w:space="0" w:color="auto"/>
            <w:right w:val="none" w:sz="0" w:space="0" w:color="auto"/>
          </w:divBdr>
          <w:divsChild>
            <w:div w:id="116801270">
              <w:marLeft w:val="0"/>
              <w:marRight w:val="0"/>
              <w:marTop w:val="0"/>
              <w:marBottom w:val="0"/>
              <w:divBdr>
                <w:top w:val="none" w:sz="0" w:space="0" w:color="auto"/>
                <w:left w:val="none" w:sz="0" w:space="0" w:color="auto"/>
                <w:bottom w:val="none" w:sz="0" w:space="0" w:color="auto"/>
                <w:right w:val="none" w:sz="0" w:space="0" w:color="auto"/>
              </w:divBdr>
              <w:divsChild>
                <w:div w:id="8122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1830">
      <w:bodyDiv w:val="1"/>
      <w:marLeft w:val="0"/>
      <w:marRight w:val="0"/>
      <w:marTop w:val="0"/>
      <w:marBottom w:val="0"/>
      <w:divBdr>
        <w:top w:val="none" w:sz="0" w:space="0" w:color="auto"/>
        <w:left w:val="none" w:sz="0" w:space="0" w:color="auto"/>
        <w:bottom w:val="none" w:sz="0" w:space="0" w:color="auto"/>
        <w:right w:val="none" w:sz="0" w:space="0" w:color="auto"/>
      </w:divBdr>
    </w:div>
    <w:div w:id="285235953">
      <w:bodyDiv w:val="1"/>
      <w:marLeft w:val="0"/>
      <w:marRight w:val="0"/>
      <w:marTop w:val="0"/>
      <w:marBottom w:val="0"/>
      <w:divBdr>
        <w:top w:val="none" w:sz="0" w:space="0" w:color="auto"/>
        <w:left w:val="none" w:sz="0" w:space="0" w:color="auto"/>
        <w:bottom w:val="none" w:sz="0" w:space="0" w:color="auto"/>
        <w:right w:val="none" w:sz="0" w:space="0" w:color="auto"/>
      </w:divBdr>
      <w:divsChild>
        <w:div w:id="2110544179">
          <w:marLeft w:val="0"/>
          <w:marRight w:val="0"/>
          <w:marTop w:val="0"/>
          <w:marBottom w:val="0"/>
          <w:divBdr>
            <w:top w:val="none" w:sz="0" w:space="0" w:color="auto"/>
            <w:left w:val="none" w:sz="0" w:space="0" w:color="auto"/>
            <w:bottom w:val="none" w:sz="0" w:space="0" w:color="auto"/>
            <w:right w:val="none" w:sz="0" w:space="0" w:color="auto"/>
          </w:divBdr>
          <w:divsChild>
            <w:div w:id="467477156">
              <w:marLeft w:val="0"/>
              <w:marRight w:val="0"/>
              <w:marTop w:val="0"/>
              <w:marBottom w:val="0"/>
              <w:divBdr>
                <w:top w:val="none" w:sz="0" w:space="0" w:color="auto"/>
                <w:left w:val="none" w:sz="0" w:space="0" w:color="auto"/>
                <w:bottom w:val="none" w:sz="0" w:space="0" w:color="auto"/>
                <w:right w:val="none" w:sz="0" w:space="0" w:color="auto"/>
              </w:divBdr>
              <w:divsChild>
                <w:div w:id="1391462301">
                  <w:marLeft w:val="0"/>
                  <w:marRight w:val="0"/>
                  <w:marTop w:val="0"/>
                  <w:marBottom w:val="0"/>
                  <w:divBdr>
                    <w:top w:val="none" w:sz="0" w:space="0" w:color="auto"/>
                    <w:left w:val="none" w:sz="0" w:space="0" w:color="auto"/>
                    <w:bottom w:val="none" w:sz="0" w:space="0" w:color="auto"/>
                    <w:right w:val="none" w:sz="0" w:space="0" w:color="auto"/>
                  </w:divBdr>
                  <w:divsChild>
                    <w:div w:id="14545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344388">
      <w:bodyDiv w:val="1"/>
      <w:marLeft w:val="0"/>
      <w:marRight w:val="0"/>
      <w:marTop w:val="0"/>
      <w:marBottom w:val="0"/>
      <w:divBdr>
        <w:top w:val="none" w:sz="0" w:space="0" w:color="auto"/>
        <w:left w:val="none" w:sz="0" w:space="0" w:color="auto"/>
        <w:bottom w:val="none" w:sz="0" w:space="0" w:color="auto"/>
        <w:right w:val="none" w:sz="0" w:space="0" w:color="auto"/>
      </w:divBdr>
    </w:div>
    <w:div w:id="301693769">
      <w:bodyDiv w:val="1"/>
      <w:marLeft w:val="0"/>
      <w:marRight w:val="0"/>
      <w:marTop w:val="0"/>
      <w:marBottom w:val="0"/>
      <w:divBdr>
        <w:top w:val="none" w:sz="0" w:space="0" w:color="auto"/>
        <w:left w:val="none" w:sz="0" w:space="0" w:color="auto"/>
        <w:bottom w:val="none" w:sz="0" w:space="0" w:color="auto"/>
        <w:right w:val="none" w:sz="0" w:space="0" w:color="auto"/>
      </w:divBdr>
      <w:divsChild>
        <w:div w:id="1198278474">
          <w:marLeft w:val="0"/>
          <w:marRight w:val="0"/>
          <w:marTop w:val="0"/>
          <w:marBottom w:val="0"/>
          <w:divBdr>
            <w:top w:val="none" w:sz="0" w:space="0" w:color="auto"/>
            <w:left w:val="none" w:sz="0" w:space="0" w:color="auto"/>
            <w:bottom w:val="none" w:sz="0" w:space="0" w:color="auto"/>
            <w:right w:val="none" w:sz="0" w:space="0" w:color="auto"/>
          </w:divBdr>
          <w:divsChild>
            <w:div w:id="366300417">
              <w:marLeft w:val="0"/>
              <w:marRight w:val="0"/>
              <w:marTop w:val="0"/>
              <w:marBottom w:val="0"/>
              <w:divBdr>
                <w:top w:val="none" w:sz="0" w:space="0" w:color="auto"/>
                <w:left w:val="none" w:sz="0" w:space="0" w:color="auto"/>
                <w:bottom w:val="none" w:sz="0" w:space="0" w:color="auto"/>
                <w:right w:val="none" w:sz="0" w:space="0" w:color="auto"/>
              </w:divBdr>
              <w:divsChild>
                <w:div w:id="20299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3686">
      <w:bodyDiv w:val="1"/>
      <w:marLeft w:val="0"/>
      <w:marRight w:val="0"/>
      <w:marTop w:val="0"/>
      <w:marBottom w:val="0"/>
      <w:divBdr>
        <w:top w:val="none" w:sz="0" w:space="0" w:color="auto"/>
        <w:left w:val="none" w:sz="0" w:space="0" w:color="auto"/>
        <w:bottom w:val="none" w:sz="0" w:space="0" w:color="auto"/>
        <w:right w:val="none" w:sz="0" w:space="0" w:color="auto"/>
      </w:divBdr>
      <w:divsChild>
        <w:div w:id="27948224">
          <w:marLeft w:val="0"/>
          <w:marRight w:val="0"/>
          <w:marTop w:val="0"/>
          <w:marBottom w:val="0"/>
          <w:divBdr>
            <w:top w:val="none" w:sz="0" w:space="0" w:color="auto"/>
            <w:left w:val="none" w:sz="0" w:space="0" w:color="auto"/>
            <w:bottom w:val="none" w:sz="0" w:space="0" w:color="auto"/>
            <w:right w:val="none" w:sz="0" w:space="0" w:color="auto"/>
          </w:divBdr>
          <w:divsChild>
            <w:div w:id="1550998514">
              <w:marLeft w:val="0"/>
              <w:marRight w:val="0"/>
              <w:marTop w:val="0"/>
              <w:marBottom w:val="0"/>
              <w:divBdr>
                <w:top w:val="none" w:sz="0" w:space="0" w:color="auto"/>
                <w:left w:val="none" w:sz="0" w:space="0" w:color="auto"/>
                <w:bottom w:val="none" w:sz="0" w:space="0" w:color="auto"/>
                <w:right w:val="none" w:sz="0" w:space="0" w:color="auto"/>
              </w:divBdr>
              <w:divsChild>
                <w:div w:id="6808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8656">
      <w:bodyDiv w:val="1"/>
      <w:marLeft w:val="0"/>
      <w:marRight w:val="0"/>
      <w:marTop w:val="0"/>
      <w:marBottom w:val="0"/>
      <w:divBdr>
        <w:top w:val="none" w:sz="0" w:space="0" w:color="auto"/>
        <w:left w:val="none" w:sz="0" w:space="0" w:color="auto"/>
        <w:bottom w:val="none" w:sz="0" w:space="0" w:color="auto"/>
        <w:right w:val="none" w:sz="0" w:space="0" w:color="auto"/>
      </w:divBdr>
      <w:divsChild>
        <w:div w:id="721832579">
          <w:marLeft w:val="0"/>
          <w:marRight w:val="0"/>
          <w:marTop w:val="0"/>
          <w:marBottom w:val="0"/>
          <w:divBdr>
            <w:top w:val="none" w:sz="0" w:space="0" w:color="auto"/>
            <w:left w:val="none" w:sz="0" w:space="0" w:color="auto"/>
            <w:bottom w:val="none" w:sz="0" w:space="0" w:color="auto"/>
            <w:right w:val="none" w:sz="0" w:space="0" w:color="auto"/>
          </w:divBdr>
          <w:divsChild>
            <w:div w:id="36786556">
              <w:marLeft w:val="0"/>
              <w:marRight w:val="0"/>
              <w:marTop w:val="0"/>
              <w:marBottom w:val="0"/>
              <w:divBdr>
                <w:top w:val="none" w:sz="0" w:space="0" w:color="auto"/>
                <w:left w:val="none" w:sz="0" w:space="0" w:color="auto"/>
                <w:bottom w:val="none" w:sz="0" w:space="0" w:color="auto"/>
                <w:right w:val="none" w:sz="0" w:space="0" w:color="auto"/>
              </w:divBdr>
              <w:divsChild>
                <w:div w:id="1368792987">
                  <w:marLeft w:val="0"/>
                  <w:marRight w:val="0"/>
                  <w:marTop w:val="0"/>
                  <w:marBottom w:val="0"/>
                  <w:divBdr>
                    <w:top w:val="none" w:sz="0" w:space="0" w:color="auto"/>
                    <w:left w:val="none" w:sz="0" w:space="0" w:color="auto"/>
                    <w:bottom w:val="none" w:sz="0" w:space="0" w:color="auto"/>
                    <w:right w:val="none" w:sz="0" w:space="0" w:color="auto"/>
                  </w:divBdr>
                </w:div>
              </w:divsChild>
            </w:div>
            <w:div w:id="1424523245">
              <w:marLeft w:val="0"/>
              <w:marRight w:val="0"/>
              <w:marTop w:val="0"/>
              <w:marBottom w:val="0"/>
              <w:divBdr>
                <w:top w:val="none" w:sz="0" w:space="0" w:color="auto"/>
                <w:left w:val="none" w:sz="0" w:space="0" w:color="auto"/>
                <w:bottom w:val="none" w:sz="0" w:space="0" w:color="auto"/>
                <w:right w:val="none" w:sz="0" w:space="0" w:color="auto"/>
              </w:divBdr>
              <w:divsChild>
                <w:div w:id="4165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8930">
          <w:marLeft w:val="0"/>
          <w:marRight w:val="0"/>
          <w:marTop w:val="0"/>
          <w:marBottom w:val="0"/>
          <w:divBdr>
            <w:top w:val="none" w:sz="0" w:space="0" w:color="auto"/>
            <w:left w:val="none" w:sz="0" w:space="0" w:color="auto"/>
            <w:bottom w:val="none" w:sz="0" w:space="0" w:color="auto"/>
            <w:right w:val="none" w:sz="0" w:space="0" w:color="auto"/>
          </w:divBdr>
          <w:divsChild>
            <w:div w:id="1032607745">
              <w:marLeft w:val="0"/>
              <w:marRight w:val="0"/>
              <w:marTop w:val="0"/>
              <w:marBottom w:val="0"/>
              <w:divBdr>
                <w:top w:val="none" w:sz="0" w:space="0" w:color="auto"/>
                <w:left w:val="none" w:sz="0" w:space="0" w:color="auto"/>
                <w:bottom w:val="none" w:sz="0" w:space="0" w:color="auto"/>
                <w:right w:val="none" w:sz="0" w:space="0" w:color="auto"/>
              </w:divBdr>
              <w:divsChild>
                <w:div w:id="7230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75743">
      <w:bodyDiv w:val="1"/>
      <w:marLeft w:val="0"/>
      <w:marRight w:val="0"/>
      <w:marTop w:val="0"/>
      <w:marBottom w:val="0"/>
      <w:divBdr>
        <w:top w:val="none" w:sz="0" w:space="0" w:color="auto"/>
        <w:left w:val="none" w:sz="0" w:space="0" w:color="auto"/>
        <w:bottom w:val="none" w:sz="0" w:space="0" w:color="auto"/>
        <w:right w:val="none" w:sz="0" w:space="0" w:color="auto"/>
      </w:divBdr>
    </w:div>
    <w:div w:id="362873563">
      <w:bodyDiv w:val="1"/>
      <w:marLeft w:val="0"/>
      <w:marRight w:val="0"/>
      <w:marTop w:val="0"/>
      <w:marBottom w:val="0"/>
      <w:divBdr>
        <w:top w:val="none" w:sz="0" w:space="0" w:color="auto"/>
        <w:left w:val="none" w:sz="0" w:space="0" w:color="auto"/>
        <w:bottom w:val="none" w:sz="0" w:space="0" w:color="auto"/>
        <w:right w:val="none" w:sz="0" w:space="0" w:color="auto"/>
      </w:divBdr>
    </w:div>
    <w:div w:id="365984291">
      <w:bodyDiv w:val="1"/>
      <w:marLeft w:val="0"/>
      <w:marRight w:val="0"/>
      <w:marTop w:val="0"/>
      <w:marBottom w:val="0"/>
      <w:divBdr>
        <w:top w:val="none" w:sz="0" w:space="0" w:color="auto"/>
        <w:left w:val="none" w:sz="0" w:space="0" w:color="auto"/>
        <w:bottom w:val="none" w:sz="0" w:space="0" w:color="auto"/>
        <w:right w:val="none" w:sz="0" w:space="0" w:color="auto"/>
      </w:divBdr>
    </w:div>
    <w:div w:id="371075944">
      <w:bodyDiv w:val="1"/>
      <w:marLeft w:val="0"/>
      <w:marRight w:val="0"/>
      <w:marTop w:val="0"/>
      <w:marBottom w:val="0"/>
      <w:divBdr>
        <w:top w:val="none" w:sz="0" w:space="0" w:color="auto"/>
        <w:left w:val="none" w:sz="0" w:space="0" w:color="auto"/>
        <w:bottom w:val="none" w:sz="0" w:space="0" w:color="auto"/>
        <w:right w:val="none" w:sz="0" w:space="0" w:color="auto"/>
      </w:divBdr>
    </w:div>
    <w:div w:id="376704148">
      <w:bodyDiv w:val="1"/>
      <w:marLeft w:val="0"/>
      <w:marRight w:val="0"/>
      <w:marTop w:val="0"/>
      <w:marBottom w:val="0"/>
      <w:divBdr>
        <w:top w:val="none" w:sz="0" w:space="0" w:color="auto"/>
        <w:left w:val="none" w:sz="0" w:space="0" w:color="auto"/>
        <w:bottom w:val="none" w:sz="0" w:space="0" w:color="auto"/>
        <w:right w:val="none" w:sz="0" w:space="0" w:color="auto"/>
      </w:divBdr>
      <w:divsChild>
        <w:div w:id="2013028329">
          <w:marLeft w:val="0"/>
          <w:marRight w:val="0"/>
          <w:marTop w:val="0"/>
          <w:marBottom w:val="0"/>
          <w:divBdr>
            <w:top w:val="none" w:sz="0" w:space="0" w:color="auto"/>
            <w:left w:val="none" w:sz="0" w:space="0" w:color="auto"/>
            <w:bottom w:val="none" w:sz="0" w:space="0" w:color="auto"/>
            <w:right w:val="none" w:sz="0" w:space="0" w:color="auto"/>
          </w:divBdr>
          <w:divsChild>
            <w:div w:id="332487543">
              <w:marLeft w:val="0"/>
              <w:marRight w:val="0"/>
              <w:marTop w:val="0"/>
              <w:marBottom w:val="0"/>
              <w:divBdr>
                <w:top w:val="none" w:sz="0" w:space="0" w:color="auto"/>
                <w:left w:val="none" w:sz="0" w:space="0" w:color="auto"/>
                <w:bottom w:val="none" w:sz="0" w:space="0" w:color="auto"/>
                <w:right w:val="none" w:sz="0" w:space="0" w:color="auto"/>
              </w:divBdr>
              <w:divsChild>
                <w:div w:id="16970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4388">
      <w:bodyDiv w:val="1"/>
      <w:marLeft w:val="0"/>
      <w:marRight w:val="0"/>
      <w:marTop w:val="0"/>
      <w:marBottom w:val="0"/>
      <w:divBdr>
        <w:top w:val="none" w:sz="0" w:space="0" w:color="auto"/>
        <w:left w:val="none" w:sz="0" w:space="0" w:color="auto"/>
        <w:bottom w:val="none" w:sz="0" w:space="0" w:color="auto"/>
        <w:right w:val="none" w:sz="0" w:space="0" w:color="auto"/>
      </w:divBdr>
    </w:div>
    <w:div w:id="3942053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762">
          <w:marLeft w:val="0"/>
          <w:marRight w:val="0"/>
          <w:marTop w:val="0"/>
          <w:marBottom w:val="0"/>
          <w:divBdr>
            <w:top w:val="none" w:sz="0" w:space="0" w:color="auto"/>
            <w:left w:val="none" w:sz="0" w:space="0" w:color="auto"/>
            <w:bottom w:val="none" w:sz="0" w:space="0" w:color="auto"/>
            <w:right w:val="none" w:sz="0" w:space="0" w:color="auto"/>
          </w:divBdr>
          <w:divsChild>
            <w:div w:id="618799015">
              <w:marLeft w:val="0"/>
              <w:marRight w:val="0"/>
              <w:marTop w:val="0"/>
              <w:marBottom w:val="0"/>
              <w:divBdr>
                <w:top w:val="none" w:sz="0" w:space="0" w:color="auto"/>
                <w:left w:val="none" w:sz="0" w:space="0" w:color="auto"/>
                <w:bottom w:val="none" w:sz="0" w:space="0" w:color="auto"/>
                <w:right w:val="none" w:sz="0" w:space="0" w:color="auto"/>
              </w:divBdr>
              <w:divsChild>
                <w:div w:id="577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7618">
      <w:bodyDiv w:val="1"/>
      <w:marLeft w:val="0"/>
      <w:marRight w:val="0"/>
      <w:marTop w:val="0"/>
      <w:marBottom w:val="0"/>
      <w:divBdr>
        <w:top w:val="none" w:sz="0" w:space="0" w:color="auto"/>
        <w:left w:val="none" w:sz="0" w:space="0" w:color="auto"/>
        <w:bottom w:val="none" w:sz="0" w:space="0" w:color="auto"/>
        <w:right w:val="none" w:sz="0" w:space="0" w:color="auto"/>
      </w:divBdr>
      <w:divsChild>
        <w:div w:id="2101179027">
          <w:marLeft w:val="0"/>
          <w:marRight w:val="0"/>
          <w:marTop w:val="0"/>
          <w:marBottom w:val="0"/>
          <w:divBdr>
            <w:top w:val="none" w:sz="0" w:space="0" w:color="auto"/>
            <w:left w:val="none" w:sz="0" w:space="0" w:color="auto"/>
            <w:bottom w:val="none" w:sz="0" w:space="0" w:color="auto"/>
            <w:right w:val="none" w:sz="0" w:space="0" w:color="auto"/>
          </w:divBdr>
          <w:divsChild>
            <w:div w:id="2125879669">
              <w:marLeft w:val="0"/>
              <w:marRight w:val="0"/>
              <w:marTop w:val="0"/>
              <w:marBottom w:val="0"/>
              <w:divBdr>
                <w:top w:val="none" w:sz="0" w:space="0" w:color="auto"/>
                <w:left w:val="none" w:sz="0" w:space="0" w:color="auto"/>
                <w:bottom w:val="none" w:sz="0" w:space="0" w:color="auto"/>
                <w:right w:val="none" w:sz="0" w:space="0" w:color="auto"/>
              </w:divBdr>
              <w:divsChild>
                <w:div w:id="432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5554">
      <w:bodyDiv w:val="1"/>
      <w:marLeft w:val="0"/>
      <w:marRight w:val="0"/>
      <w:marTop w:val="0"/>
      <w:marBottom w:val="0"/>
      <w:divBdr>
        <w:top w:val="none" w:sz="0" w:space="0" w:color="auto"/>
        <w:left w:val="none" w:sz="0" w:space="0" w:color="auto"/>
        <w:bottom w:val="none" w:sz="0" w:space="0" w:color="auto"/>
        <w:right w:val="none" w:sz="0" w:space="0" w:color="auto"/>
      </w:divBdr>
      <w:divsChild>
        <w:div w:id="1044792612">
          <w:marLeft w:val="0"/>
          <w:marRight w:val="0"/>
          <w:marTop w:val="0"/>
          <w:marBottom w:val="0"/>
          <w:divBdr>
            <w:top w:val="none" w:sz="0" w:space="0" w:color="auto"/>
            <w:left w:val="none" w:sz="0" w:space="0" w:color="auto"/>
            <w:bottom w:val="none" w:sz="0" w:space="0" w:color="auto"/>
            <w:right w:val="none" w:sz="0" w:space="0" w:color="auto"/>
          </w:divBdr>
          <w:divsChild>
            <w:div w:id="401758202">
              <w:marLeft w:val="0"/>
              <w:marRight w:val="0"/>
              <w:marTop w:val="0"/>
              <w:marBottom w:val="0"/>
              <w:divBdr>
                <w:top w:val="none" w:sz="0" w:space="0" w:color="auto"/>
                <w:left w:val="none" w:sz="0" w:space="0" w:color="auto"/>
                <w:bottom w:val="none" w:sz="0" w:space="0" w:color="auto"/>
                <w:right w:val="none" w:sz="0" w:space="0" w:color="auto"/>
              </w:divBdr>
              <w:divsChild>
                <w:div w:id="1414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6901">
      <w:bodyDiv w:val="1"/>
      <w:marLeft w:val="0"/>
      <w:marRight w:val="0"/>
      <w:marTop w:val="0"/>
      <w:marBottom w:val="0"/>
      <w:divBdr>
        <w:top w:val="none" w:sz="0" w:space="0" w:color="auto"/>
        <w:left w:val="none" w:sz="0" w:space="0" w:color="auto"/>
        <w:bottom w:val="none" w:sz="0" w:space="0" w:color="auto"/>
        <w:right w:val="none" w:sz="0" w:space="0" w:color="auto"/>
      </w:divBdr>
      <w:divsChild>
        <w:div w:id="1530490682">
          <w:marLeft w:val="0"/>
          <w:marRight w:val="0"/>
          <w:marTop w:val="0"/>
          <w:marBottom w:val="0"/>
          <w:divBdr>
            <w:top w:val="none" w:sz="0" w:space="0" w:color="auto"/>
            <w:left w:val="none" w:sz="0" w:space="0" w:color="auto"/>
            <w:bottom w:val="none" w:sz="0" w:space="0" w:color="auto"/>
            <w:right w:val="none" w:sz="0" w:space="0" w:color="auto"/>
          </w:divBdr>
          <w:divsChild>
            <w:div w:id="1155148762">
              <w:marLeft w:val="0"/>
              <w:marRight w:val="0"/>
              <w:marTop w:val="0"/>
              <w:marBottom w:val="0"/>
              <w:divBdr>
                <w:top w:val="none" w:sz="0" w:space="0" w:color="auto"/>
                <w:left w:val="none" w:sz="0" w:space="0" w:color="auto"/>
                <w:bottom w:val="none" w:sz="0" w:space="0" w:color="auto"/>
                <w:right w:val="none" w:sz="0" w:space="0" w:color="auto"/>
              </w:divBdr>
              <w:divsChild>
                <w:div w:id="18559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87104">
      <w:bodyDiv w:val="1"/>
      <w:marLeft w:val="0"/>
      <w:marRight w:val="0"/>
      <w:marTop w:val="0"/>
      <w:marBottom w:val="0"/>
      <w:divBdr>
        <w:top w:val="none" w:sz="0" w:space="0" w:color="auto"/>
        <w:left w:val="none" w:sz="0" w:space="0" w:color="auto"/>
        <w:bottom w:val="none" w:sz="0" w:space="0" w:color="auto"/>
        <w:right w:val="none" w:sz="0" w:space="0" w:color="auto"/>
      </w:divBdr>
      <w:divsChild>
        <w:div w:id="191767375">
          <w:marLeft w:val="0"/>
          <w:marRight w:val="0"/>
          <w:marTop w:val="0"/>
          <w:marBottom w:val="0"/>
          <w:divBdr>
            <w:top w:val="none" w:sz="0" w:space="0" w:color="auto"/>
            <w:left w:val="none" w:sz="0" w:space="0" w:color="auto"/>
            <w:bottom w:val="none" w:sz="0" w:space="0" w:color="auto"/>
            <w:right w:val="none" w:sz="0" w:space="0" w:color="auto"/>
          </w:divBdr>
          <w:divsChild>
            <w:div w:id="385564286">
              <w:marLeft w:val="0"/>
              <w:marRight w:val="0"/>
              <w:marTop w:val="0"/>
              <w:marBottom w:val="0"/>
              <w:divBdr>
                <w:top w:val="none" w:sz="0" w:space="0" w:color="auto"/>
                <w:left w:val="none" w:sz="0" w:space="0" w:color="auto"/>
                <w:bottom w:val="none" w:sz="0" w:space="0" w:color="auto"/>
                <w:right w:val="none" w:sz="0" w:space="0" w:color="auto"/>
              </w:divBdr>
              <w:divsChild>
                <w:div w:id="1078600807">
                  <w:marLeft w:val="0"/>
                  <w:marRight w:val="0"/>
                  <w:marTop w:val="0"/>
                  <w:marBottom w:val="0"/>
                  <w:divBdr>
                    <w:top w:val="none" w:sz="0" w:space="0" w:color="auto"/>
                    <w:left w:val="none" w:sz="0" w:space="0" w:color="auto"/>
                    <w:bottom w:val="none" w:sz="0" w:space="0" w:color="auto"/>
                    <w:right w:val="none" w:sz="0" w:space="0" w:color="auto"/>
                  </w:divBdr>
                  <w:divsChild>
                    <w:div w:id="13154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846977">
      <w:bodyDiv w:val="1"/>
      <w:marLeft w:val="0"/>
      <w:marRight w:val="0"/>
      <w:marTop w:val="0"/>
      <w:marBottom w:val="0"/>
      <w:divBdr>
        <w:top w:val="none" w:sz="0" w:space="0" w:color="auto"/>
        <w:left w:val="none" w:sz="0" w:space="0" w:color="auto"/>
        <w:bottom w:val="none" w:sz="0" w:space="0" w:color="auto"/>
        <w:right w:val="none" w:sz="0" w:space="0" w:color="auto"/>
      </w:divBdr>
      <w:divsChild>
        <w:div w:id="535240670">
          <w:marLeft w:val="0"/>
          <w:marRight w:val="0"/>
          <w:marTop w:val="0"/>
          <w:marBottom w:val="0"/>
          <w:divBdr>
            <w:top w:val="none" w:sz="0" w:space="0" w:color="auto"/>
            <w:left w:val="none" w:sz="0" w:space="0" w:color="auto"/>
            <w:bottom w:val="none" w:sz="0" w:space="0" w:color="auto"/>
            <w:right w:val="none" w:sz="0" w:space="0" w:color="auto"/>
          </w:divBdr>
          <w:divsChild>
            <w:div w:id="647049170">
              <w:marLeft w:val="0"/>
              <w:marRight w:val="0"/>
              <w:marTop w:val="0"/>
              <w:marBottom w:val="0"/>
              <w:divBdr>
                <w:top w:val="none" w:sz="0" w:space="0" w:color="auto"/>
                <w:left w:val="none" w:sz="0" w:space="0" w:color="auto"/>
                <w:bottom w:val="none" w:sz="0" w:space="0" w:color="auto"/>
                <w:right w:val="none" w:sz="0" w:space="0" w:color="auto"/>
              </w:divBdr>
              <w:divsChild>
                <w:div w:id="20953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3154">
      <w:bodyDiv w:val="1"/>
      <w:marLeft w:val="0"/>
      <w:marRight w:val="0"/>
      <w:marTop w:val="0"/>
      <w:marBottom w:val="0"/>
      <w:divBdr>
        <w:top w:val="none" w:sz="0" w:space="0" w:color="auto"/>
        <w:left w:val="none" w:sz="0" w:space="0" w:color="auto"/>
        <w:bottom w:val="none" w:sz="0" w:space="0" w:color="auto"/>
        <w:right w:val="none" w:sz="0" w:space="0" w:color="auto"/>
      </w:divBdr>
    </w:div>
    <w:div w:id="486895165">
      <w:bodyDiv w:val="1"/>
      <w:marLeft w:val="0"/>
      <w:marRight w:val="0"/>
      <w:marTop w:val="0"/>
      <w:marBottom w:val="0"/>
      <w:divBdr>
        <w:top w:val="none" w:sz="0" w:space="0" w:color="auto"/>
        <w:left w:val="none" w:sz="0" w:space="0" w:color="auto"/>
        <w:bottom w:val="none" w:sz="0" w:space="0" w:color="auto"/>
        <w:right w:val="none" w:sz="0" w:space="0" w:color="auto"/>
      </w:divBdr>
    </w:div>
    <w:div w:id="490831231">
      <w:bodyDiv w:val="1"/>
      <w:marLeft w:val="0"/>
      <w:marRight w:val="0"/>
      <w:marTop w:val="0"/>
      <w:marBottom w:val="0"/>
      <w:divBdr>
        <w:top w:val="none" w:sz="0" w:space="0" w:color="auto"/>
        <w:left w:val="none" w:sz="0" w:space="0" w:color="auto"/>
        <w:bottom w:val="none" w:sz="0" w:space="0" w:color="auto"/>
        <w:right w:val="none" w:sz="0" w:space="0" w:color="auto"/>
      </w:divBdr>
    </w:div>
    <w:div w:id="495658375">
      <w:bodyDiv w:val="1"/>
      <w:marLeft w:val="0"/>
      <w:marRight w:val="0"/>
      <w:marTop w:val="0"/>
      <w:marBottom w:val="0"/>
      <w:divBdr>
        <w:top w:val="none" w:sz="0" w:space="0" w:color="auto"/>
        <w:left w:val="none" w:sz="0" w:space="0" w:color="auto"/>
        <w:bottom w:val="none" w:sz="0" w:space="0" w:color="auto"/>
        <w:right w:val="none" w:sz="0" w:space="0" w:color="auto"/>
      </w:divBdr>
    </w:div>
    <w:div w:id="501042001">
      <w:bodyDiv w:val="1"/>
      <w:marLeft w:val="0"/>
      <w:marRight w:val="0"/>
      <w:marTop w:val="0"/>
      <w:marBottom w:val="0"/>
      <w:divBdr>
        <w:top w:val="none" w:sz="0" w:space="0" w:color="auto"/>
        <w:left w:val="none" w:sz="0" w:space="0" w:color="auto"/>
        <w:bottom w:val="none" w:sz="0" w:space="0" w:color="auto"/>
        <w:right w:val="none" w:sz="0" w:space="0" w:color="auto"/>
      </w:divBdr>
      <w:divsChild>
        <w:div w:id="1922715357">
          <w:marLeft w:val="0"/>
          <w:marRight w:val="0"/>
          <w:marTop w:val="0"/>
          <w:marBottom w:val="0"/>
          <w:divBdr>
            <w:top w:val="none" w:sz="0" w:space="0" w:color="auto"/>
            <w:left w:val="none" w:sz="0" w:space="0" w:color="auto"/>
            <w:bottom w:val="none" w:sz="0" w:space="0" w:color="auto"/>
            <w:right w:val="none" w:sz="0" w:space="0" w:color="auto"/>
          </w:divBdr>
          <w:divsChild>
            <w:div w:id="1268349950">
              <w:marLeft w:val="0"/>
              <w:marRight w:val="0"/>
              <w:marTop w:val="0"/>
              <w:marBottom w:val="0"/>
              <w:divBdr>
                <w:top w:val="none" w:sz="0" w:space="0" w:color="auto"/>
                <w:left w:val="none" w:sz="0" w:space="0" w:color="auto"/>
                <w:bottom w:val="none" w:sz="0" w:space="0" w:color="auto"/>
                <w:right w:val="none" w:sz="0" w:space="0" w:color="auto"/>
              </w:divBdr>
              <w:divsChild>
                <w:div w:id="1006175187">
                  <w:marLeft w:val="0"/>
                  <w:marRight w:val="0"/>
                  <w:marTop w:val="0"/>
                  <w:marBottom w:val="0"/>
                  <w:divBdr>
                    <w:top w:val="none" w:sz="0" w:space="0" w:color="auto"/>
                    <w:left w:val="none" w:sz="0" w:space="0" w:color="auto"/>
                    <w:bottom w:val="none" w:sz="0" w:space="0" w:color="auto"/>
                    <w:right w:val="none" w:sz="0" w:space="0" w:color="auto"/>
                  </w:divBdr>
                  <w:divsChild>
                    <w:div w:id="18818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87487">
      <w:bodyDiv w:val="1"/>
      <w:marLeft w:val="0"/>
      <w:marRight w:val="0"/>
      <w:marTop w:val="0"/>
      <w:marBottom w:val="0"/>
      <w:divBdr>
        <w:top w:val="none" w:sz="0" w:space="0" w:color="auto"/>
        <w:left w:val="none" w:sz="0" w:space="0" w:color="auto"/>
        <w:bottom w:val="none" w:sz="0" w:space="0" w:color="auto"/>
        <w:right w:val="none" w:sz="0" w:space="0" w:color="auto"/>
      </w:divBdr>
    </w:div>
    <w:div w:id="509369988">
      <w:bodyDiv w:val="1"/>
      <w:marLeft w:val="0"/>
      <w:marRight w:val="0"/>
      <w:marTop w:val="0"/>
      <w:marBottom w:val="0"/>
      <w:divBdr>
        <w:top w:val="none" w:sz="0" w:space="0" w:color="auto"/>
        <w:left w:val="none" w:sz="0" w:space="0" w:color="auto"/>
        <w:bottom w:val="none" w:sz="0" w:space="0" w:color="auto"/>
        <w:right w:val="none" w:sz="0" w:space="0" w:color="auto"/>
      </w:divBdr>
      <w:divsChild>
        <w:div w:id="205526402">
          <w:marLeft w:val="0"/>
          <w:marRight w:val="0"/>
          <w:marTop w:val="0"/>
          <w:marBottom w:val="0"/>
          <w:divBdr>
            <w:top w:val="none" w:sz="0" w:space="0" w:color="auto"/>
            <w:left w:val="none" w:sz="0" w:space="0" w:color="auto"/>
            <w:bottom w:val="none" w:sz="0" w:space="0" w:color="auto"/>
            <w:right w:val="none" w:sz="0" w:space="0" w:color="auto"/>
          </w:divBdr>
          <w:divsChild>
            <w:div w:id="1563832684">
              <w:marLeft w:val="0"/>
              <w:marRight w:val="0"/>
              <w:marTop w:val="0"/>
              <w:marBottom w:val="0"/>
              <w:divBdr>
                <w:top w:val="none" w:sz="0" w:space="0" w:color="auto"/>
                <w:left w:val="none" w:sz="0" w:space="0" w:color="auto"/>
                <w:bottom w:val="none" w:sz="0" w:space="0" w:color="auto"/>
                <w:right w:val="none" w:sz="0" w:space="0" w:color="auto"/>
              </w:divBdr>
              <w:divsChild>
                <w:div w:id="1340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4998">
      <w:bodyDiv w:val="1"/>
      <w:marLeft w:val="0"/>
      <w:marRight w:val="0"/>
      <w:marTop w:val="0"/>
      <w:marBottom w:val="0"/>
      <w:divBdr>
        <w:top w:val="none" w:sz="0" w:space="0" w:color="auto"/>
        <w:left w:val="none" w:sz="0" w:space="0" w:color="auto"/>
        <w:bottom w:val="none" w:sz="0" w:space="0" w:color="auto"/>
        <w:right w:val="none" w:sz="0" w:space="0" w:color="auto"/>
      </w:divBdr>
      <w:divsChild>
        <w:div w:id="1252818133">
          <w:marLeft w:val="0"/>
          <w:marRight w:val="0"/>
          <w:marTop w:val="0"/>
          <w:marBottom w:val="0"/>
          <w:divBdr>
            <w:top w:val="none" w:sz="0" w:space="0" w:color="auto"/>
            <w:left w:val="none" w:sz="0" w:space="0" w:color="auto"/>
            <w:bottom w:val="none" w:sz="0" w:space="0" w:color="auto"/>
            <w:right w:val="none" w:sz="0" w:space="0" w:color="auto"/>
          </w:divBdr>
          <w:divsChild>
            <w:div w:id="1931769149">
              <w:marLeft w:val="0"/>
              <w:marRight w:val="0"/>
              <w:marTop w:val="0"/>
              <w:marBottom w:val="0"/>
              <w:divBdr>
                <w:top w:val="none" w:sz="0" w:space="0" w:color="auto"/>
                <w:left w:val="none" w:sz="0" w:space="0" w:color="auto"/>
                <w:bottom w:val="none" w:sz="0" w:space="0" w:color="auto"/>
                <w:right w:val="none" w:sz="0" w:space="0" w:color="auto"/>
              </w:divBdr>
              <w:divsChild>
                <w:div w:id="18493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6522">
      <w:bodyDiv w:val="1"/>
      <w:marLeft w:val="0"/>
      <w:marRight w:val="0"/>
      <w:marTop w:val="0"/>
      <w:marBottom w:val="0"/>
      <w:divBdr>
        <w:top w:val="none" w:sz="0" w:space="0" w:color="auto"/>
        <w:left w:val="none" w:sz="0" w:space="0" w:color="auto"/>
        <w:bottom w:val="none" w:sz="0" w:space="0" w:color="auto"/>
        <w:right w:val="none" w:sz="0" w:space="0" w:color="auto"/>
      </w:divBdr>
    </w:div>
    <w:div w:id="524834389">
      <w:bodyDiv w:val="1"/>
      <w:marLeft w:val="0"/>
      <w:marRight w:val="0"/>
      <w:marTop w:val="0"/>
      <w:marBottom w:val="0"/>
      <w:divBdr>
        <w:top w:val="none" w:sz="0" w:space="0" w:color="auto"/>
        <w:left w:val="none" w:sz="0" w:space="0" w:color="auto"/>
        <w:bottom w:val="none" w:sz="0" w:space="0" w:color="auto"/>
        <w:right w:val="none" w:sz="0" w:space="0" w:color="auto"/>
      </w:divBdr>
      <w:divsChild>
        <w:div w:id="1155415292">
          <w:marLeft w:val="0"/>
          <w:marRight w:val="0"/>
          <w:marTop w:val="0"/>
          <w:marBottom w:val="0"/>
          <w:divBdr>
            <w:top w:val="none" w:sz="0" w:space="0" w:color="auto"/>
            <w:left w:val="none" w:sz="0" w:space="0" w:color="auto"/>
            <w:bottom w:val="none" w:sz="0" w:space="0" w:color="auto"/>
            <w:right w:val="none" w:sz="0" w:space="0" w:color="auto"/>
          </w:divBdr>
          <w:divsChild>
            <w:div w:id="928391105">
              <w:marLeft w:val="0"/>
              <w:marRight w:val="0"/>
              <w:marTop w:val="0"/>
              <w:marBottom w:val="0"/>
              <w:divBdr>
                <w:top w:val="none" w:sz="0" w:space="0" w:color="auto"/>
                <w:left w:val="none" w:sz="0" w:space="0" w:color="auto"/>
                <w:bottom w:val="none" w:sz="0" w:space="0" w:color="auto"/>
                <w:right w:val="none" w:sz="0" w:space="0" w:color="auto"/>
              </w:divBdr>
              <w:divsChild>
                <w:div w:id="8899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9211">
      <w:bodyDiv w:val="1"/>
      <w:marLeft w:val="0"/>
      <w:marRight w:val="0"/>
      <w:marTop w:val="0"/>
      <w:marBottom w:val="0"/>
      <w:divBdr>
        <w:top w:val="none" w:sz="0" w:space="0" w:color="auto"/>
        <w:left w:val="none" w:sz="0" w:space="0" w:color="auto"/>
        <w:bottom w:val="none" w:sz="0" w:space="0" w:color="auto"/>
        <w:right w:val="none" w:sz="0" w:space="0" w:color="auto"/>
      </w:divBdr>
    </w:div>
    <w:div w:id="530923941">
      <w:bodyDiv w:val="1"/>
      <w:marLeft w:val="0"/>
      <w:marRight w:val="0"/>
      <w:marTop w:val="0"/>
      <w:marBottom w:val="0"/>
      <w:divBdr>
        <w:top w:val="none" w:sz="0" w:space="0" w:color="auto"/>
        <w:left w:val="none" w:sz="0" w:space="0" w:color="auto"/>
        <w:bottom w:val="none" w:sz="0" w:space="0" w:color="auto"/>
        <w:right w:val="none" w:sz="0" w:space="0" w:color="auto"/>
      </w:divBdr>
      <w:divsChild>
        <w:div w:id="1337685154">
          <w:marLeft w:val="0"/>
          <w:marRight w:val="0"/>
          <w:marTop w:val="0"/>
          <w:marBottom w:val="0"/>
          <w:divBdr>
            <w:top w:val="none" w:sz="0" w:space="0" w:color="auto"/>
            <w:left w:val="none" w:sz="0" w:space="0" w:color="auto"/>
            <w:bottom w:val="none" w:sz="0" w:space="0" w:color="auto"/>
            <w:right w:val="none" w:sz="0" w:space="0" w:color="auto"/>
          </w:divBdr>
          <w:divsChild>
            <w:div w:id="1040394635">
              <w:marLeft w:val="0"/>
              <w:marRight w:val="0"/>
              <w:marTop w:val="0"/>
              <w:marBottom w:val="0"/>
              <w:divBdr>
                <w:top w:val="none" w:sz="0" w:space="0" w:color="auto"/>
                <w:left w:val="none" w:sz="0" w:space="0" w:color="auto"/>
                <w:bottom w:val="none" w:sz="0" w:space="0" w:color="auto"/>
                <w:right w:val="none" w:sz="0" w:space="0" w:color="auto"/>
              </w:divBdr>
              <w:divsChild>
                <w:div w:id="7732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76">
      <w:bodyDiv w:val="1"/>
      <w:marLeft w:val="0"/>
      <w:marRight w:val="0"/>
      <w:marTop w:val="0"/>
      <w:marBottom w:val="0"/>
      <w:divBdr>
        <w:top w:val="none" w:sz="0" w:space="0" w:color="auto"/>
        <w:left w:val="none" w:sz="0" w:space="0" w:color="auto"/>
        <w:bottom w:val="none" w:sz="0" w:space="0" w:color="auto"/>
        <w:right w:val="none" w:sz="0" w:space="0" w:color="auto"/>
      </w:divBdr>
      <w:divsChild>
        <w:div w:id="1683581523">
          <w:marLeft w:val="0"/>
          <w:marRight w:val="0"/>
          <w:marTop w:val="0"/>
          <w:marBottom w:val="0"/>
          <w:divBdr>
            <w:top w:val="none" w:sz="0" w:space="0" w:color="auto"/>
            <w:left w:val="none" w:sz="0" w:space="0" w:color="auto"/>
            <w:bottom w:val="none" w:sz="0" w:space="0" w:color="auto"/>
            <w:right w:val="none" w:sz="0" w:space="0" w:color="auto"/>
          </w:divBdr>
          <w:divsChild>
            <w:div w:id="837384543">
              <w:marLeft w:val="0"/>
              <w:marRight w:val="0"/>
              <w:marTop w:val="0"/>
              <w:marBottom w:val="0"/>
              <w:divBdr>
                <w:top w:val="none" w:sz="0" w:space="0" w:color="auto"/>
                <w:left w:val="none" w:sz="0" w:space="0" w:color="auto"/>
                <w:bottom w:val="none" w:sz="0" w:space="0" w:color="auto"/>
                <w:right w:val="none" w:sz="0" w:space="0" w:color="auto"/>
              </w:divBdr>
              <w:divsChild>
                <w:div w:id="4433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2197">
      <w:bodyDiv w:val="1"/>
      <w:marLeft w:val="0"/>
      <w:marRight w:val="0"/>
      <w:marTop w:val="0"/>
      <w:marBottom w:val="0"/>
      <w:divBdr>
        <w:top w:val="none" w:sz="0" w:space="0" w:color="auto"/>
        <w:left w:val="none" w:sz="0" w:space="0" w:color="auto"/>
        <w:bottom w:val="none" w:sz="0" w:space="0" w:color="auto"/>
        <w:right w:val="none" w:sz="0" w:space="0" w:color="auto"/>
      </w:divBdr>
      <w:divsChild>
        <w:div w:id="1648900010">
          <w:marLeft w:val="0"/>
          <w:marRight w:val="0"/>
          <w:marTop w:val="0"/>
          <w:marBottom w:val="0"/>
          <w:divBdr>
            <w:top w:val="none" w:sz="0" w:space="0" w:color="auto"/>
            <w:left w:val="none" w:sz="0" w:space="0" w:color="auto"/>
            <w:bottom w:val="none" w:sz="0" w:space="0" w:color="auto"/>
            <w:right w:val="none" w:sz="0" w:space="0" w:color="auto"/>
          </w:divBdr>
          <w:divsChild>
            <w:div w:id="910695528">
              <w:marLeft w:val="0"/>
              <w:marRight w:val="0"/>
              <w:marTop w:val="0"/>
              <w:marBottom w:val="0"/>
              <w:divBdr>
                <w:top w:val="none" w:sz="0" w:space="0" w:color="auto"/>
                <w:left w:val="none" w:sz="0" w:space="0" w:color="auto"/>
                <w:bottom w:val="none" w:sz="0" w:space="0" w:color="auto"/>
                <w:right w:val="none" w:sz="0" w:space="0" w:color="auto"/>
              </w:divBdr>
              <w:divsChild>
                <w:div w:id="5824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1724">
      <w:bodyDiv w:val="1"/>
      <w:marLeft w:val="0"/>
      <w:marRight w:val="0"/>
      <w:marTop w:val="0"/>
      <w:marBottom w:val="0"/>
      <w:divBdr>
        <w:top w:val="none" w:sz="0" w:space="0" w:color="auto"/>
        <w:left w:val="none" w:sz="0" w:space="0" w:color="auto"/>
        <w:bottom w:val="none" w:sz="0" w:space="0" w:color="auto"/>
        <w:right w:val="none" w:sz="0" w:space="0" w:color="auto"/>
      </w:divBdr>
      <w:divsChild>
        <w:div w:id="1461923504">
          <w:marLeft w:val="0"/>
          <w:marRight w:val="0"/>
          <w:marTop w:val="0"/>
          <w:marBottom w:val="0"/>
          <w:divBdr>
            <w:top w:val="none" w:sz="0" w:space="0" w:color="auto"/>
            <w:left w:val="none" w:sz="0" w:space="0" w:color="auto"/>
            <w:bottom w:val="none" w:sz="0" w:space="0" w:color="auto"/>
            <w:right w:val="none" w:sz="0" w:space="0" w:color="auto"/>
          </w:divBdr>
          <w:divsChild>
            <w:div w:id="420680834">
              <w:marLeft w:val="0"/>
              <w:marRight w:val="0"/>
              <w:marTop w:val="0"/>
              <w:marBottom w:val="0"/>
              <w:divBdr>
                <w:top w:val="none" w:sz="0" w:space="0" w:color="auto"/>
                <w:left w:val="none" w:sz="0" w:space="0" w:color="auto"/>
                <w:bottom w:val="none" w:sz="0" w:space="0" w:color="auto"/>
                <w:right w:val="none" w:sz="0" w:space="0" w:color="auto"/>
              </w:divBdr>
              <w:divsChild>
                <w:div w:id="431050368">
                  <w:marLeft w:val="0"/>
                  <w:marRight w:val="0"/>
                  <w:marTop w:val="0"/>
                  <w:marBottom w:val="0"/>
                  <w:divBdr>
                    <w:top w:val="none" w:sz="0" w:space="0" w:color="auto"/>
                    <w:left w:val="none" w:sz="0" w:space="0" w:color="auto"/>
                    <w:bottom w:val="none" w:sz="0" w:space="0" w:color="auto"/>
                    <w:right w:val="none" w:sz="0" w:space="0" w:color="auto"/>
                  </w:divBdr>
                  <w:divsChild>
                    <w:div w:id="8466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6029">
      <w:bodyDiv w:val="1"/>
      <w:marLeft w:val="0"/>
      <w:marRight w:val="0"/>
      <w:marTop w:val="0"/>
      <w:marBottom w:val="0"/>
      <w:divBdr>
        <w:top w:val="none" w:sz="0" w:space="0" w:color="auto"/>
        <w:left w:val="none" w:sz="0" w:space="0" w:color="auto"/>
        <w:bottom w:val="none" w:sz="0" w:space="0" w:color="auto"/>
        <w:right w:val="none" w:sz="0" w:space="0" w:color="auto"/>
      </w:divBdr>
    </w:div>
    <w:div w:id="564687634">
      <w:bodyDiv w:val="1"/>
      <w:marLeft w:val="0"/>
      <w:marRight w:val="0"/>
      <w:marTop w:val="0"/>
      <w:marBottom w:val="0"/>
      <w:divBdr>
        <w:top w:val="none" w:sz="0" w:space="0" w:color="auto"/>
        <w:left w:val="none" w:sz="0" w:space="0" w:color="auto"/>
        <w:bottom w:val="none" w:sz="0" w:space="0" w:color="auto"/>
        <w:right w:val="none" w:sz="0" w:space="0" w:color="auto"/>
      </w:divBdr>
      <w:divsChild>
        <w:div w:id="1986468633">
          <w:marLeft w:val="0"/>
          <w:marRight w:val="0"/>
          <w:marTop w:val="0"/>
          <w:marBottom w:val="0"/>
          <w:divBdr>
            <w:top w:val="none" w:sz="0" w:space="0" w:color="auto"/>
            <w:left w:val="none" w:sz="0" w:space="0" w:color="auto"/>
            <w:bottom w:val="none" w:sz="0" w:space="0" w:color="auto"/>
            <w:right w:val="none" w:sz="0" w:space="0" w:color="auto"/>
          </w:divBdr>
          <w:divsChild>
            <w:div w:id="416482858">
              <w:marLeft w:val="0"/>
              <w:marRight w:val="0"/>
              <w:marTop w:val="0"/>
              <w:marBottom w:val="0"/>
              <w:divBdr>
                <w:top w:val="none" w:sz="0" w:space="0" w:color="auto"/>
                <w:left w:val="none" w:sz="0" w:space="0" w:color="auto"/>
                <w:bottom w:val="none" w:sz="0" w:space="0" w:color="auto"/>
                <w:right w:val="none" w:sz="0" w:space="0" w:color="auto"/>
              </w:divBdr>
              <w:divsChild>
                <w:div w:id="16726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8396">
      <w:bodyDiv w:val="1"/>
      <w:marLeft w:val="0"/>
      <w:marRight w:val="0"/>
      <w:marTop w:val="0"/>
      <w:marBottom w:val="0"/>
      <w:divBdr>
        <w:top w:val="none" w:sz="0" w:space="0" w:color="auto"/>
        <w:left w:val="none" w:sz="0" w:space="0" w:color="auto"/>
        <w:bottom w:val="none" w:sz="0" w:space="0" w:color="auto"/>
        <w:right w:val="none" w:sz="0" w:space="0" w:color="auto"/>
      </w:divBdr>
    </w:div>
    <w:div w:id="597838151">
      <w:bodyDiv w:val="1"/>
      <w:marLeft w:val="0"/>
      <w:marRight w:val="0"/>
      <w:marTop w:val="0"/>
      <w:marBottom w:val="0"/>
      <w:divBdr>
        <w:top w:val="none" w:sz="0" w:space="0" w:color="auto"/>
        <w:left w:val="none" w:sz="0" w:space="0" w:color="auto"/>
        <w:bottom w:val="none" w:sz="0" w:space="0" w:color="auto"/>
        <w:right w:val="none" w:sz="0" w:space="0" w:color="auto"/>
      </w:divBdr>
    </w:div>
    <w:div w:id="605816153">
      <w:bodyDiv w:val="1"/>
      <w:marLeft w:val="0"/>
      <w:marRight w:val="0"/>
      <w:marTop w:val="0"/>
      <w:marBottom w:val="0"/>
      <w:divBdr>
        <w:top w:val="none" w:sz="0" w:space="0" w:color="auto"/>
        <w:left w:val="none" w:sz="0" w:space="0" w:color="auto"/>
        <w:bottom w:val="none" w:sz="0" w:space="0" w:color="auto"/>
        <w:right w:val="none" w:sz="0" w:space="0" w:color="auto"/>
      </w:divBdr>
    </w:div>
    <w:div w:id="606817973">
      <w:bodyDiv w:val="1"/>
      <w:marLeft w:val="0"/>
      <w:marRight w:val="0"/>
      <w:marTop w:val="0"/>
      <w:marBottom w:val="0"/>
      <w:divBdr>
        <w:top w:val="none" w:sz="0" w:space="0" w:color="auto"/>
        <w:left w:val="none" w:sz="0" w:space="0" w:color="auto"/>
        <w:bottom w:val="none" w:sz="0" w:space="0" w:color="auto"/>
        <w:right w:val="none" w:sz="0" w:space="0" w:color="auto"/>
      </w:divBdr>
      <w:divsChild>
        <w:div w:id="1968923355">
          <w:marLeft w:val="0"/>
          <w:marRight w:val="0"/>
          <w:marTop w:val="0"/>
          <w:marBottom w:val="0"/>
          <w:divBdr>
            <w:top w:val="none" w:sz="0" w:space="0" w:color="auto"/>
            <w:left w:val="none" w:sz="0" w:space="0" w:color="auto"/>
            <w:bottom w:val="none" w:sz="0" w:space="0" w:color="auto"/>
            <w:right w:val="none" w:sz="0" w:space="0" w:color="auto"/>
          </w:divBdr>
          <w:divsChild>
            <w:div w:id="1144160051">
              <w:marLeft w:val="0"/>
              <w:marRight w:val="0"/>
              <w:marTop w:val="0"/>
              <w:marBottom w:val="0"/>
              <w:divBdr>
                <w:top w:val="none" w:sz="0" w:space="0" w:color="auto"/>
                <w:left w:val="none" w:sz="0" w:space="0" w:color="auto"/>
                <w:bottom w:val="none" w:sz="0" w:space="0" w:color="auto"/>
                <w:right w:val="none" w:sz="0" w:space="0" w:color="auto"/>
              </w:divBdr>
              <w:divsChild>
                <w:div w:id="15715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7033">
      <w:bodyDiv w:val="1"/>
      <w:marLeft w:val="0"/>
      <w:marRight w:val="0"/>
      <w:marTop w:val="0"/>
      <w:marBottom w:val="0"/>
      <w:divBdr>
        <w:top w:val="none" w:sz="0" w:space="0" w:color="auto"/>
        <w:left w:val="none" w:sz="0" w:space="0" w:color="auto"/>
        <w:bottom w:val="none" w:sz="0" w:space="0" w:color="auto"/>
        <w:right w:val="none" w:sz="0" w:space="0" w:color="auto"/>
      </w:divBdr>
    </w:div>
    <w:div w:id="614795610">
      <w:bodyDiv w:val="1"/>
      <w:marLeft w:val="0"/>
      <w:marRight w:val="0"/>
      <w:marTop w:val="0"/>
      <w:marBottom w:val="0"/>
      <w:divBdr>
        <w:top w:val="none" w:sz="0" w:space="0" w:color="auto"/>
        <w:left w:val="none" w:sz="0" w:space="0" w:color="auto"/>
        <w:bottom w:val="none" w:sz="0" w:space="0" w:color="auto"/>
        <w:right w:val="none" w:sz="0" w:space="0" w:color="auto"/>
      </w:divBdr>
      <w:divsChild>
        <w:div w:id="825513544">
          <w:marLeft w:val="0"/>
          <w:marRight w:val="0"/>
          <w:marTop w:val="0"/>
          <w:marBottom w:val="0"/>
          <w:divBdr>
            <w:top w:val="none" w:sz="0" w:space="0" w:color="auto"/>
            <w:left w:val="none" w:sz="0" w:space="0" w:color="auto"/>
            <w:bottom w:val="none" w:sz="0" w:space="0" w:color="auto"/>
            <w:right w:val="none" w:sz="0" w:space="0" w:color="auto"/>
          </w:divBdr>
          <w:divsChild>
            <w:div w:id="305277906">
              <w:marLeft w:val="0"/>
              <w:marRight w:val="0"/>
              <w:marTop w:val="0"/>
              <w:marBottom w:val="0"/>
              <w:divBdr>
                <w:top w:val="none" w:sz="0" w:space="0" w:color="auto"/>
                <w:left w:val="none" w:sz="0" w:space="0" w:color="auto"/>
                <w:bottom w:val="none" w:sz="0" w:space="0" w:color="auto"/>
                <w:right w:val="none" w:sz="0" w:space="0" w:color="auto"/>
              </w:divBdr>
              <w:divsChild>
                <w:div w:id="19199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11431">
      <w:bodyDiv w:val="1"/>
      <w:marLeft w:val="0"/>
      <w:marRight w:val="0"/>
      <w:marTop w:val="0"/>
      <w:marBottom w:val="0"/>
      <w:divBdr>
        <w:top w:val="none" w:sz="0" w:space="0" w:color="auto"/>
        <w:left w:val="none" w:sz="0" w:space="0" w:color="auto"/>
        <w:bottom w:val="none" w:sz="0" w:space="0" w:color="auto"/>
        <w:right w:val="none" w:sz="0" w:space="0" w:color="auto"/>
      </w:divBdr>
    </w:div>
    <w:div w:id="621349527">
      <w:bodyDiv w:val="1"/>
      <w:marLeft w:val="0"/>
      <w:marRight w:val="0"/>
      <w:marTop w:val="0"/>
      <w:marBottom w:val="0"/>
      <w:divBdr>
        <w:top w:val="none" w:sz="0" w:space="0" w:color="auto"/>
        <w:left w:val="none" w:sz="0" w:space="0" w:color="auto"/>
        <w:bottom w:val="none" w:sz="0" w:space="0" w:color="auto"/>
        <w:right w:val="none" w:sz="0" w:space="0" w:color="auto"/>
      </w:divBdr>
    </w:div>
    <w:div w:id="625308857">
      <w:bodyDiv w:val="1"/>
      <w:marLeft w:val="0"/>
      <w:marRight w:val="0"/>
      <w:marTop w:val="0"/>
      <w:marBottom w:val="0"/>
      <w:divBdr>
        <w:top w:val="none" w:sz="0" w:space="0" w:color="auto"/>
        <w:left w:val="none" w:sz="0" w:space="0" w:color="auto"/>
        <w:bottom w:val="none" w:sz="0" w:space="0" w:color="auto"/>
        <w:right w:val="none" w:sz="0" w:space="0" w:color="auto"/>
      </w:divBdr>
      <w:divsChild>
        <w:div w:id="121121519">
          <w:marLeft w:val="0"/>
          <w:marRight w:val="0"/>
          <w:marTop w:val="0"/>
          <w:marBottom w:val="0"/>
          <w:divBdr>
            <w:top w:val="none" w:sz="0" w:space="0" w:color="auto"/>
            <w:left w:val="none" w:sz="0" w:space="0" w:color="auto"/>
            <w:bottom w:val="none" w:sz="0" w:space="0" w:color="auto"/>
            <w:right w:val="none" w:sz="0" w:space="0" w:color="auto"/>
          </w:divBdr>
          <w:divsChild>
            <w:div w:id="2111467468">
              <w:marLeft w:val="0"/>
              <w:marRight w:val="0"/>
              <w:marTop w:val="0"/>
              <w:marBottom w:val="0"/>
              <w:divBdr>
                <w:top w:val="none" w:sz="0" w:space="0" w:color="auto"/>
                <w:left w:val="none" w:sz="0" w:space="0" w:color="auto"/>
                <w:bottom w:val="none" w:sz="0" w:space="0" w:color="auto"/>
                <w:right w:val="none" w:sz="0" w:space="0" w:color="auto"/>
              </w:divBdr>
              <w:divsChild>
                <w:div w:id="7437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6155">
      <w:bodyDiv w:val="1"/>
      <w:marLeft w:val="0"/>
      <w:marRight w:val="0"/>
      <w:marTop w:val="0"/>
      <w:marBottom w:val="0"/>
      <w:divBdr>
        <w:top w:val="none" w:sz="0" w:space="0" w:color="auto"/>
        <w:left w:val="none" w:sz="0" w:space="0" w:color="auto"/>
        <w:bottom w:val="none" w:sz="0" w:space="0" w:color="auto"/>
        <w:right w:val="none" w:sz="0" w:space="0" w:color="auto"/>
      </w:divBdr>
    </w:div>
    <w:div w:id="683702843">
      <w:bodyDiv w:val="1"/>
      <w:marLeft w:val="0"/>
      <w:marRight w:val="0"/>
      <w:marTop w:val="0"/>
      <w:marBottom w:val="0"/>
      <w:divBdr>
        <w:top w:val="none" w:sz="0" w:space="0" w:color="auto"/>
        <w:left w:val="none" w:sz="0" w:space="0" w:color="auto"/>
        <w:bottom w:val="none" w:sz="0" w:space="0" w:color="auto"/>
        <w:right w:val="none" w:sz="0" w:space="0" w:color="auto"/>
      </w:divBdr>
      <w:divsChild>
        <w:div w:id="301662643">
          <w:marLeft w:val="0"/>
          <w:marRight w:val="0"/>
          <w:marTop w:val="0"/>
          <w:marBottom w:val="0"/>
          <w:divBdr>
            <w:top w:val="none" w:sz="0" w:space="0" w:color="auto"/>
            <w:left w:val="none" w:sz="0" w:space="0" w:color="auto"/>
            <w:bottom w:val="none" w:sz="0" w:space="0" w:color="auto"/>
            <w:right w:val="none" w:sz="0" w:space="0" w:color="auto"/>
          </w:divBdr>
          <w:divsChild>
            <w:div w:id="1512721527">
              <w:marLeft w:val="0"/>
              <w:marRight w:val="0"/>
              <w:marTop w:val="0"/>
              <w:marBottom w:val="0"/>
              <w:divBdr>
                <w:top w:val="none" w:sz="0" w:space="0" w:color="auto"/>
                <w:left w:val="none" w:sz="0" w:space="0" w:color="auto"/>
                <w:bottom w:val="none" w:sz="0" w:space="0" w:color="auto"/>
                <w:right w:val="none" w:sz="0" w:space="0" w:color="auto"/>
              </w:divBdr>
              <w:divsChild>
                <w:div w:id="14396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21820">
      <w:bodyDiv w:val="1"/>
      <w:marLeft w:val="0"/>
      <w:marRight w:val="0"/>
      <w:marTop w:val="0"/>
      <w:marBottom w:val="0"/>
      <w:divBdr>
        <w:top w:val="none" w:sz="0" w:space="0" w:color="auto"/>
        <w:left w:val="none" w:sz="0" w:space="0" w:color="auto"/>
        <w:bottom w:val="none" w:sz="0" w:space="0" w:color="auto"/>
        <w:right w:val="none" w:sz="0" w:space="0" w:color="auto"/>
      </w:divBdr>
    </w:div>
    <w:div w:id="706486092">
      <w:bodyDiv w:val="1"/>
      <w:marLeft w:val="0"/>
      <w:marRight w:val="0"/>
      <w:marTop w:val="0"/>
      <w:marBottom w:val="0"/>
      <w:divBdr>
        <w:top w:val="none" w:sz="0" w:space="0" w:color="auto"/>
        <w:left w:val="none" w:sz="0" w:space="0" w:color="auto"/>
        <w:bottom w:val="none" w:sz="0" w:space="0" w:color="auto"/>
        <w:right w:val="none" w:sz="0" w:space="0" w:color="auto"/>
      </w:divBdr>
      <w:divsChild>
        <w:div w:id="1105157124">
          <w:marLeft w:val="0"/>
          <w:marRight w:val="0"/>
          <w:marTop w:val="0"/>
          <w:marBottom w:val="0"/>
          <w:divBdr>
            <w:top w:val="none" w:sz="0" w:space="0" w:color="auto"/>
            <w:left w:val="none" w:sz="0" w:space="0" w:color="auto"/>
            <w:bottom w:val="none" w:sz="0" w:space="0" w:color="auto"/>
            <w:right w:val="none" w:sz="0" w:space="0" w:color="auto"/>
          </w:divBdr>
          <w:divsChild>
            <w:div w:id="18969066">
              <w:marLeft w:val="0"/>
              <w:marRight w:val="0"/>
              <w:marTop w:val="0"/>
              <w:marBottom w:val="0"/>
              <w:divBdr>
                <w:top w:val="none" w:sz="0" w:space="0" w:color="auto"/>
                <w:left w:val="none" w:sz="0" w:space="0" w:color="auto"/>
                <w:bottom w:val="none" w:sz="0" w:space="0" w:color="auto"/>
                <w:right w:val="none" w:sz="0" w:space="0" w:color="auto"/>
              </w:divBdr>
              <w:divsChild>
                <w:div w:id="20444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00383">
      <w:bodyDiv w:val="1"/>
      <w:marLeft w:val="0"/>
      <w:marRight w:val="0"/>
      <w:marTop w:val="0"/>
      <w:marBottom w:val="0"/>
      <w:divBdr>
        <w:top w:val="none" w:sz="0" w:space="0" w:color="auto"/>
        <w:left w:val="none" w:sz="0" w:space="0" w:color="auto"/>
        <w:bottom w:val="none" w:sz="0" w:space="0" w:color="auto"/>
        <w:right w:val="none" w:sz="0" w:space="0" w:color="auto"/>
      </w:divBdr>
      <w:divsChild>
        <w:div w:id="1508400716">
          <w:marLeft w:val="0"/>
          <w:marRight w:val="0"/>
          <w:marTop w:val="0"/>
          <w:marBottom w:val="0"/>
          <w:divBdr>
            <w:top w:val="none" w:sz="0" w:space="0" w:color="auto"/>
            <w:left w:val="none" w:sz="0" w:space="0" w:color="auto"/>
            <w:bottom w:val="none" w:sz="0" w:space="0" w:color="auto"/>
            <w:right w:val="none" w:sz="0" w:space="0" w:color="auto"/>
          </w:divBdr>
          <w:divsChild>
            <w:div w:id="2057699864">
              <w:marLeft w:val="0"/>
              <w:marRight w:val="0"/>
              <w:marTop w:val="0"/>
              <w:marBottom w:val="0"/>
              <w:divBdr>
                <w:top w:val="none" w:sz="0" w:space="0" w:color="auto"/>
                <w:left w:val="none" w:sz="0" w:space="0" w:color="auto"/>
                <w:bottom w:val="none" w:sz="0" w:space="0" w:color="auto"/>
                <w:right w:val="none" w:sz="0" w:space="0" w:color="auto"/>
              </w:divBdr>
              <w:divsChild>
                <w:div w:id="306470144">
                  <w:marLeft w:val="0"/>
                  <w:marRight w:val="0"/>
                  <w:marTop w:val="0"/>
                  <w:marBottom w:val="0"/>
                  <w:divBdr>
                    <w:top w:val="none" w:sz="0" w:space="0" w:color="auto"/>
                    <w:left w:val="none" w:sz="0" w:space="0" w:color="auto"/>
                    <w:bottom w:val="none" w:sz="0" w:space="0" w:color="auto"/>
                    <w:right w:val="none" w:sz="0" w:space="0" w:color="auto"/>
                  </w:divBdr>
                  <w:divsChild>
                    <w:div w:id="1546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6681">
      <w:bodyDiv w:val="1"/>
      <w:marLeft w:val="0"/>
      <w:marRight w:val="0"/>
      <w:marTop w:val="0"/>
      <w:marBottom w:val="0"/>
      <w:divBdr>
        <w:top w:val="none" w:sz="0" w:space="0" w:color="auto"/>
        <w:left w:val="none" w:sz="0" w:space="0" w:color="auto"/>
        <w:bottom w:val="none" w:sz="0" w:space="0" w:color="auto"/>
        <w:right w:val="none" w:sz="0" w:space="0" w:color="auto"/>
      </w:divBdr>
      <w:divsChild>
        <w:div w:id="794100987">
          <w:marLeft w:val="0"/>
          <w:marRight w:val="0"/>
          <w:marTop w:val="0"/>
          <w:marBottom w:val="0"/>
          <w:divBdr>
            <w:top w:val="none" w:sz="0" w:space="0" w:color="auto"/>
            <w:left w:val="none" w:sz="0" w:space="0" w:color="auto"/>
            <w:bottom w:val="none" w:sz="0" w:space="0" w:color="auto"/>
            <w:right w:val="none" w:sz="0" w:space="0" w:color="auto"/>
          </w:divBdr>
          <w:divsChild>
            <w:div w:id="793183357">
              <w:marLeft w:val="0"/>
              <w:marRight w:val="0"/>
              <w:marTop w:val="0"/>
              <w:marBottom w:val="0"/>
              <w:divBdr>
                <w:top w:val="none" w:sz="0" w:space="0" w:color="auto"/>
                <w:left w:val="none" w:sz="0" w:space="0" w:color="auto"/>
                <w:bottom w:val="none" w:sz="0" w:space="0" w:color="auto"/>
                <w:right w:val="none" w:sz="0" w:space="0" w:color="auto"/>
              </w:divBdr>
              <w:divsChild>
                <w:div w:id="8817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5603">
      <w:bodyDiv w:val="1"/>
      <w:marLeft w:val="0"/>
      <w:marRight w:val="0"/>
      <w:marTop w:val="0"/>
      <w:marBottom w:val="0"/>
      <w:divBdr>
        <w:top w:val="none" w:sz="0" w:space="0" w:color="auto"/>
        <w:left w:val="none" w:sz="0" w:space="0" w:color="auto"/>
        <w:bottom w:val="none" w:sz="0" w:space="0" w:color="auto"/>
        <w:right w:val="none" w:sz="0" w:space="0" w:color="auto"/>
      </w:divBdr>
      <w:divsChild>
        <w:div w:id="296959301">
          <w:marLeft w:val="0"/>
          <w:marRight w:val="0"/>
          <w:marTop w:val="0"/>
          <w:marBottom w:val="0"/>
          <w:divBdr>
            <w:top w:val="none" w:sz="0" w:space="0" w:color="auto"/>
            <w:left w:val="none" w:sz="0" w:space="0" w:color="auto"/>
            <w:bottom w:val="none" w:sz="0" w:space="0" w:color="auto"/>
            <w:right w:val="none" w:sz="0" w:space="0" w:color="auto"/>
          </w:divBdr>
          <w:divsChild>
            <w:div w:id="1186019285">
              <w:marLeft w:val="0"/>
              <w:marRight w:val="0"/>
              <w:marTop w:val="0"/>
              <w:marBottom w:val="0"/>
              <w:divBdr>
                <w:top w:val="none" w:sz="0" w:space="0" w:color="auto"/>
                <w:left w:val="none" w:sz="0" w:space="0" w:color="auto"/>
                <w:bottom w:val="none" w:sz="0" w:space="0" w:color="auto"/>
                <w:right w:val="none" w:sz="0" w:space="0" w:color="auto"/>
              </w:divBdr>
              <w:divsChild>
                <w:div w:id="17435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3022">
      <w:bodyDiv w:val="1"/>
      <w:marLeft w:val="0"/>
      <w:marRight w:val="0"/>
      <w:marTop w:val="0"/>
      <w:marBottom w:val="0"/>
      <w:divBdr>
        <w:top w:val="none" w:sz="0" w:space="0" w:color="auto"/>
        <w:left w:val="none" w:sz="0" w:space="0" w:color="auto"/>
        <w:bottom w:val="none" w:sz="0" w:space="0" w:color="auto"/>
        <w:right w:val="none" w:sz="0" w:space="0" w:color="auto"/>
      </w:divBdr>
      <w:divsChild>
        <w:div w:id="8534168">
          <w:marLeft w:val="0"/>
          <w:marRight w:val="0"/>
          <w:marTop w:val="0"/>
          <w:marBottom w:val="0"/>
          <w:divBdr>
            <w:top w:val="none" w:sz="0" w:space="0" w:color="auto"/>
            <w:left w:val="none" w:sz="0" w:space="0" w:color="auto"/>
            <w:bottom w:val="none" w:sz="0" w:space="0" w:color="auto"/>
            <w:right w:val="none" w:sz="0" w:space="0" w:color="auto"/>
          </w:divBdr>
          <w:divsChild>
            <w:div w:id="679813789">
              <w:marLeft w:val="0"/>
              <w:marRight w:val="0"/>
              <w:marTop w:val="0"/>
              <w:marBottom w:val="0"/>
              <w:divBdr>
                <w:top w:val="none" w:sz="0" w:space="0" w:color="auto"/>
                <w:left w:val="none" w:sz="0" w:space="0" w:color="auto"/>
                <w:bottom w:val="none" w:sz="0" w:space="0" w:color="auto"/>
                <w:right w:val="none" w:sz="0" w:space="0" w:color="auto"/>
              </w:divBdr>
              <w:divsChild>
                <w:div w:id="9120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7771">
          <w:marLeft w:val="0"/>
          <w:marRight w:val="0"/>
          <w:marTop w:val="0"/>
          <w:marBottom w:val="0"/>
          <w:divBdr>
            <w:top w:val="none" w:sz="0" w:space="0" w:color="auto"/>
            <w:left w:val="none" w:sz="0" w:space="0" w:color="auto"/>
            <w:bottom w:val="none" w:sz="0" w:space="0" w:color="auto"/>
            <w:right w:val="none" w:sz="0" w:space="0" w:color="auto"/>
          </w:divBdr>
          <w:divsChild>
            <w:div w:id="336660780">
              <w:marLeft w:val="0"/>
              <w:marRight w:val="0"/>
              <w:marTop w:val="0"/>
              <w:marBottom w:val="0"/>
              <w:divBdr>
                <w:top w:val="none" w:sz="0" w:space="0" w:color="auto"/>
                <w:left w:val="none" w:sz="0" w:space="0" w:color="auto"/>
                <w:bottom w:val="none" w:sz="0" w:space="0" w:color="auto"/>
                <w:right w:val="none" w:sz="0" w:space="0" w:color="auto"/>
              </w:divBdr>
              <w:divsChild>
                <w:div w:id="1818260438">
                  <w:marLeft w:val="0"/>
                  <w:marRight w:val="0"/>
                  <w:marTop w:val="0"/>
                  <w:marBottom w:val="0"/>
                  <w:divBdr>
                    <w:top w:val="none" w:sz="0" w:space="0" w:color="auto"/>
                    <w:left w:val="none" w:sz="0" w:space="0" w:color="auto"/>
                    <w:bottom w:val="none" w:sz="0" w:space="0" w:color="auto"/>
                    <w:right w:val="none" w:sz="0" w:space="0" w:color="auto"/>
                  </w:divBdr>
                </w:div>
              </w:divsChild>
            </w:div>
            <w:div w:id="494496575">
              <w:marLeft w:val="0"/>
              <w:marRight w:val="0"/>
              <w:marTop w:val="0"/>
              <w:marBottom w:val="0"/>
              <w:divBdr>
                <w:top w:val="none" w:sz="0" w:space="0" w:color="auto"/>
                <w:left w:val="none" w:sz="0" w:space="0" w:color="auto"/>
                <w:bottom w:val="none" w:sz="0" w:space="0" w:color="auto"/>
                <w:right w:val="none" w:sz="0" w:space="0" w:color="auto"/>
              </w:divBdr>
              <w:divsChild>
                <w:div w:id="2868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1903">
      <w:bodyDiv w:val="1"/>
      <w:marLeft w:val="0"/>
      <w:marRight w:val="0"/>
      <w:marTop w:val="0"/>
      <w:marBottom w:val="0"/>
      <w:divBdr>
        <w:top w:val="none" w:sz="0" w:space="0" w:color="auto"/>
        <w:left w:val="none" w:sz="0" w:space="0" w:color="auto"/>
        <w:bottom w:val="none" w:sz="0" w:space="0" w:color="auto"/>
        <w:right w:val="none" w:sz="0" w:space="0" w:color="auto"/>
      </w:divBdr>
    </w:div>
    <w:div w:id="753085427">
      <w:bodyDiv w:val="1"/>
      <w:marLeft w:val="0"/>
      <w:marRight w:val="0"/>
      <w:marTop w:val="0"/>
      <w:marBottom w:val="0"/>
      <w:divBdr>
        <w:top w:val="none" w:sz="0" w:space="0" w:color="auto"/>
        <w:left w:val="none" w:sz="0" w:space="0" w:color="auto"/>
        <w:bottom w:val="none" w:sz="0" w:space="0" w:color="auto"/>
        <w:right w:val="none" w:sz="0" w:space="0" w:color="auto"/>
      </w:divBdr>
      <w:divsChild>
        <w:div w:id="15158165">
          <w:marLeft w:val="0"/>
          <w:marRight w:val="0"/>
          <w:marTop w:val="0"/>
          <w:marBottom w:val="0"/>
          <w:divBdr>
            <w:top w:val="none" w:sz="0" w:space="0" w:color="auto"/>
            <w:left w:val="none" w:sz="0" w:space="0" w:color="auto"/>
            <w:bottom w:val="none" w:sz="0" w:space="0" w:color="auto"/>
            <w:right w:val="none" w:sz="0" w:space="0" w:color="auto"/>
          </w:divBdr>
          <w:divsChild>
            <w:div w:id="102306687">
              <w:marLeft w:val="0"/>
              <w:marRight w:val="0"/>
              <w:marTop w:val="0"/>
              <w:marBottom w:val="0"/>
              <w:divBdr>
                <w:top w:val="none" w:sz="0" w:space="0" w:color="auto"/>
                <w:left w:val="none" w:sz="0" w:space="0" w:color="auto"/>
                <w:bottom w:val="none" w:sz="0" w:space="0" w:color="auto"/>
                <w:right w:val="none" w:sz="0" w:space="0" w:color="auto"/>
              </w:divBdr>
              <w:divsChild>
                <w:div w:id="7601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97486">
      <w:bodyDiv w:val="1"/>
      <w:marLeft w:val="0"/>
      <w:marRight w:val="0"/>
      <w:marTop w:val="0"/>
      <w:marBottom w:val="0"/>
      <w:divBdr>
        <w:top w:val="none" w:sz="0" w:space="0" w:color="auto"/>
        <w:left w:val="none" w:sz="0" w:space="0" w:color="auto"/>
        <w:bottom w:val="none" w:sz="0" w:space="0" w:color="auto"/>
        <w:right w:val="none" w:sz="0" w:space="0" w:color="auto"/>
      </w:divBdr>
    </w:div>
    <w:div w:id="758597958">
      <w:bodyDiv w:val="1"/>
      <w:marLeft w:val="0"/>
      <w:marRight w:val="0"/>
      <w:marTop w:val="0"/>
      <w:marBottom w:val="0"/>
      <w:divBdr>
        <w:top w:val="none" w:sz="0" w:space="0" w:color="auto"/>
        <w:left w:val="none" w:sz="0" w:space="0" w:color="auto"/>
        <w:bottom w:val="none" w:sz="0" w:space="0" w:color="auto"/>
        <w:right w:val="none" w:sz="0" w:space="0" w:color="auto"/>
      </w:divBdr>
      <w:divsChild>
        <w:div w:id="1810900405">
          <w:marLeft w:val="0"/>
          <w:marRight w:val="0"/>
          <w:marTop w:val="0"/>
          <w:marBottom w:val="0"/>
          <w:divBdr>
            <w:top w:val="none" w:sz="0" w:space="0" w:color="auto"/>
            <w:left w:val="none" w:sz="0" w:space="0" w:color="auto"/>
            <w:bottom w:val="none" w:sz="0" w:space="0" w:color="auto"/>
            <w:right w:val="none" w:sz="0" w:space="0" w:color="auto"/>
          </w:divBdr>
          <w:divsChild>
            <w:div w:id="1874538856">
              <w:marLeft w:val="0"/>
              <w:marRight w:val="0"/>
              <w:marTop w:val="0"/>
              <w:marBottom w:val="0"/>
              <w:divBdr>
                <w:top w:val="none" w:sz="0" w:space="0" w:color="auto"/>
                <w:left w:val="none" w:sz="0" w:space="0" w:color="auto"/>
                <w:bottom w:val="none" w:sz="0" w:space="0" w:color="auto"/>
                <w:right w:val="none" w:sz="0" w:space="0" w:color="auto"/>
              </w:divBdr>
              <w:divsChild>
                <w:div w:id="589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7158">
      <w:bodyDiv w:val="1"/>
      <w:marLeft w:val="0"/>
      <w:marRight w:val="0"/>
      <w:marTop w:val="0"/>
      <w:marBottom w:val="0"/>
      <w:divBdr>
        <w:top w:val="none" w:sz="0" w:space="0" w:color="auto"/>
        <w:left w:val="none" w:sz="0" w:space="0" w:color="auto"/>
        <w:bottom w:val="none" w:sz="0" w:space="0" w:color="auto"/>
        <w:right w:val="none" w:sz="0" w:space="0" w:color="auto"/>
      </w:divBdr>
      <w:divsChild>
        <w:div w:id="848325264">
          <w:marLeft w:val="0"/>
          <w:marRight w:val="0"/>
          <w:marTop w:val="0"/>
          <w:marBottom w:val="0"/>
          <w:divBdr>
            <w:top w:val="none" w:sz="0" w:space="0" w:color="auto"/>
            <w:left w:val="none" w:sz="0" w:space="0" w:color="auto"/>
            <w:bottom w:val="none" w:sz="0" w:space="0" w:color="auto"/>
            <w:right w:val="none" w:sz="0" w:space="0" w:color="auto"/>
          </w:divBdr>
          <w:divsChild>
            <w:div w:id="1618563175">
              <w:marLeft w:val="0"/>
              <w:marRight w:val="0"/>
              <w:marTop w:val="0"/>
              <w:marBottom w:val="0"/>
              <w:divBdr>
                <w:top w:val="none" w:sz="0" w:space="0" w:color="auto"/>
                <w:left w:val="none" w:sz="0" w:space="0" w:color="auto"/>
                <w:bottom w:val="none" w:sz="0" w:space="0" w:color="auto"/>
                <w:right w:val="none" w:sz="0" w:space="0" w:color="auto"/>
              </w:divBdr>
              <w:divsChild>
                <w:div w:id="1113981461">
                  <w:marLeft w:val="0"/>
                  <w:marRight w:val="0"/>
                  <w:marTop w:val="0"/>
                  <w:marBottom w:val="0"/>
                  <w:divBdr>
                    <w:top w:val="none" w:sz="0" w:space="0" w:color="auto"/>
                    <w:left w:val="none" w:sz="0" w:space="0" w:color="auto"/>
                    <w:bottom w:val="none" w:sz="0" w:space="0" w:color="auto"/>
                    <w:right w:val="none" w:sz="0" w:space="0" w:color="auto"/>
                  </w:divBdr>
                  <w:divsChild>
                    <w:div w:id="6292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89560">
      <w:bodyDiv w:val="1"/>
      <w:marLeft w:val="0"/>
      <w:marRight w:val="0"/>
      <w:marTop w:val="0"/>
      <w:marBottom w:val="0"/>
      <w:divBdr>
        <w:top w:val="none" w:sz="0" w:space="0" w:color="auto"/>
        <w:left w:val="none" w:sz="0" w:space="0" w:color="auto"/>
        <w:bottom w:val="none" w:sz="0" w:space="0" w:color="auto"/>
        <w:right w:val="none" w:sz="0" w:space="0" w:color="auto"/>
      </w:divBdr>
      <w:divsChild>
        <w:div w:id="892159769">
          <w:marLeft w:val="0"/>
          <w:marRight w:val="0"/>
          <w:marTop w:val="0"/>
          <w:marBottom w:val="0"/>
          <w:divBdr>
            <w:top w:val="none" w:sz="0" w:space="0" w:color="auto"/>
            <w:left w:val="none" w:sz="0" w:space="0" w:color="auto"/>
            <w:bottom w:val="none" w:sz="0" w:space="0" w:color="auto"/>
            <w:right w:val="none" w:sz="0" w:space="0" w:color="auto"/>
          </w:divBdr>
          <w:divsChild>
            <w:div w:id="325480601">
              <w:marLeft w:val="0"/>
              <w:marRight w:val="0"/>
              <w:marTop w:val="0"/>
              <w:marBottom w:val="0"/>
              <w:divBdr>
                <w:top w:val="none" w:sz="0" w:space="0" w:color="auto"/>
                <w:left w:val="none" w:sz="0" w:space="0" w:color="auto"/>
                <w:bottom w:val="none" w:sz="0" w:space="0" w:color="auto"/>
                <w:right w:val="none" w:sz="0" w:space="0" w:color="auto"/>
              </w:divBdr>
              <w:divsChild>
                <w:div w:id="14553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3561">
      <w:bodyDiv w:val="1"/>
      <w:marLeft w:val="0"/>
      <w:marRight w:val="0"/>
      <w:marTop w:val="0"/>
      <w:marBottom w:val="0"/>
      <w:divBdr>
        <w:top w:val="none" w:sz="0" w:space="0" w:color="auto"/>
        <w:left w:val="none" w:sz="0" w:space="0" w:color="auto"/>
        <w:bottom w:val="none" w:sz="0" w:space="0" w:color="auto"/>
        <w:right w:val="none" w:sz="0" w:space="0" w:color="auto"/>
      </w:divBdr>
    </w:div>
    <w:div w:id="786242125">
      <w:bodyDiv w:val="1"/>
      <w:marLeft w:val="0"/>
      <w:marRight w:val="0"/>
      <w:marTop w:val="0"/>
      <w:marBottom w:val="0"/>
      <w:divBdr>
        <w:top w:val="none" w:sz="0" w:space="0" w:color="auto"/>
        <w:left w:val="none" w:sz="0" w:space="0" w:color="auto"/>
        <w:bottom w:val="none" w:sz="0" w:space="0" w:color="auto"/>
        <w:right w:val="none" w:sz="0" w:space="0" w:color="auto"/>
      </w:divBdr>
      <w:divsChild>
        <w:div w:id="1665089288">
          <w:marLeft w:val="0"/>
          <w:marRight w:val="0"/>
          <w:marTop w:val="0"/>
          <w:marBottom w:val="0"/>
          <w:divBdr>
            <w:top w:val="none" w:sz="0" w:space="0" w:color="auto"/>
            <w:left w:val="none" w:sz="0" w:space="0" w:color="auto"/>
            <w:bottom w:val="none" w:sz="0" w:space="0" w:color="auto"/>
            <w:right w:val="none" w:sz="0" w:space="0" w:color="auto"/>
          </w:divBdr>
          <w:divsChild>
            <w:div w:id="1339886835">
              <w:marLeft w:val="0"/>
              <w:marRight w:val="0"/>
              <w:marTop w:val="0"/>
              <w:marBottom w:val="0"/>
              <w:divBdr>
                <w:top w:val="none" w:sz="0" w:space="0" w:color="auto"/>
                <w:left w:val="none" w:sz="0" w:space="0" w:color="auto"/>
                <w:bottom w:val="none" w:sz="0" w:space="0" w:color="auto"/>
                <w:right w:val="none" w:sz="0" w:space="0" w:color="auto"/>
              </w:divBdr>
              <w:divsChild>
                <w:div w:id="2566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302">
      <w:bodyDiv w:val="1"/>
      <w:marLeft w:val="0"/>
      <w:marRight w:val="0"/>
      <w:marTop w:val="0"/>
      <w:marBottom w:val="0"/>
      <w:divBdr>
        <w:top w:val="none" w:sz="0" w:space="0" w:color="auto"/>
        <w:left w:val="none" w:sz="0" w:space="0" w:color="auto"/>
        <w:bottom w:val="none" w:sz="0" w:space="0" w:color="auto"/>
        <w:right w:val="none" w:sz="0" w:space="0" w:color="auto"/>
      </w:divBdr>
    </w:div>
    <w:div w:id="796413107">
      <w:bodyDiv w:val="1"/>
      <w:marLeft w:val="0"/>
      <w:marRight w:val="0"/>
      <w:marTop w:val="0"/>
      <w:marBottom w:val="0"/>
      <w:divBdr>
        <w:top w:val="none" w:sz="0" w:space="0" w:color="auto"/>
        <w:left w:val="none" w:sz="0" w:space="0" w:color="auto"/>
        <w:bottom w:val="none" w:sz="0" w:space="0" w:color="auto"/>
        <w:right w:val="none" w:sz="0" w:space="0" w:color="auto"/>
      </w:divBdr>
    </w:div>
    <w:div w:id="806430374">
      <w:bodyDiv w:val="1"/>
      <w:marLeft w:val="0"/>
      <w:marRight w:val="0"/>
      <w:marTop w:val="0"/>
      <w:marBottom w:val="0"/>
      <w:divBdr>
        <w:top w:val="none" w:sz="0" w:space="0" w:color="auto"/>
        <w:left w:val="none" w:sz="0" w:space="0" w:color="auto"/>
        <w:bottom w:val="none" w:sz="0" w:space="0" w:color="auto"/>
        <w:right w:val="none" w:sz="0" w:space="0" w:color="auto"/>
      </w:divBdr>
      <w:divsChild>
        <w:div w:id="1045912754">
          <w:marLeft w:val="0"/>
          <w:marRight w:val="0"/>
          <w:marTop w:val="0"/>
          <w:marBottom w:val="0"/>
          <w:divBdr>
            <w:top w:val="none" w:sz="0" w:space="0" w:color="auto"/>
            <w:left w:val="none" w:sz="0" w:space="0" w:color="auto"/>
            <w:bottom w:val="none" w:sz="0" w:space="0" w:color="auto"/>
            <w:right w:val="none" w:sz="0" w:space="0" w:color="auto"/>
          </w:divBdr>
          <w:divsChild>
            <w:div w:id="1566184020">
              <w:marLeft w:val="0"/>
              <w:marRight w:val="0"/>
              <w:marTop w:val="0"/>
              <w:marBottom w:val="0"/>
              <w:divBdr>
                <w:top w:val="none" w:sz="0" w:space="0" w:color="auto"/>
                <w:left w:val="none" w:sz="0" w:space="0" w:color="auto"/>
                <w:bottom w:val="none" w:sz="0" w:space="0" w:color="auto"/>
                <w:right w:val="none" w:sz="0" w:space="0" w:color="auto"/>
              </w:divBdr>
              <w:divsChild>
                <w:div w:id="1033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28598">
      <w:bodyDiv w:val="1"/>
      <w:marLeft w:val="0"/>
      <w:marRight w:val="0"/>
      <w:marTop w:val="0"/>
      <w:marBottom w:val="0"/>
      <w:divBdr>
        <w:top w:val="none" w:sz="0" w:space="0" w:color="auto"/>
        <w:left w:val="none" w:sz="0" w:space="0" w:color="auto"/>
        <w:bottom w:val="none" w:sz="0" w:space="0" w:color="auto"/>
        <w:right w:val="none" w:sz="0" w:space="0" w:color="auto"/>
      </w:divBdr>
    </w:div>
    <w:div w:id="820317831">
      <w:bodyDiv w:val="1"/>
      <w:marLeft w:val="0"/>
      <w:marRight w:val="0"/>
      <w:marTop w:val="0"/>
      <w:marBottom w:val="0"/>
      <w:divBdr>
        <w:top w:val="none" w:sz="0" w:space="0" w:color="auto"/>
        <w:left w:val="none" w:sz="0" w:space="0" w:color="auto"/>
        <w:bottom w:val="none" w:sz="0" w:space="0" w:color="auto"/>
        <w:right w:val="none" w:sz="0" w:space="0" w:color="auto"/>
      </w:divBdr>
      <w:divsChild>
        <w:div w:id="887112313">
          <w:marLeft w:val="0"/>
          <w:marRight w:val="0"/>
          <w:marTop w:val="0"/>
          <w:marBottom w:val="0"/>
          <w:divBdr>
            <w:top w:val="none" w:sz="0" w:space="0" w:color="auto"/>
            <w:left w:val="none" w:sz="0" w:space="0" w:color="auto"/>
            <w:bottom w:val="none" w:sz="0" w:space="0" w:color="auto"/>
            <w:right w:val="none" w:sz="0" w:space="0" w:color="auto"/>
          </w:divBdr>
          <w:divsChild>
            <w:div w:id="1277445640">
              <w:marLeft w:val="0"/>
              <w:marRight w:val="0"/>
              <w:marTop w:val="0"/>
              <w:marBottom w:val="0"/>
              <w:divBdr>
                <w:top w:val="none" w:sz="0" w:space="0" w:color="auto"/>
                <w:left w:val="none" w:sz="0" w:space="0" w:color="auto"/>
                <w:bottom w:val="none" w:sz="0" w:space="0" w:color="auto"/>
                <w:right w:val="none" w:sz="0" w:space="0" w:color="auto"/>
              </w:divBdr>
              <w:divsChild>
                <w:div w:id="1163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553">
      <w:bodyDiv w:val="1"/>
      <w:marLeft w:val="0"/>
      <w:marRight w:val="0"/>
      <w:marTop w:val="0"/>
      <w:marBottom w:val="0"/>
      <w:divBdr>
        <w:top w:val="none" w:sz="0" w:space="0" w:color="auto"/>
        <w:left w:val="none" w:sz="0" w:space="0" w:color="auto"/>
        <w:bottom w:val="none" w:sz="0" w:space="0" w:color="auto"/>
        <w:right w:val="none" w:sz="0" w:space="0" w:color="auto"/>
      </w:divBdr>
      <w:divsChild>
        <w:div w:id="180632715">
          <w:marLeft w:val="0"/>
          <w:marRight w:val="0"/>
          <w:marTop w:val="0"/>
          <w:marBottom w:val="0"/>
          <w:divBdr>
            <w:top w:val="none" w:sz="0" w:space="0" w:color="auto"/>
            <w:left w:val="none" w:sz="0" w:space="0" w:color="auto"/>
            <w:bottom w:val="none" w:sz="0" w:space="0" w:color="auto"/>
            <w:right w:val="none" w:sz="0" w:space="0" w:color="auto"/>
          </w:divBdr>
          <w:divsChild>
            <w:div w:id="482895766">
              <w:marLeft w:val="0"/>
              <w:marRight w:val="0"/>
              <w:marTop w:val="0"/>
              <w:marBottom w:val="0"/>
              <w:divBdr>
                <w:top w:val="none" w:sz="0" w:space="0" w:color="auto"/>
                <w:left w:val="none" w:sz="0" w:space="0" w:color="auto"/>
                <w:bottom w:val="none" w:sz="0" w:space="0" w:color="auto"/>
                <w:right w:val="none" w:sz="0" w:space="0" w:color="auto"/>
              </w:divBdr>
              <w:divsChild>
                <w:div w:id="18440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70335">
      <w:bodyDiv w:val="1"/>
      <w:marLeft w:val="0"/>
      <w:marRight w:val="0"/>
      <w:marTop w:val="0"/>
      <w:marBottom w:val="0"/>
      <w:divBdr>
        <w:top w:val="none" w:sz="0" w:space="0" w:color="auto"/>
        <w:left w:val="none" w:sz="0" w:space="0" w:color="auto"/>
        <w:bottom w:val="none" w:sz="0" w:space="0" w:color="auto"/>
        <w:right w:val="none" w:sz="0" w:space="0" w:color="auto"/>
      </w:divBdr>
      <w:divsChild>
        <w:div w:id="15348047">
          <w:marLeft w:val="0"/>
          <w:marRight w:val="0"/>
          <w:marTop w:val="0"/>
          <w:marBottom w:val="0"/>
          <w:divBdr>
            <w:top w:val="none" w:sz="0" w:space="0" w:color="auto"/>
            <w:left w:val="none" w:sz="0" w:space="0" w:color="auto"/>
            <w:bottom w:val="none" w:sz="0" w:space="0" w:color="auto"/>
            <w:right w:val="none" w:sz="0" w:space="0" w:color="auto"/>
          </w:divBdr>
          <w:divsChild>
            <w:div w:id="1765690306">
              <w:marLeft w:val="0"/>
              <w:marRight w:val="0"/>
              <w:marTop w:val="0"/>
              <w:marBottom w:val="0"/>
              <w:divBdr>
                <w:top w:val="none" w:sz="0" w:space="0" w:color="auto"/>
                <w:left w:val="none" w:sz="0" w:space="0" w:color="auto"/>
                <w:bottom w:val="none" w:sz="0" w:space="0" w:color="auto"/>
                <w:right w:val="none" w:sz="0" w:space="0" w:color="auto"/>
              </w:divBdr>
              <w:divsChild>
                <w:div w:id="1884559331">
                  <w:marLeft w:val="0"/>
                  <w:marRight w:val="0"/>
                  <w:marTop w:val="0"/>
                  <w:marBottom w:val="0"/>
                  <w:divBdr>
                    <w:top w:val="none" w:sz="0" w:space="0" w:color="auto"/>
                    <w:left w:val="none" w:sz="0" w:space="0" w:color="auto"/>
                    <w:bottom w:val="none" w:sz="0" w:space="0" w:color="auto"/>
                    <w:right w:val="none" w:sz="0" w:space="0" w:color="auto"/>
                  </w:divBdr>
                  <w:divsChild>
                    <w:div w:id="3654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5236">
      <w:bodyDiv w:val="1"/>
      <w:marLeft w:val="0"/>
      <w:marRight w:val="0"/>
      <w:marTop w:val="0"/>
      <w:marBottom w:val="0"/>
      <w:divBdr>
        <w:top w:val="none" w:sz="0" w:space="0" w:color="auto"/>
        <w:left w:val="none" w:sz="0" w:space="0" w:color="auto"/>
        <w:bottom w:val="none" w:sz="0" w:space="0" w:color="auto"/>
        <w:right w:val="none" w:sz="0" w:space="0" w:color="auto"/>
      </w:divBdr>
    </w:div>
    <w:div w:id="869682632">
      <w:bodyDiv w:val="1"/>
      <w:marLeft w:val="0"/>
      <w:marRight w:val="0"/>
      <w:marTop w:val="0"/>
      <w:marBottom w:val="0"/>
      <w:divBdr>
        <w:top w:val="none" w:sz="0" w:space="0" w:color="auto"/>
        <w:left w:val="none" w:sz="0" w:space="0" w:color="auto"/>
        <w:bottom w:val="none" w:sz="0" w:space="0" w:color="auto"/>
        <w:right w:val="none" w:sz="0" w:space="0" w:color="auto"/>
      </w:divBdr>
    </w:div>
    <w:div w:id="874007607">
      <w:bodyDiv w:val="1"/>
      <w:marLeft w:val="0"/>
      <w:marRight w:val="0"/>
      <w:marTop w:val="0"/>
      <w:marBottom w:val="0"/>
      <w:divBdr>
        <w:top w:val="none" w:sz="0" w:space="0" w:color="auto"/>
        <w:left w:val="none" w:sz="0" w:space="0" w:color="auto"/>
        <w:bottom w:val="none" w:sz="0" w:space="0" w:color="auto"/>
        <w:right w:val="none" w:sz="0" w:space="0" w:color="auto"/>
      </w:divBdr>
      <w:divsChild>
        <w:div w:id="1543446765">
          <w:marLeft w:val="0"/>
          <w:marRight w:val="0"/>
          <w:marTop w:val="0"/>
          <w:marBottom w:val="0"/>
          <w:divBdr>
            <w:top w:val="none" w:sz="0" w:space="0" w:color="auto"/>
            <w:left w:val="none" w:sz="0" w:space="0" w:color="auto"/>
            <w:bottom w:val="none" w:sz="0" w:space="0" w:color="auto"/>
            <w:right w:val="none" w:sz="0" w:space="0" w:color="auto"/>
          </w:divBdr>
          <w:divsChild>
            <w:div w:id="1770153543">
              <w:marLeft w:val="0"/>
              <w:marRight w:val="0"/>
              <w:marTop w:val="0"/>
              <w:marBottom w:val="0"/>
              <w:divBdr>
                <w:top w:val="none" w:sz="0" w:space="0" w:color="auto"/>
                <w:left w:val="none" w:sz="0" w:space="0" w:color="auto"/>
                <w:bottom w:val="none" w:sz="0" w:space="0" w:color="auto"/>
                <w:right w:val="none" w:sz="0" w:space="0" w:color="auto"/>
              </w:divBdr>
              <w:divsChild>
                <w:div w:id="7686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213">
      <w:bodyDiv w:val="1"/>
      <w:marLeft w:val="0"/>
      <w:marRight w:val="0"/>
      <w:marTop w:val="0"/>
      <w:marBottom w:val="0"/>
      <w:divBdr>
        <w:top w:val="none" w:sz="0" w:space="0" w:color="auto"/>
        <w:left w:val="none" w:sz="0" w:space="0" w:color="auto"/>
        <w:bottom w:val="none" w:sz="0" w:space="0" w:color="auto"/>
        <w:right w:val="none" w:sz="0" w:space="0" w:color="auto"/>
      </w:divBdr>
    </w:div>
    <w:div w:id="889732155">
      <w:bodyDiv w:val="1"/>
      <w:marLeft w:val="0"/>
      <w:marRight w:val="0"/>
      <w:marTop w:val="0"/>
      <w:marBottom w:val="0"/>
      <w:divBdr>
        <w:top w:val="none" w:sz="0" w:space="0" w:color="auto"/>
        <w:left w:val="none" w:sz="0" w:space="0" w:color="auto"/>
        <w:bottom w:val="none" w:sz="0" w:space="0" w:color="auto"/>
        <w:right w:val="none" w:sz="0" w:space="0" w:color="auto"/>
      </w:divBdr>
      <w:divsChild>
        <w:div w:id="462694287">
          <w:marLeft w:val="0"/>
          <w:marRight w:val="0"/>
          <w:marTop w:val="0"/>
          <w:marBottom w:val="0"/>
          <w:divBdr>
            <w:top w:val="none" w:sz="0" w:space="0" w:color="auto"/>
            <w:left w:val="none" w:sz="0" w:space="0" w:color="auto"/>
            <w:bottom w:val="none" w:sz="0" w:space="0" w:color="auto"/>
            <w:right w:val="none" w:sz="0" w:space="0" w:color="auto"/>
          </w:divBdr>
          <w:divsChild>
            <w:div w:id="1982465889">
              <w:marLeft w:val="0"/>
              <w:marRight w:val="0"/>
              <w:marTop w:val="0"/>
              <w:marBottom w:val="0"/>
              <w:divBdr>
                <w:top w:val="none" w:sz="0" w:space="0" w:color="auto"/>
                <w:left w:val="none" w:sz="0" w:space="0" w:color="auto"/>
                <w:bottom w:val="none" w:sz="0" w:space="0" w:color="auto"/>
                <w:right w:val="none" w:sz="0" w:space="0" w:color="auto"/>
              </w:divBdr>
              <w:divsChild>
                <w:div w:id="1051198774">
                  <w:marLeft w:val="0"/>
                  <w:marRight w:val="0"/>
                  <w:marTop w:val="0"/>
                  <w:marBottom w:val="0"/>
                  <w:divBdr>
                    <w:top w:val="none" w:sz="0" w:space="0" w:color="auto"/>
                    <w:left w:val="none" w:sz="0" w:space="0" w:color="auto"/>
                    <w:bottom w:val="none" w:sz="0" w:space="0" w:color="auto"/>
                    <w:right w:val="none" w:sz="0" w:space="0" w:color="auto"/>
                  </w:divBdr>
                  <w:divsChild>
                    <w:div w:id="466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7228">
      <w:bodyDiv w:val="1"/>
      <w:marLeft w:val="0"/>
      <w:marRight w:val="0"/>
      <w:marTop w:val="0"/>
      <w:marBottom w:val="0"/>
      <w:divBdr>
        <w:top w:val="none" w:sz="0" w:space="0" w:color="auto"/>
        <w:left w:val="none" w:sz="0" w:space="0" w:color="auto"/>
        <w:bottom w:val="none" w:sz="0" w:space="0" w:color="auto"/>
        <w:right w:val="none" w:sz="0" w:space="0" w:color="auto"/>
      </w:divBdr>
    </w:div>
    <w:div w:id="896433503">
      <w:bodyDiv w:val="1"/>
      <w:marLeft w:val="0"/>
      <w:marRight w:val="0"/>
      <w:marTop w:val="0"/>
      <w:marBottom w:val="0"/>
      <w:divBdr>
        <w:top w:val="none" w:sz="0" w:space="0" w:color="auto"/>
        <w:left w:val="none" w:sz="0" w:space="0" w:color="auto"/>
        <w:bottom w:val="none" w:sz="0" w:space="0" w:color="auto"/>
        <w:right w:val="none" w:sz="0" w:space="0" w:color="auto"/>
      </w:divBdr>
      <w:divsChild>
        <w:div w:id="1919708029">
          <w:marLeft w:val="0"/>
          <w:marRight w:val="0"/>
          <w:marTop w:val="0"/>
          <w:marBottom w:val="0"/>
          <w:divBdr>
            <w:top w:val="none" w:sz="0" w:space="0" w:color="auto"/>
            <w:left w:val="none" w:sz="0" w:space="0" w:color="auto"/>
            <w:bottom w:val="none" w:sz="0" w:space="0" w:color="auto"/>
            <w:right w:val="none" w:sz="0" w:space="0" w:color="auto"/>
          </w:divBdr>
          <w:divsChild>
            <w:div w:id="2101557872">
              <w:marLeft w:val="0"/>
              <w:marRight w:val="0"/>
              <w:marTop w:val="0"/>
              <w:marBottom w:val="0"/>
              <w:divBdr>
                <w:top w:val="none" w:sz="0" w:space="0" w:color="auto"/>
                <w:left w:val="none" w:sz="0" w:space="0" w:color="auto"/>
                <w:bottom w:val="none" w:sz="0" w:space="0" w:color="auto"/>
                <w:right w:val="none" w:sz="0" w:space="0" w:color="auto"/>
              </w:divBdr>
              <w:divsChild>
                <w:div w:id="997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9291">
      <w:bodyDiv w:val="1"/>
      <w:marLeft w:val="0"/>
      <w:marRight w:val="0"/>
      <w:marTop w:val="0"/>
      <w:marBottom w:val="0"/>
      <w:divBdr>
        <w:top w:val="none" w:sz="0" w:space="0" w:color="auto"/>
        <w:left w:val="none" w:sz="0" w:space="0" w:color="auto"/>
        <w:bottom w:val="none" w:sz="0" w:space="0" w:color="auto"/>
        <w:right w:val="none" w:sz="0" w:space="0" w:color="auto"/>
      </w:divBdr>
      <w:divsChild>
        <w:div w:id="335886204">
          <w:marLeft w:val="0"/>
          <w:marRight w:val="0"/>
          <w:marTop w:val="0"/>
          <w:marBottom w:val="0"/>
          <w:divBdr>
            <w:top w:val="none" w:sz="0" w:space="0" w:color="auto"/>
            <w:left w:val="none" w:sz="0" w:space="0" w:color="auto"/>
            <w:bottom w:val="none" w:sz="0" w:space="0" w:color="auto"/>
            <w:right w:val="none" w:sz="0" w:space="0" w:color="auto"/>
          </w:divBdr>
          <w:divsChild>
            <w:div w:id="1872574725">
              <w:marLeft w:val="0"/>
              <w:marRight w:val="0"/>
              <w:marTop w:val="0"/>
              <w:marBottom w:val="0"/>
              <w:divBdr>
                <w:top w:val="none" w:sz="0" w:space="0" w:color="auto"/>
                <w:left w:val="none" w:sz="0" w:space="0" w:color="auto"/>
                <w:bottom w:val="none" w:sz="0" w:space="0" w:color="auto"/>
                <w:right w:val="none" w:sz="0" w:space="0" w:color="auto"/>
              </w:divBdr>
              <w:divsChild>
                <w:div w:id="1368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7888">
      <w:bodyDiv w:val="1"/>
      <w:marLeft w:val="0"/>
      <w:marRight w:val="0"/>
      <w:marTop w:val="0"/>
      <w:marBottom w:val="0"/>
      <w:divBdr>
        <w:top w:val="none" w:sz="0" w:space="0" w:color="auto"/>
        <w:left w:val="none" w:sz="0" w:space="0" w:color="auto"/>
        <w:bottom w:val="none" w:sz="0" w:space="0" w:color="auto"/>
        <w:right w:val="none" w:sz="0" w:space="0" w:color="auto"/>
      </w:divBdr>
    </w:div>
    <w:div w:id="925458472">
      <w:bodyDiv w:val="1"/>
      <w:marLeft w:val="0"/>
      <w:marRight w:val="0"/>
      <w:marTop w:val="0"/>
      <w:marBottom w:val="0"/>
      <w:divBdr>
        <w:top w:val="none" w:sz="0" w:space="0" w:color="auto"/>
        <w:left w:val="none" w:sz="0" w:space="0" w:color="auto"/>
        <w:bottom w:val="none" w:sz="0" w:space="0" w:color="auto"/>
        <w:right w:val="none" w:sz="0" w:space="0" w:color="auto"/>
      </w:divBdr>
      <w:divsChild>
        <w:div w:id="858541353">
          <w:marLeft w:val="0"/>
          <w:marRight w:val="0"/>
          <w:marTop w:val="0"/>
          <w:marBottom w:val="0"/>
          <w:divBdr>
            <w:top w:val="none" w:sz="0" w:space="0" w:color="auto"/>
            <w:left w:val="none" w:sz="0" w:space="0" w:color="auto"/>
            <w:bottom w:val="none" w:sz="0" w:space="0" w:color="auto"/>
            <w:right w:val="none" w:sz="0" w:space="0" w:color="auto"/>
          </w:divBdr>
          <w:divsChild>
            <w:div w:id="1062799795">
              <w:marLeft w:val="0"/>
              <w:marRight w:val="0"/>
              <w:marTop w:val="0"/>
              <w:marBottom w:val="0"/>
              <w:divBdr>
                <w:top w:val="none" w:sz="0" w:space="0" w:color="auto"/>
                <w:left w:val="none" w:sz="0" w:space="0" w:color="auto"/>
                <w:bottom w:val="none" w:sz="0" w:space="0" w:color="auto"/>
                <w:right w:val="none" w:sz="0" w:space="0" w:color="auto"/>
              </w:divBdr>
              <w:divsChild>
                <w:div w:id="9401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82584">
      <w:bodyDiv w:val="1"/>
      <w:marLeft w:val="0"/>
      <w:marRight w:val="0"/>
      <w:marTop w:val="0"/>
      <w:marBottom w:val="0"/>
      <w:divBdr>
        <w:top w:val="none" w:sz="0" w:space="0" w:color="auto"/>
        <w:left w:val="none" w:sz="0" w:space="0" w:color="auto"/>
        <w:bottom w:val="none" w:sz="0" w:space="0" w:color="auto"/>
        <w:right w:val="none" w:sz="0" w:space="0" w:color="auto"/>
      </w:divBdr>
      <w:divsChild>
        <w:div w:id="271398560">
          <w:marLeft w:val="0"/>
          <w:marRight w:val="0"/>
          <w:marTop w:val="0"/>
          <w:marBottom w:val="0"/>
          <w:divBdr>
            <w:top w:val="none" w:sz="0" w:space="0" w:color="auto"/>
            <w:left w:val="none" w:sz="0" w:space="0" w:color="auto"/>
            <w:bottom w:val="none" w:sz="0" w:space="0" w:color="auto"/>
            <w:right w:val="none" w:sz="0" w:space="0" w:color="auto"/>
          </w:divBdr>
          <w:divsChild>
            <w:div w:id="1170757482">
              <w:marLeft w:val="0"/>
              <w:marRight w:val="0"/>
              <w:marTop w:val="0"/>
              <w:marBottom w:val="0"/>
              <w:divBdr>
                <w:top w:val="none" w:sz="0" w:space="0" w:color="auto"/>
                <w:left w:val="none" w:sz="0" w:space="0" w:color="auto"/>
                <w:bottom w:val="none" w:sz="0" w:space="0" w:color="auto"/>
                <w:right w:val="none" w:sz="0" w:space="0" w:color="auto"/>
              </w:divBdr>
              <w:divsChild>
                <w:div w:id="10558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70841">
      <w:bodyDiv w:val="1"/>
      <w:marLeft w:val="0"/>
      <w:marRight w:val="0"/>
      <w:marTop w:val="0"/>
      <w:marBottom w:val="0"/>
      <w:divBdr>
        <w:top w:val="none" w:sz="0" w:space="0" w:color="auto"/>
        <w:left w:val="none" w:sz="0" w:space="0" w:color="auto"/>
        <w:bottom w:val="none" w:sz="0" w:space="0" w:color="auto"/>
        <w:right w:val="none" w:sz="0" w:space="0" w:color="auto"/>
      </w:divBdr>
      <w:divsChild>
        <w:div w:id="7755043">
          <w:marLeft w:val="0"/>
          <w:marRight w:val="0"/>
          <w:marTop w:val="0"/>
          <w:marBottom w:val="0"/>
          <w:divBdr>
            <w:top w:val="none" w:sz="0" w:space="0" w:color="auto"/>
            <w:left w:val="none" w:sz="0" w:space="0" w:color="auto"/>
            <w:bottom w:val="none" w:sz="0" w:space="0" w:color="auto"/>
            <w:right w:val="none" w:sz="0" w:space="0" w:color="auto"/>
          </w:divBdr>
          <w:divsChild>
            <w:div w:id="1519343282">
              <w:marLeft w:val="0"/>
              <w:marRight w:val="0"/>
              <w:marTop w:val="0"/>
              <w:marBottom w:val="0"/>
              <w:divBdr>
                <w:top w:val="none" w:sz="0" w:space="0" w:color="auto"/>
                <w:left w:val="none" w:sz="0" w:space="0" w:color="auto"/>
                <w:bottom w:val="none" w:sz="0" w:space="0" w:color="auto"/>
                <w:right w:val="none" w:sz="0" w:space="0" w:color="auto"/>
              </w:divBdr>
              <w:divsChild>
                <w:div w:id="17598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5261">
      <w:bodyDiv w:val="1"/>
      <w:marLeft w:val="0"/>
      <w:marRight w:val="0"/>
      <w:marTop w:val="0"/>
      <w:marBottom w:val="0"/>
      <w:divBdr>
        <w:top w:val="none" w:sz="0" w:space="0" w:color="auto"/>
        <w:left w:val="none" w:sz="0" w:space="0" w:color="auto"/>
        <w:bottom w:val="none" w:sz="0" w:space="0" w:color="auto"/>
        <w:right w:val="none" w:sz="0" w:space="0" w:color="auto"/>
      </w:divBdr>
      <w:divsChild>
        <w:div w:id="794953219">
          <w:marLeft w:val="0"/>
          <w:marRight w:val="0"/>
          <w:marTop w:val="0"/>
          <w:marBottom w:val="0"/>
          <w:divBdr>
            <w:top w:val="none" w:sz="0" w:space="0" w:color="auto"/>
            <w:left w:val="none" w:sz="0" w:space="0" w:color="auto"/>
            <w:bottom w:val="none" w:sz="0" w:space="0" w:color="auto"/>
            <w:right w:val="none" w:sz="0" w:space="0" w:color="auto"/>
          </w:divBdr>
          <w:divsChild>
            <w:div w:id="2121341068">
              <w:marLeft w:val="0"/>
              <w:marRight w:val="0"/>
              <w:marTop w:val="0"/>
              <w:marBottom w:val="0"/>
              <w:divBdr>
                <w:top w:val="none" w:sz="0" w:space="0" w:color="auto"/>
                <w:left w:val="none" w:sz="0" w:space="0" w:color="auto"/>
                <w:bottom w:val="none" w:sz="0" w:space="0" w:color="auto"/>
                <w:right w:val="none" w:sz="0" w:space="0" w:color="auto"/>
              </w:divBdr>
              <w:divsChild>
                <w:div w:id="10059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3738">
      <w:bodyDiv w:val="1"/>
      <w:marLeft w:val="0"/>
      <w:marRight w:val="0"/>
      <w:marTop w:val="0"/>
      <w:marBottom w:val="0"/>
      <w:divBdr>
        <w:top w:val="none" w:sz="0" w:space="0" w:color="auto"/>
        <w:left w:val="none" w:sz="0" w:space="0" w:color="auto"/>
        <w:bottom w:val="none" w:sz="0" w:space="0" w:color="auto"/>
        <w:right w:val="none" w:sz="0" w:space="0" w:color="auto"/>
      </w:divBdr>
      <w:divsChild>
        <w:div w:id="2117669314">
          <w:marLeft w:val="0"/>
          <w:marRight w:val="0"/>
          <w:marTop w:val="0"/>
          <w:marBottom w:val="0"/>
          <w:divBdr>
            <w:top w:val="none" w:sz="0" w:space="0" w:color="auto"/>
            <w:left w:val="none" w:sz="0" w:space="0" w:color="auto"/>
            <w:bottom w:val="none" w:sz="0" w:space="0" w:color="auto"/>
            <w:right w:val="none" w:sz="0" w:space="0" w:color="auto"/>
          </w:divBdr>
          <w:divsChild>
            <w:div w:id="898250722">
              <w:marLeft w:val="0"/>
              <w:marRight w:val="0"/>
              <w:marTop w:val="0"/>
              <w:marBottom w:val="0"/>
              <w:divBdr>
                <w:top w:val="none" w:sz="0" w:space="0" w:color="auto"/>
                <w:left w:val="none" w:sz="0" w:space="0" w:color="auto"/>
                <w:bottom w:val="none" w:sz="0" w:space="0" w:color="auto"/>
                <w:right w:val="none" w:sz="0" w:space="0" w:color="auto"/>
              </w:divBdr>
              <w:divsChild>
                <w:div w:id="11834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1806">
      <w:bodyDiv w:val="1"/>
      <w:marLeft w:val="0"/>
      <w:marRight w:val="0"/>
      <w:marTop w:val="0"/>
      <w:marBottom w:val="0"/>
      <w:divBdr>
        <w:top w:val="none" w:sz="0" w:space="0" w:color="auto"/>
        <w:left w:val="none" w:sz="0" w:space="0" w:color="auto"/>
        <w:bottom w:val="none" w:sz="0" w:space="0" w:color="auto"/>
        <w:right w:val="none" w:sz="0" w:space="0" w:color="auto"/>
      </w:divBdr>
    </w:div>
    <w:div w:id="1022508946">
      <w:bodyDiv w:val="1"/>
      <w:marLeft w:val="0"/>
      <w:marRight w:val="0"/>
      <w:marTop w:val="0"/>
      <w:marBottom w:val="0"/>
      <w:divBdr>
        <w:top w:val="none" w:sz="0" w:space="0" w:color="auto"/>
        <w:left w:val="none" w:sz="0" w:space="0" w:color="auto"/>
        <w:bottom w:val="none" w:sz="0" w:space="0" w:color="auto"/>
        <w:right w:val="none" w:sz="0" w:space="0" w:color="auto"/>
      </w:divBdr>
    </w:div>
    <w:div w:id="1028680509">
      <w:bodyDiv w:val="1"/>
      <w:marLeft w:val="0"/>
      <w:marRight w:val="0"/>
      <w:marTop w:val="0"/>
      <w:marBottom w:val="0"/>
      <w:divBdr>
        <w:top w:val="none" w:sz="0" w:space="0" w:color="auto"/>
        <w:left w:val="none" w:sz="0" w:space="0" w:color="auto"/>
        <w:bottom w:val="none" w:sz="0" w:space="0" w:color="auto"/>
        <w:right w:val="none" w:sz="0" w:space="0" w:color="auto"/>
      </w:divBdr>
      <w:divsChild>
        <w:div w:id="69155275">
          <w:marLeft w:val="0"/>
          <w:marRight w:val="0"/>
          <w:marTop w:val="0"/>
          <w:marBottom w:val="0"/>
          <w:divBdr>
            <w:top w:val="none" w:sz="0" w:space="0" w:color="auto"/>
            <w:left w:val="none" w:sz="0" w:space="0" w:color="auto"/>
            <w:bottom w:val="none" w:sz="0" w:space="0" w:color="auto"/>
            <w:right w:val="none" w:sz="0" w:space="0" w:color="auto"/>
          </w:divBdr>
          <w:divsChild>
            <w:div w:id="185485267">
              <w:marLeft w:val="0"/>
              <w:marRight w:val="0"/>
              <w:marTop w:val="0"/>
              <w:marBottom w:val="0"/>
              <w:divBdr>
                <w:top w:val="none" w:sz="0" w:space="0" w:color="auto"/>
                <w:left w:val="none" w:sz="0" w:space="0" w:color="auto"/>
                <w:bottom w:val="none" w:sz="0" w:space="0" w:color="auto"/>
                <w:right w:val="none" w:sz="0" w:space="0" w:color="auto"/>
              </w:divBdr>
              <w:divsChild>
                <w:div w:id="1376345525">
                  <w:marLeft w:val="0"/>
                  <w:marRight w:val="0"/>
                  <w:marTop w:val="0"/>
                  <w:marBottom w:val="0"/>
                  <w:divBdr>
                    <w:top w:val="none" w:sz="0" w:space="0" w:color="auto"/>
                    <w:left w:val="none" w:sz="0" w:space="0" w:color="auto"/>
                    <w:bottom w:val="none" w:sz="0" w:space="0" w:color="auto"/>
                    <w:right w:val="none" w:sz="0" w:space="0" w:color="auto"/>
                  </w:divBdr>
                  <w:divsChild>
                    <w:div w:id="1040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8645">
      <w:bodyDiv w:val="1"/>
      <w:marLeft w:val="0"/>
      <w:marRight w:val="0"/>
      <w:marTop w:val="0"/>
      <w:marBottom w:val="0"/>
      <w:divBdr>
        <w:top w:val="none" w:sz="0" w:space="0" w:color="auto"/>
        <w:left w:val="none" w:sz="0" w:space="0" w:color="auto"/>
        <w:bottom w:val="none" w:sz="0" w:space="0" w:color="auto"/>
        <w:right w:val="none" w:sz="0" w:space="0" w:color="auto"/>
      </w:divBdr>
      <w:divsChild>
        <w:div w:id="1921139381">
          <w:marLeft w:val="0"/>
          <w:marRight w:val="0"/>
          <w:marTop w:val="0"/>
          <w:marBottom w:val="0"/>
          <w:divBdr>
            <w:top w:val="none" w:sz="0" w:space="0" w:color="auto"/>
            <w:left w:val="none" w:sz="0" w:space="0" w:color="auto"/>
            <w:bottom w:val="none" w:sz="0" w:space="0" w:color="auto"/>
            <w:right w:val="none" w:sz="0" w:space="0" w:color="auto"/>
          </w:divBdr>
          <w:divsChild>
            <w:div w:id="482889319">
              <w:marLeft w:val="0"/>
              <w:marRight w:val="0"/>
              <w:marTop w:val="0"/>
              <w:marBottom w:val="0"/>
              <w:divBdr>
                <w:top w:val="none" w:sz="0" w:space="0" w:color="auto"/>
                <w:left w:val="none" w:sz="0" w:space="0" w:color="auto"/>
                <w:bottom w:val="none" w:sz="0" w:space="0" w:color="auto"/>
                <w:right w:val="none" w:sz="0" w:space="0" w:color="auto"/>
              </w:divBdr>
              <w:divsChild>
                <w:div w:id="18280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0268">
      <w:bodyDiv w:val="1"/>
      <w:marLeft w:val="0"/>
      <w:marRight w:val="0"/>
      <w:marTop w:val="0"/>
      <w:marBottom w:val="0"/>
      <w:divBdr>
        <w:top w:val="none" w:sz="0" w:space="0" w:color="auto"/>
        <w:left w:val="none" w:sz="0" w:space="0" w:color="auto"/>
        <w:bottom w:val="none" w:sz="0" w:space="0" w:color="auto"/>
        <w:right w:val="none" w:sz="0" w:space="0" w:color="auto"/>
      </w:divBdr>
      <w:divsChild>
        <w:div w:id="103232183">
          <w:marLeft w:val="0"/>
          <w:marRight w:val="0"/>
          <w:marTop w:val="0"/>
          <w:marBottom w:val="0"/>
          <w:divBdr>
            <w:top w:val="none" w:sz="0" w:space="0" w:color="auto"/>
            <w:left w:val="none" w:sz="0" w:space="0" w:color="auto"/>
            <w:bottom w:val="none" w:sz="0" w:space="0" w:color="auto"/>
            <w:right w:val="none" w:sz="0" w:space="0" w:color="auto"/>
          </w:divBdr>
          <w:divsChild>
            <w:div w:id="1272281820">
              <w:marLeft w:val="0"/>
              <w:marRight w:val="0"/>
              <w:marTop w:val="0"/>
              <w:marBottom w:val="0"/>
              <w:divBdr>
                <w:top w:val="none" w:sz="0" w:space="0" w:color="auto"/>
                <w:left w:val="none" w:sz="0" w:space="0" w:color="auto"/>
                <w:bottom w:val="none" w:sz="0" w:space="0" w:color="auto"/>
                <w:right w:val="none" w:sz="0" w:space="0" w:color="auto"/>
              </w:divBdr>
              <w:divsChild>
                <w:div w:id="594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7545">
      <w:bodyDiv w:val="1"/>
      <w:marLeft w:val="0"/>
      <w:marRight w:val="0"/>
      <w:marTop w:val="0"/>
      <w:marBottom w:val="0"/>
      <w:divBdr>
        <w:top w:val="none" w:sz="0" w:space="0" w:color="auto"/>
        <w:left w:val="none" w:sz="0" w:space="0" w:color="auto"/>
        <w:bottom w:val="none" w:sz="0" w:space="0" w:color="auto"/>
        <w:right w:val="none" w:sz="0" w:space="0" w:color="auto"/>
      </w:divBdr>
      <w:divsChild>
        <w:div w:id="1112093147">
          <w:marLeft w:val="0"/>
          <w:marRight w:val="0"/>
          <w:marTop w:val="0"/>
          <w:marBottom w:val="0"/>
          <w:divBdr>
            <w:top w:val="none" w:sz="0" w:space="0" w:color="auto"/>
            <w:left w:val="none" w:sz="0" w:space="0" w:color="auto"/>
            <w:bottom w:val="none" w:sz="0" w:space="0" w:color="auto"/>
            <w:right w:val="none" w:sz="0" w:space="0" w:color="auto"/>
          </w:divBdr>
          <w:divsChild>
            <w:div w:id="948008873">
              <w:marLeft w:val="0"/>
              <w:marRight w:val="0"/>
              <w:marTop w:val="0"/>
              <w:marBottom w:val="0"/>
              <w:divBdr>
                <w:top w:val="none" w:sz="0" w:space="0" w:color="auto"/>
                <w:left w:val="none" w:sz="0" w:space="0" w:color="auto"/>
                <w:bottom w:val="none" w:sz="0" w:space="0" w:color="auto"/>
                <w:right w:val="none" w:sz="0" w:space="0" w:color="auto"/>
              </w:divBdr>
              <w:divsChild>
                <w:div w:id="2433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1102">
      <w:bodyDiv w:val="1"/>
      <w:marLeft w:val="0"/>
      <w:marRight w:val="0"/>
      <w:marTop w:val="0"/>
      <w:marBottom w:val="0"/>
      <w:divBdr>
        <w:top w:val="none" w:sz="0" w:space="0" w:color="auto"/>
        <w:left w:val="none" w:sz="0" w:space="0" w:color="auto"/>
        <w:bottom w:val="none" w:sz="0" w:space="0" w:color="auto"/>
        <w:right w:val="none" w:sz="0" w:space="0" w:color="auto"/>
      </w:divBdr>
    </w:div>
    <w:div w:id="1078404608">
      <w:bodyDiv w:val="1"/>
      <w:marLeft w:val="0"/>
      <w:marRight w:val="0"/>
      <w:marTop w:val="0"/>
      <w:marBottom w:val="0"/>
      <w:divBdr>
        <w:top w:val="none" w:sz="0" w:space="0" w:color="auto"/>
        <w:left w:val="none" w:sz="0" w:space="0" w:color="auto"/>
        <w:bottom w:val="none" w:sz="0" w:space="0" w:color="auto"/>
        <w:right w:val="none" w:sz="0" w:space="0" w:color="auto"/>
      </w:divBdr>
      <w:divsChild>
        <w:div w:id="912011019">
          <w:marLeft w:val="0"/>
          <w:marRight w:val="0"/>
          <w:marTop w:val="0"/>
          <w:marBottom w:val="0"/>
          <w:divBdr>
            <w:top w:val="none" w:sz="0" w:space="0" w:color="auto"/>
            <w:left w:val="none" w:sz="0" w:space="0" w:color="auto"/>
            <w:bottom w:val="none" w:sz="0" w:space="0" w:color="auto"/>
            <w:right w:val="none" w:sz="0" w:space="0" w:color="auto"/>
          </w:divBdr>
          <w:divsChild>
            <w:div w:id="669337136">
              <w:marLeft w:val="0"/>
              <w:marRight w:val="0"/>
              <w:marTop w:val="0"/>
              <w:marBottom w:val="0"/>
              <w:divBdr>
                <w:top w:val="none" w:sz="0" w:space="0" w:color="auto"/>
                <w:left w:val="none" w:sz="0" w:space="0" w:color="auto"/>
                <w:bottom w:val="none" w:sz="0" w:space="0" w:color="auto"/>
                <w:right w:val="none" w:sz="0" w:space="0" w:color="auto"/>
              </w:divBdr>
              <w:divsChild>
                <w:div w:id="2587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3816">
      <w:bodyDiv w:val="1"/>
      <w:marLeft w:val="0"/>
      <w:marRight w:val="0"/>
      <w:marTop w:val="0"/>
      <w:marBottom w:val="0"/>
      <w:divBdr>
        <w:top w:val="none" w:sz="0" w:space="0" w:color="auto"/>
        <w:left w:val="none" w:sz="0" w:space="0" w:color="auto"/>
        <w:bottom w:val="none" w:sz="0" w:space="0" w:color="auto"/>
        <w:right w:val="none" w:sz="0" w:space="0" w:color="auto"/>
      </w:divBdr>
      <w:divsChild>
        <w:div w:id="31804299">
          <w:marLeft w:val="0"/>
          <w:marRight w:val="0"/>
          <w:marTop w:val="0"/>
          <w:marBottom w:val="0"/>
          <w:divBdr>
            <w:top w:val="none" w:sz="0" w:space="0" w:color="auto"/>
            <w:left w:val="none" w:sz="0" w:space="0" w:color="auto"/>
            <w:bottom w:val="none" w:sz="0" w:space="0" w:color="auto"/>
            <w:right w:val="none" w:sz="0" w:space="0" w:color="auto"/>
          </w:divBdr>
          <w:divsChild>
            <w:div w:id="1020624034">
              <w:marLeft w:val="0"/>
              <w:marRight w:val="0"/>
              <w:marTop w:val="0"/>
              <w:marBottom w:val="0"/>
              <w:divBdr>
                <w:top w:val="none" w:sz="0" w:space="0" w:color="auto"/>
                <w:left w:val="none" w:sz="0" w:space="0" w:color="auto"/>
                <w:bottom w:val="none" w:sz="0" w:space="0" w:color="auto"/>
                <w:right w:val="none" w:sz="0" w:space="0" w:color="auto"/>
              </w:divBdr>
              <w:divsChild>
                <w:div w:id="14971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7274">
      <w:bodyDiv w:val="1"/>
      <w:marLeft w:val="0"/>
      <w:marRight w:val="0"/>
      <w:marTop w:val="0"/>
      <w:marBottom w:val="0"/>
      <w:divBdr>
        <w:top w:val="none" w:sz="0" w:space="0" w:color="auto"/>
        <w:left w:val="none" w:sz="0" w:space="0" w:color="auto"/>
        <w:bottom w:val="none" w:sz="0" w:space="0" w:color="auto"/>
        <w:right w:val="none" w:sz="0" w:space="0" w:color="auto"/>
      </w:divBdr>
    </w:div>
    <w:div w:id="1100099783">
      <w:bodyDiv w:val="1"/>
      <w:marLeft w:val="0"/>
      <w:marRight w:val="0"/>
      <w:marTop w:val="0"/>
      <w:marBottom w:val="0"/>
      <w:divBdr>
        <w:top w:val="none" w:sz="0" w:space="0" w:color="auto"/>
        <w:left w:val="none" w:sz="0" w:space="0" w:color="auto"/>
        <w:bottom w:val="none" w:sz="0" w:space="0" w:color="auto"/>
        <w:right w:val="none" w:sz="0" w:space="0" w:color="auto"/>
      </w:divBdr>
      <w:divsChild>
        <w:div w:id="111100724">
          <w:marLeft w:val="0"/>
          <w:marRight w:val="0"/>
          <w:marTop w:val="0"/>
          <w:marBottom w:val="0"/>
          <w:divBdr>
            <w:top w:val="none" w:sz="0" w:space="0" w:color="auto"/>
            <w:left w:val="none" w:sz="0" w:space="0" w:color="auto"/>
            <w:bottom w:val="none" w:sz="0" w:space="0" w:color="auto"/>
            <w:right w:val="none" w:sz="0" w:space="0" w:color="auto"/>
          </w:divBdr>
          <w:divsChild>
            <w:div w:id="1052770544">
              <w:marLeft w:val="0"/>
              <w:marRight w:val="0"/>
              <w:marTop w:val="0"/>
              <w:marBottom w:val="0"/>
              <w:divBdr>
                <w:top w:val="none" w:sz="0" w:space="0" w:color="auto"/>
                <w:left w:val="none" w:sz="0" w:space="0" w:color="auto"/>
                <w:bottom w:val="none" w:sz="0" w:space="0" w:color="auto"/>
                <w:right w:val="none" w:sz="0" w:space="0" w:color="auto"/>
              </w:divBdr>
              <w:divsChild>
                <w:div w:id="2263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56900">
      <w:bodyDiv w:val="1"/>
      <w:marLeft w:val="0"/>
      <w:marRight w:val="0"/>
      <w:marTop w:val="0"/>
      <w:marBottom w:val="0"/>
      <w:divBdr>
        <w:top w:val="none" w:sz="0" w:space="0" w:color="auto"/>
        <w:left w:val="none" w:sz="0" w:space="0" w:color="auto"/>
        <w:bottom w:val="none" w:sz="0" w:space="0" w:color="auto"/>
        <w:right w:val="none" w:sz="0" w:space="0" w:color="auto"/>
      </w:divBdr>
    </w:div>
    <w:div w:id="1110932878">
      <w:bodyDiv w:val="1"/>
      <w:marLeft w:val="0"/>
      <w:marRight w:val="0"/>
      <w:marTop w:val="0"/>
      <w:marBottom w:val="0"/>
      <w:divBdr>
        <w:top w:val="none" w:sz="0" w:space="0" w:color="auto"/>
        <w:left w:val="none" w:sz="0" w:space="0" w:color="auto"/>
        <w:bottom w:val="none" w:sz="0" w:space="0" w:color="auto"/>
        <w:right w:val="none" w:sz="0" w:space="0" w:color="auto"/>
      </w:divBdr>
      <w:divsChild>
        <w:div w:id="1136920044">
          <w:marLeft w:val="0"/>
          <w:marRight w:val="0"/>
          <w:marTop w:val="0"/>
          <w:marBottom w:val="0"/>
          <w:divBdr>
            <w:top w:val="none" w:sz="0" w:space="0" w:color="auto"/>
            <w:left w:val="none" w:sz="0" w:space="0" w:color="auto"/>
            <w:bottom w:val="none" w:sz="0" w:space="0" w:color="auto"/>
            <w:right w:val="none" w:sz="0" w:space="0" w:color="auto"/>
          </w:divBdr>
          <w:divsChild>
            <w:div w:id="666056850">
              <w:marLeft w:val="0"/>
              <w:marRight w:val="0"/>
              <w:marTop w:val="0"/>
              <w:marBottom w:val="0"/>
              <w:divBdr>
                <w:top w:val="none" w:sz="0" w:space="0" w:color="auto"/>
                <w:left w:val="none" w:sz="0" w:space="0" w:color="auto"/>
                <w:bottom w:val="none" w:sz="0" w:space="0" w:color="auto"/>
                <w:right w:val="none" w:sz="0" w:space="0" w:color="auto"/>
              </w:divBdr>
              <w:divsChild>
                <w:div w:id="202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6814">
      <w:bodyDiv w:val="1"/>
      <w:marLeft w:val="0"/>
      <w:marRight w:val="0"/>
      <w:marTop w:val="0"/>
      <w:marBottom w:val="0"/>
      <w:divBdr>
        <w:top w:val="none" w:sz="0" w:space="0" w:color="auto"/>
        <w:left w:val="none" w:sz="0" w:space="0" w:color="auto"/>
        <w:bottom w:val="none" w:sz="0" w:space="0" w:color="auto"/>
        <w:right w:val="none" w:sz="0" w:space="0" w:color="auto"/>
      </w:divBdr>
      <w:divsChild>
        <w:div w:id="153377253">
          <w:marLeft w:val="0"/>
          <w:marRight w:val="0"/>
          <w:marTop w:val="0"/>
          <w:marBottom w:val="0"/>
          <w:divBdr>
            <w:top w:val="none" w:sz="0" w:space="0" w:color="auto"/>
            <w:left w:val="none" w:sz="0" w:space="0" w:color="auto"/>
            <w:bottom w:val="none" w:sz="0" w:space="0" w:color="auto"/>
            <w:right w:val="none" w:sz="0" w:space="0" w:color="auto"/>
          </w:divBdr>
          <w:divsChild>
            <w:div w:id="2040814408">
              <w:marLeft w:val="0"/>
              <w:marRight w:val="0"/>
              <w:marTop w:val="0"/>
              <w:marBottom w:val="0"/>
              <w:divBdr>
                <w:top w:val="none" w:sz="0" w:space="0" w:color="auto"/>
                <w:left w:val="none" w:sz="0" w:space="0" w:color="auto"/>
                <w:bottom w:val="none" w:sz="0" w:space="0" w:color="auto"/>
                <w:right w:val="none" w:sz="0" w:space="0" w:color="auto"/>
              </w:divBdr>
              <w:divsChild>
                <w:div w:id="4247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30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978">
          <w:marLeft w:val="0"/>
          <w:marRight w:val="0"/>
          <w:marTop w:val="0"/>
          <w:marBottom w:val="0"/>
          <w:divBdr>
            <w:top w:val="none" w:sz="0" w:space="0" w:color="auto"/>
            <w:left w:val="none" w:sz="0" w:space="0" w:color="auto"/>
            <w:bottom w:val="none" w:sz="0" w:space="0" w:color="auto"/>
            <w:right w:val="none" w:sz="0" w:space="0" w:color="auto"/>
          </w:divBdr>
          <w:divsChild>
            <w:div w:id="412052356">
              <w:marLeft w:val="0"/>
              <w:marRight w:val="0"/>
              <w:marTop w:val="0"/>
              <w:marBottom w:val="0"/>
              <w:divBdr>
                <w:top w:val="none" w:sz="0" w:space="0" w:color="auto"/>
                <w:left w:val="none" w:sz="0" w:space="0" w:color="auto"/>
                <w:bottom w:val="none" w:sz="0" w:space="0" w:color="auto"/>
                <w:right w:val="none" w:sz="0" w:space="0" w:color="auto"/>
              </w:divBdr>
              <w:divsChild>
                <w:div w:id="16412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3949">
      <w:bodyDiv w:val="1"/>
      <w:marLeft w:val="0"/>
      <w:marRight w:val="0"/>
      <w:marTop w:val="0"/>
      <w:marBottom w:val="0"/>
      <w:divBdr>
        <w:top w:val="none" w:sz="0" w:space="0" w:color="auto"/>
        <w:left w:val="none" w:sz="0" w:space="0" w:color="auto"/>
        <w:bottom w:val="none" w:sz="0" w:space="0" w:color="auto"/>
        <w:right w:val="none" w:sz="0" w:space="0" w:color="auto"/>
      </w:divBdr>
      <w:divsChild>
        <w:div w:id="607546220">
          <w:marLeft w:val="0"/>
          <w:marRight w:val="0"/>
          <w:marTop w:val="0"/>
          <w:marBottom w:val="0"/>
          <w:divBdr>
            <w:top w:val="none" w:sz="0" w:space="0" w:color="auto"/>
            <w:left w:val="none" w:sz="0" w:space="0" w:color="auto"/>
            <w:bottom w:val="none" w:sz="0" w:space="0" w:color="auto"/>
            <w:right w:val="none" w:sz="0" w:space="0" w:color="auto"/>
          </w:divBdr>
          <w:divsChild>
            <w:div w:id="160052318">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9612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4085">
      <w:bodyDiv w:val="1"/>
      <w:marLeft w:val="0"/>
      <w:marRight w:val="0"/>
      <w:marTop w:val="0"/>
      <w:marBottom w:val="0"/>
      <w:divBdr>
        <w:top w:val="none" w:sz="0" w:space="0" w:color="auto"/>
        <w:left w:val="none" w:sz="0" w:space="0" w:color="auto"/>
        <w:bottom w:val="none" w:sz="0" w:space="0" w:color="auto"/>
        <w:right w:val="none" w:sz="0" w:space="0" w:color="auto"/>
      </w:divBdr>
      <w:divsChild>
        <w:div w:id="1121148996">
          <w:marLeft w:val="0"/>
          <w:marRight w:val="0"/>
          <w:marTop w:val="0"/>
          <w:marBottom w:val="0"/>
          <w:divBdr>
            <w:top w:val="none" w:sz="0" w:space="0" w:color="auto"/>
            <w:left w:val="none" w:sz="0" w:space="0" w:color="auto"/>
            <w:bottom w:val="none" w:sz="0" w:space="0" w:color="auto"/>
            <w:right w:val="none" w:sz="0" w:space="0" w:color="auto"/>
          </w:divBdr>
          <w:divsChild>
            <w:div w:id="795955421">
              <w:marLeft w:val="0"/>
              <w:marRight w:val="0"/>
              <w:marTop w:val="0"/>
              <w:marBottom w:val="0"/>
              <w:divBdr>
                <w:top w:val="none" w:sz="0" w:space="0" w:color="auto"/>
                <w:left w:val="none" w:sz="0" w:space="0" w:color="auto"/>
                <w:bottom w:val="none" w:sz="0" w:space="0" w:color="auto"/>
                <w:right w:val="none" w:sz="0" w:space="0" w:color="auto"/>
              </w:divBdr>
              <w:divsChild>
                <w:div w:id="16282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9133">
      <w:bodyDiv w:val="1"/>
      <w:marLeft w:val="0"/>
      <w:marRight w:val="0"/>
      <w:marTop w:val="0"/>
      <w:marBottom w:val="0"/>
      <w:divBdr>
        <w:top w:val="none" w:sz="0" w:space="0" w:color="auto"/>
        <w:left w:val="none" w:sz="0" w:space="0" w:color="auto"/>
        <w:bottom w:val="none" w:sz="0" w:space="0" w:color="auto"/>
        <w:right w:val="none" w:sz="0" w:space="0" w:color="auto"/>
      </w:divBdr>
      <w:divsChild>
        <w:div w:id="1324311888">
          <w:marLeft w:val="0"/>
          <w:marRight w:val="0"/>
          <w:marTop w:val="0"/>
          <w:marBottom w:val="0"/>
          <w:divBdr>
            <w:top w:val="none" w:sz="0" w:space="0" w:color="auto"/>
            <w:left w:val="none" w:sz="0" w:space="0" w:color="auto"/>
            <w:bottom w:val="none" w:sz="0" w:space="0" w:color="auto"/>
            <w:right w:val="none" w:sz="0" w:space="0" w:color="auto"/>
          </w:divBdr>
          <w:divsChild>
            <w:div w:id="619536636">
              <w:marLeft w:val="0"/>
              <w:marRight w:val="0"/>
              <w:marTop w:val="0"/>
              <w:marBottom w:val="0"/>
              <w:divBdr>
                <w:top w:val="none" w:sz="0" w:space="0" w:color="auto"/>
                <w:left w:val="none" w:sz="0" w:space="0" w:color="auto"/>
                <w:bottom w:val="none" w:sz="0" w:space="0" w:color="auto"/>
                <w:right w:val="none" w:sz="0" w:space="0" w:color="auto"/>
              </w:divBdr>
              <w:divsChild>
                <w:div w:id="9338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5299">
      <w:bodyDiv w:val="1"/>
      <w:marLeft w:val="0"/>
      <w:marRight w:val="0"/>
      <w:marTop w:val="0"/>
      <w:marBottom w:val="0"/>
      <w:divBdr>
        <w:top w:val="none" w:sz="0" w:space="0" w:color="auto"/>
        <w:left w:val="none" w:sz="0" w:space="0" w:color="auto"/>
        <w:bottom w:val="none" w:sz="0" w:space="0" w:color="auto"/>
        <w:right w:val="none" w:sz="0" w:space="0" w:color="auto"/>
      </w:divBdr>
      <w:divsChild>
        <w:div w:id="354041835">
          <w:marLeft w:val="0"/>
          <w:marRight w:val="0"/>
          <w:marTop w:val="0"/>
          <w:marBottom w:val="0"/>
          <w:divBdr>
            <w:top w:val="none" w:sz="0" w:space="0" w:color="auto"/>
            <w:left w:val="none" w:sz="0" w:space="0" w:color="auto"/>
            <w:bottom w:val="none" w:sz="0" w:space="0" w:color="auto"/>
            <w:right w:val="none" w:sz="0" w:space="0" w:color="auto"/>
          </w:divBdr>
          <w:divsChild>
            <w:div w:id="1780559605">
              <w:marLeft w:val="0"/>
              <w:marRight w:val="0"/>
              <w:marTop w:val="0"/>
              <w:marBottom w:val="0"/>
              <w:divBdr>
                <w:top w:val="none" w:sz="0" w:space="0" w:color="auto"/>
                <w:left w:val="none" w:sz="0" w:space="0" w:color="auto"/>
                <w:bottom w:val="none" w:sz="0" w:space="0" w:color="auto"/>
                <w:right w:val="none" w:sz="0" w:space="0" w:color="auto"/>
              </w:divBdr>
              <w:divsChild>
                <w:div w:id="9587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655">
      <w:bodyDiv w:val="1"/>
      <w:marLeft w:val="0"/>
      <w:marRight w:val="0"/>
      <w:marTop w:val="0"/>
      <w:marBottom w:val="0"/>
      <w:divBdr>
        <w:top w:val="none" w:sz="0" w:space="0" w:color="auto"/>
        <w:left w:val="none" w:sz="0" w:space="0" w:color="auto"/>
        <w:bottom w:val="none" w:sz="0" w:space="0" w:color="auto"/>
        <w:right w:val="none" w:sz="0" w:space="0" w:color="auto"/>
      </w:divBdr>
    </w:div>
    <w:div w:id="1183058110">
      <w:bodyDiv w:val="1"/>
      <w:marLeft w:val="0"/>
      <w:marRight w:val="0"/>
      <w:marTop w:val="0"/>
      <w:marBottom w:val="0"/>
      <w:divBdr>
        <w:top w:val="none" w:sz="0" w:space="0" w:color="auto"/>
        <w:left w:val="none" w:sz="0" w:space="0" w:color="auto"/>
        <w:bottom w:val="none" w:sz="0" w:space="0" w:color="auto"/>
        <w:right w:val="none" w:sz="0" w:space="0" w:color="auto"/>
      </w:divBdr>
      <w:divsChild>
        <w:div w:id="901525659">
          <w:marLeft w:val="0"/>
          <w:marRight w:val="0"/>
          <w:marTop w:val="0"/>
          <w:marBottom w:val="0"/>
          <w:divBdr>
            <w:top w:val="none" w:sz="0" w:space="0" w:color="auto"/>
            <w:left w:val="none" w:sz="0" w:space="0" w:color="auto"/>
            <w:bottom w:val="none" w:sz="0" w:space="0" w:color="auto"/>
            <w:right w:val="none" w:sz="0" w:space="0" w:color="auto"/>
          </w:divBdr>
          <w:divsChild>
            <w:div w:id="140969172">
              <w:marLeft w:val="0"/>
              <w:marRight w:val="0"/>
              <w:marTop w:val="0"/>
              <w:marBottom w:val="0"/>
              <w:divBdr>
                <w:top w:val="none" w:sz="0" w:space="0" w:color="auto"/>
                <w:left w:val="none" w:sz="0" w:space="0" w:color="auto"/>
                <w:bottom w:val="none" w:sz="0" w:space="0" w:color="auto"/>
                <w:right w:val="none" w:sz="0" w:space="0" w:color="auto"/>
              </w:divBdr>
              <w:divsChild>
                <w:div w:id="15114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6097">
      <w:bodyDiv w:val="1"/>
      <w:marLeft w:val="0"/>
      <w:marRight w:val="0"/>
      <w:marTop w:val="0"/>
      <w:marBottom w:val="0"/>
      <w:divBdr>
        <w:top w:val="none" w:sz="0" w:space="0" w:color="auto"/>
        <w:left w:val="none" w:sz="0" w:space="0" w:color="auto"/>
        <w:bottom w:val="none" w:sz="0" w:space="0" w:color="auto"/>
        <w:right w:val="none" w:sz="0" w:space="0" w:color="auto"/>
      </w:divBdr>
    </w:div>
    <w:div w:id="1207454333">
      <w:bodyDiv w:val="1"/>
      <w:marLeft w:val="0"/>
      <w:marRight w:val="0"/>
      <w:marTop w:val="0"/>
      <w:marBottom w:val="0"/>
      <w:divBdr>
        <w:top w:val="none" w:sz="0" w:space="0" w:color="auto"/>
        <w:left w:val="none" w:sz="0" w:space="0" w:color="auto"/>
        <w:bottom w:val="none" w:sz="0" w:space="0" w:color="auto"/>
        <w:right w:val="none" w:sz="0" w:space="0" w:color="auto"/>
      </w:divBdr>
    </w:div>
    <w:div w:id="1228342011">
      <w:bodyDiv w:val="1"/>
      <w:marLeft w:val="0"/>
      <w:marRight w:val="0"/>
      <w:marTop w:val="0"/>
      <w:marBottom w:val="0"/>
      <w:divBdr>
        <w:top w:val="none" w:sz="0" w:space="0" w:color="auto"/>
        <w:left w:val="none" w:sz="0" w:space="0" w:color="auto"/>
        <w:bottom w:val="none" w:sz="0" w:space="0" w:color="auto"/>
        <w:right w:val="none" w:sz="0" w:space="0" w:color="auto"/>
      </w:divBdr>
    </w:div>
    <w:div w:id="1246763881">
      <w:bodyDiv w:val="1"/>
      <w:marLeft w:val="0"/>
      <w:marRight w:val="0"/>
      <w:marTop w:val="0"/>
      <w:marBottom w:val="0"/>
      <w:divBdr>
        <w:top w:val="none" w:sz="0" w:space="0" w:color="auto"/>
        <w:left w:val="none" w:sz="0" w:space="0" w:color="auto"/>
        <w:bottom w:val="none" w:sz="0" w:space="0" w:color="auto"/>
        <w:right w:val="none" w:sz="0" w:space="0" w:color="auto"/>
      </w:divBdr>
    </w:div>
    <w:div w:id="1248033827">
      <w:bodyDiv w:val="1"/>
      <w:marLeft w:val="0"/>
      <w:marRight w:val="0"/>
      <w:marTop w:val="0"/>
      <w:marBottom w:val="0"/>
      <w:divBdr>
        <w:top w:val="none" w:sz="0" w:space="0" w:color="auto"/>
        <w:left w:val="none" w:sz="0" w:space="0" w:color="auto"/>
        <w:bottom w:val="none" w:sz="0" w:space="0" w:color="auto"/>
        <w:right w:val="none" w:sz="0" w:space="0" w:color="auto"/>
      </w:divBdr>
      <w:divsChild>
        <w:div w:id="782111377">
          <w:marLeft w:val="0"/>
          <w:marRight w:val="0"/>
          <w:marTop w:val="0"/>
          <w:marBottom w:val="0"/>
          <w:divBdr>
            <w:top w:val="none" w:sz="0" w:space="0" w:color="auto"/>
            <w:left w:val="none" w:sz="0" w:space="0" w:color="auto"/>
            <w:bottom w:val="none" w:sz="0" w:space="0" w:color="auto"/>
            <w:right w:val="none" w:sz="0" w:space="0" w:color="auto"/>
          </w:divBdr>
          <w:divsChild>
            <w:div w:id="1428229152">
              <w:marLeft w:val="0"/>
              <w:marRight w:val="0"/>
              <w:marTop w:val="0"/>
              <w:marBottom w:val="0"/>
              <w:divBdr>
                <w:top w:val="none" w:sz="0" w:space="0" w:color="auto"/>
                <w:left w:val="none" w:sz="0" w:space="0" w:color="auto"/>
                <w:bottom w:val="none" w:sz="0" w:space="0" w:color="auto"/>
                <w:right w:val="none" w:sz="0" w:space="0" w:color="auto"/>
              </w:divBdr>
              <w:divsChild>
                <w:div w:id="6412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6008">
      <w:bodyDiv w:val="1"/>
      <w:marLeft w:val="0"/>
      <w:marRight w:val="0"/>
      <w:marTop w:val="0"/>
      <w:marBottom w:val="0"/>
      <w:divBdr>
        <w:top w:val="none" w:sz="0" w:space="0" w:color="auto"/>
        <w:left w:val="none" w:sz="0" w:space="0" w:color="auto"/>
        <w:bottom w:val="none" w:sz="0" w:space="0" w:color="auto"/>
        <w:right w:val="none" w:sz="0" w:space="0" w:color="auto"/>
      </w:divBdr>
    </w:div>
    <w:div w:id="1301379701">
      <w:bodyDiv w:val="1"/>
      <w:marLeft w:val="0"/>
      <w:marRight w:val="0"/>
      <w:marTop w:val="0"/>
      <w:marBottom w:val="0"/>
      <w:divBdr>
        <w:top w:val="none" w:sz="0" w:space="0" w:color="auto"/>
        <w:left w:val="none" w:sz="0" w:space="0" w:color="auto"/>
        <w:bottom w:val="none" w:sz="0" w:space="0" w:color="auto"/>
        <w:right w:val="none" w:sz="0" w:space="0" w:color="auto"/>
      </w:divBdr>
      <w:divsChild>
        <w:div w:id="1592936238">
          <w:marLeft w:val="0"/>
          <w:marRight w:val="0"/>
          <w:marTop w:val="0"/>
          <w:marBottom w:val="0"/>
          <w:divBdr>
            <w:top w:val="none" w:sz="0" w:space="0" w:color="auto"/>
            <w:left w:val="none" w:sz="0" w:space="0" w:color="auto"/>
            <w:bottom w:val="none" w:sz="0" w:space="0" w:color="auto"/>
            <w:right w:val="none" w:sz="0" w:space="0" w:color="auto"/>
          </w:divBdr>
          <w:divsChild>
            <w:div w:id="1417902972">
              <w:marLeft w:val="0"/>
              <w:marRight w:val="0"/>
              <w:marTop w:val="0"/>
              <w:marBottom w:val="0"/>
              <w:divBdr>
                <w:top w:val="none" w:sz="0" w:space="0" w:color="auto"/>
                <w:left w:val="none" w:sz="0" w:space="0" w:color="auto"/>
                <w:bottom w:val="none" w:sz="0" w:space="0" w:color="auto"/>
                <w:right w:val="none" w:sz="0" w:space="0" w:color="auto"/>
              </w:divBdr>
              <w:divsChild>
                <w:div w:id="9408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108">
      <w:bodyDiv w:val="1"/>
      <w:marLeft w:val="0"/>
      <w:marRight w:val="0"/>
      <w:marTop w:val="0"/>
      <w:marBottom w:val="0"/>
      <w:divBdr>
        <w:top w:val="none" w:sz="0" w:space="0" w:color="auto"/>
        <w:left w:val="none" w:sz="0" w:space="0" w:color="auto"/>
        <w:bottom w:val="none" w:sz="0" w:space="0" w:color="auto"/>
        <w:right w:val="none" w:sz="0" w:space="0" w:color="auto"/>
      </w:divBdr>
      <w:divsChild>
        <w:div w:id="1116678369">
          <w:marLeft w:val="0"/>
          <w:marRight w:val="0"/>
          <w:marTop w:val="0"/>
          <w:marBottom w:val="0"/>
          <w:divBdr>
            <w:top w:val="none" w:sz="0" w:space="0" w:color="auto"/>
            <w:left w:val="none" w:sz="0" w:space="0" w:color="auto"/>
            <w:bottom w:val="none" w:sz="0" w:space="0" w:color="auto"/>
            <w:right w:val="none" w:sz="0" w:space="0" w:color="auto"/>
          </w:divBdr>
          <w:divsChild>
            <w:div w:id="579944204">
              <w:marLeft w:val="0"/>
              <w:marRight w:val="0"/>
              <w:marTop w:val="0"/>
              <w:marBottom w:val="0"/>
              <w:divBdr>
                <w:top w:val="none" w:sz="0" w:space="0" w:color="auto"/>
                <w:left w:val="none" w:sz="0" w:space="0" w:color="auto"/>
                <w:bottom w:val="none" w:sz="0" w:space="0" w:color="auto"/>
                <w:right w:val="none" w:sz="0" w:space="0" w:color="auto"/>
              </w:divBdr>
              <w:divsChild>
                <w:div w:id="7099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13725">
      <w:bodyDiv w:val="1"/>
      <w:marLeft w:val="0"/>
      <w:marRight w:val="0"/>
      <w:marTop w:val="0"/>
      <w:marBottom w:val="0"/>
      <w:divBdr>
        <w:top w:val="none" w:sz="0" w:space="0" w:color="auto"/>
        <w:left w:val="none" w:sz="0" w:space="0" w:color="auto"/>
        <w:bottom w:val="none" w:sz="0" w:space="0" w:color="auto"/>
        <w:right w:val="none" w:sz="0" w:space="0" w:color="auto"/>
      </w:divBdr>
    </w:div>
    <w:div w:id="1331106335">
      <w:bodyDiv w:val="1"/>
      <w:marLeft w:val="0"/>
      <w:marRight w:val="0"/>
      <w:marTop w:val="0"/>
      <w:marBottom w:val="0"/>
      <w:divBdr>
        <w:top w:val="none" w:sz="0" w:space="0" w:color="auto"/>
        <w:left w:val="none" w:sz="0" w:space="0" w:color="auto"/>
        <w:bottom w:val="none" w:sz="0" w:space="0" w:color="auto"/>
        <w:right w:val="none" w:sz="0" w:space="0" w:color="auto"/>
      </w:divBdr>
      <w:divsChild>
        <w:div w:id="1220748002">
          <w:marLeft w:val="0"/>
          <w:marRight w:val="0"/>
          <w:marTop w:val="0"/>
          <w:marBottom w:val="0"/>
          <w:divBdr>
            <w:top w:val="none" w:sz="0" w:space="0" w:color="auto"/>
            <w:left w:val="none" w:sz="0" w:space="0" w:color="auto"/>
            <w:bottom w:val="none" w:sz="0" w:space="0" w:color="auto"/>
            <w:right w:val="none" w:sz="0" w:space="0" w:color="auto"/>
          </w:divBdr>
          <w:divsChild>
            <w:div w:id="131487452">
              <w:marLeft w:val="0"/>
              <w:marRight w:val="0"/>
              <w:marTop w:val="0"/>
              <w:marBottom w:val="0"/>
              <w:divBdr>
                <w:top w:val="none" w:sz="0" w:space="0" w:color="auto"/>
                <w:left w:val="none" w:sz="0" w:space="0" w:color="auto"/>
                <w:bottom w:val="none" w:sz="0" w:space="0" w:color="auto"/>
                <w:right w:val="none" w:sz="0" w:space="0" w:color="auto"/>
              </w:divBdr>
              <w:divsChild>
                <w:div w:id="189912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6300">
      <w:bodyDiv w:val="1"/>
      <w:marLeft w:val="0"/>
      <w:marRight w:val="0"/>
      <w:marTop w:val="0"/>
      <w:marBottom w:val="0"/>
      <w:divBdr>
        <w:top w:val="none" w:sz="0" w:space="0" w:color="auto"/>
        <w:left w:val="none" w:sz="0" w:space="0" w:color="auto"/>
        <w:bottom w:val="none" w:sz="0" w:space="0" w:color="auto"/>
        <w:right w:val="none" w:sz="0" w:space="0" w:color="auto"/>
      </w:divBdr>
    </w:div>
    <w:div w:id="1337920240">
      <w:bodyDiv w:val="1"/>
      <w:marLeft w:val="0"/>
      <w:marRight w:val="0"/>
      <w:marTop w:val="0"/>
      <w:marBottom w:val="0"/>
      <w:divBdr>
        <w:top w:val="none" w:sz="0" w:space="0" w:color="auto"/>
        <w:left w:val="none" w:sz="0" w:space="0" w:color="auto"/>
        <w:bottom w:val="none" w:sz="0" w:space="0" w:color="auto"/>
        <w:right w:val="none" w:sz="0" w:space="0" w:color="auto"/>
      </w:divBdr>
      <w:divsChild>
        <w:div w:id="1054356706">
          <w:marLeft w:val="0"/>
          <w:marRight w:val="0"/>
          <w:marTop w:val="0"/>
          <w:marBottom w:val="0"/>
          <w:divBdr>
            <w:top w:val="none" w:sz="0" w:space="0" w:color="auto"/>
            <w:left w:val="none" w:sz="0" w:space="0" w:color="auto"/>
            <w:bottom w:val="none" w:sz="0" w:space="0" w:color="auto"/>
            <w:right w:val="none" w:sz="0" w:space="0" w:color="auto"/>
          </w:divBdr>
          <w:divsChild>
            <w:div w:id="1886404130">
              <w:marLeft w:val="0"/>
              <w:marRight w:val="0"/>
              <w:marTop w:val="0"/>
              <w:marBottom w:val="0"/>
              <w:divBdr>
                <w:top w:val="none" w:sz="0" w:space="0" w:color="auto"/>
                <w:left w:val="none" w:sz="0" w:space="0" w:color="auto"/>
                <w:bottom w:val="none" w:sz="0" w:space="0" w:color="auto"/>
                <w:right w:val="none" w:sz="0" w:space="0" w:color="auto"/>
              </w:divBdr>
              <w:divsChild>
                <w:div w:id="1512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7686">
      <w:bodyDiv w:val="1"/>
      <w:marLeft w:val="0"/>
      <w:marRight w:val="0"/>
      <w:marTop w:val="0"/>
      <w:marBottom w:val="0"/>
      <w:divBdr>
        <w:top w:val="none" w:sz="0" w:space="0" w:color="auto"/>
        <w:left w:val="none" w:sz="0" w:space="0" w:color="auto"/>
        <w:bottom w:val="none" w:sz="0" w:space="0" w:color="auto"/>
        <w:right w:val="none" w:sz="0" w:space="0" w:color="auto"/>
      </w:divBdr>
      <w:divsChild>
        <w:div w:id="742876519">
          <w:marLeft w:val="0"/>
          <w:marRight w:val="0"/>
          <w:marTop w:val="0"/>
          <w:marBottom w:val="0"/>
          <w:divBdr>
            <w:top w:val="none" w:sz="0" w:space="0" w:color="auto"/>
            <w:left w:val="none" w:sz="0" w:space="0" w:color="auto"/>
            <w:bottom w:val="none" w:sz="0" w:space="0" w:color="auto"/>
            <w:right w:val="none" w:sz="0" w:space="0" w:color="auto"/>
          </w:divBdr>
          <w:divsChild>
            <w:div w:id="1155949856">
              <w:marLeft w:val="0"/>
              <w:marRight w:val="0"/>
              <w:marTop w:val="0"/>
              <w:marBottom w:val="0"/>
              <w:divBdr>
                <w:top w:val="none" w:sz="0" w:space="0" w:color="auto"/>
                <w:left w:val="none" w:sz="0" w:space="0" w:color="auto"/>
                <w:bottom w:val="none" w:sz="0" w:space="0" w:color="auto"/>
                <w:right w:val="none" w:sz="0" w:space="0" w:color="auto"/>
              </w:divBdr>
              <w:divsChild>
                <w:div w:id="7624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13513">
      <w:bodyDiv w:val="1"/>
      <w:marLeft w:val="0"/>
      <w:marRight w:val="0"/>
      <w:marTop w:val="0"/>
      <w:marBottom w:val="0"/>
      <w:divBdr>
        <w:top w:val="none" w:sz="0" w:space="0" w:color="auto"/>
        <w:left w:val="none" w:sz="0" w:space="0" w:color="auto"/>
        <w:bottom w:val="none" w:sz="0" w:space="0" w:color="auto"/>
        <w:right w:val="none" w:sz="0" w:space="0" w:color="auto"/>
      </w:divBdr>
      <w:divsChild>
        <w:div w:id="376051932">
          <w:marLeft w:val="0"/>
          <w:marRight w:val="0"/>
          <w:marTop w:val="0"/>
          <w:marBottom w:val="0"/>
          <w:divBdr>
            <w:top w:val="none" w:sz="0" w:space="0" w:color="auto"/>
            <w:left w:val="none" w:sz="0" w:space="0" w:color="auto"/>
            <w:bottom w:val="none" w:sz="0" w:space="0" w:color="auto"/>
            <w:right w:val="none" w:sz="0" w:space="0" w:color="auto"/>
          </w:divBdr>
          <w:divsChild>
            <w:div w:id="1417625755">
              <w:marLeft w:val="0"/>
              <w:marRight w:val="0"/>
              <w:marTop w:val="0"/>
              <w:marBottom w:val="0"/>
              <w:divBdr>
                <w:top w:val="none" w:sz="0" w:space="0" w:color="auto"/>
                <w:left w:val="none" w:sz="0" w:space="0" w:color="auto"/>
                <w:bottom w:val="none" w:sz="0" w:space="0" w:color="auto"/>
                <w:right w:val="none" w:sz="0" w:space="0" w:color="auto"/>
              </w:divBdr>
              <w:divsChild>
                <w:div w:id="4389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6964">
      <w:bodyDiv w:val="1"/>
      <w:marLeft w:val="0"/>
      <w:marRight w:val="0"/>
      <w:marTop w:val="0"/>
      <w:marBottom w:val="0"/>
      <w:divBdr>
        <w:top w:val="none" w:sz="0" w:space="0" w:color="auto"/>
        <w:left w:val="none" w:sz="0" w:space="0" w:color="auto"/>
        <w:bottom w:val="none" w:sz="0" w:space="0" w:color="auto"/>
        <w:right w:val="none" w:sz="0" w:space="0" w:color="auto"/>
      </w:divBdr>
      <w:divsChild>
        <w:div w:id="1408111493">
          <w:marLeft w:val="0"/>
          <w:marRight w:val="0"/>
          <w:marTop w:val="0"/>
          <w:marBottom w:val="0"/>
          <w:divBdr>
            <w:top w:val="none" w:sz="0" w:space="0" w:color="auto"/>
            <w:left w:val="none" w:sz="0" w:space="0" w:color="auto"/>
            <w:bottom w:val="none" w:sz="0" w:space="0" w:color="auto"/>
            <w:right w:val="none" w:sz="0" w:space="0" w:color="auto"/>
          </w:divBdr>
          <w:divsChild>
            <w:div w:id="352846920">
              <w:marLeft w:val="0"/>
              <w:marRight w:val="0"/>
              <w:marTop w:val="0"/>
              <w:marBottom w:val="0"/>
              <w:divBdr>
                <w:top w:val="none" w:sz="0" w:space="0" w:color="auto"/>
                <w:left w:val="none" w:sz="0" w:space="0" w:color="auto"/>
                <w:bottom w:val="none" w:sz="0" w:space="0" w:color="auto"/>
                <w:right w:val="none" w:sz="0" w:space="0" w:color="auto"/>
              </w:divBdr>
              <w:divsChild>
                <w:div w:id="19390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5667">
      <w:bodyDiv w:val="1"/>
      <w:marLeft w:val="0"/>
      <w:marRight w:val="0"/>
      <w:marTop w:val="0"/>
      <w:marBottom w:val="0"/>
      <w:divBdr>
        <w:top w:val="none" w:sz="0" w:space="0" w:color="auto"/>
        <w:left w:val="none" w:sz="0" w:space="0" w:color="auto"/>
        <w:bottom w:val="none" w:sz="0" w:space="0" w:color="auto"/>
        <w:right w:val="none" w:sz="0" w:space="0" w:color="auto"/>
      </w:divBdr>
      <w:divsChild>
        <w:div w:id="268709756">
          <w:marLeft w:val="0"/>
          <w:marRight w:val="0"/>
          <w:marTop w:val="0"/>
          <w:marBottom w:val="0"/>
          <w:divBdr>
            <w:top w:val="none" w:sz="0" w:space="0" w:color="auto"/>
            <w:left w:val="none" w:sz="0" w:space="0" w:color="auto"/>
            <w:bottom w:val="none" w:sz="0" w:space="0" w:color="auto"/>
            <w:right w:val="none" w:sz="0" w:space="0" w:color="auto"/>
          </w:divBdr>
          <w:divsChild>
            <w:div w:id="516582792">
              <w:marLeft w:val="0"/>
              <w:marRight w:val="0"/>
              <w:marTop w:val="0"/>
              <w:marBottom w:val="0"/>
              <w:divBdr>
                <w:top w:val="none" w:sz="0" w:space="0" w:color="auto"/>
                <w:left w:val="none" w:sz="0" w:space="0" w:color="auto"/>
                <w:bottom w:val="none" w:sz="0" w:space="0" w:color="auto"/>
                <w:right w:val="none" w:sz="0" w:space="0" w:color="auto"/>
              </w:divBdr>
              <w:divsChild>
                <w:div w:id="904486152">
                  <w:marLeft w:val="0"/>
                  <w:marRight w:val="0"/>
                  <w:marTop w:val="0"/>
                  <w:marBottom w:val="0"/>
                  <w:divBdr>
                    <w:top w:val="none" w:sz="0" w:space="0" w:color="auto"/>
                    <w:left w:val="none" w:sz="0" w:space="0" w:color="auto"/>
                    <w:bottom w:val="none" w:sz="0" w:space="0" w:color="auto"/>
                    <w:right w:val="none" w:sz="0" w:space="0" w:color="auto"/>
                  </w:divBdr>
                  <w:divsChild>
                    <w:div w:id="13492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20719">
      <w:bodyDiv w:val="1"/>
      <w:marLeft w:val="0"/>
      <w:marRight w:val="0"/>
      <w:marTop w:val="0"/>
      <w:marBottom w:val="0"/>
      <w:divBdr>
        <w:top w:val="none" w:sz="0" w:space="0" w:color="auto"/>
        <w:left w:val="none" w:sz="0" w:space="0" w:color="auto"/>
        <w:bottom w:val="none" w:sz="0" w:space="0" w:color="auto"/>
        <w:right w:val="none" w:sz="0" w:space="0" w:color="auto"/>
      </w:divBdr>
    </w:div>
    <w:div w:id="1370758175">
      <w:bodyDiv w:val="1"/>
      <w:marLeft w:val="0"/>
      <w:marRight w:val="0"/>
      <w:marTop w:val="0"/>
      <w:marBottom w:val="0"/>
      <w:divBdr>
        <w:top w:val="none" w:sz="0" w:space="0" w:color="auto"/>
        <w:left w:val="none" w:sz="0" w:space="0" w:color="auto"/>
        <w:bottom w:val="none" w:sz="0" w:space="0" w:color="auto"/>
        <w:right w:val="none" w:sz="0" w:space="0" w:color="auto"/>
      </w:divBdr>
    </w:div>
    <w:div w:id="1372657398">
      <w:bodyDiv w:val="1"/>
      <w:marLeft w:val="0"/>
      <w:marRight w:val="0"/>
      <w:marTop w:val="0"/>
      <w:marBottom w:val="0"/>
      <w:divBdr>
        <w:top w:val="none" w:sz="0" w:space="0" w:color="auto"/>
        <w:left w:val="none" w:sz="0" w:space="0" w:color="auto"/>
        <w:bottom w:val="none" w:sz="0" w:space="0" w:color="auto"/>
        <w:right w:val="none" w:sz="0" w:space="0" w:color="auto"/>
      </w:divBdr>
    </w:div>
    <w:div w:id="1372875193">
      <w:bodyDiv w:val="1"/>
      <w:marLeft w:val="0"/>
      <w:marRight w:val="0"/>
      <w:marTop w:val="0"/>
      <w:marBottom w:val="0"/>
      <w:divBdr>
        <w:top w:val="none" w:sz="0" w:space="0" w:color="auto"/>
        <w:left w:val="none" w:sz="0" w:space="0" w:color="auto"/>
        <w:bottom w:val="none" w:sz="0" w:space="0" w:color="auto"/>
        <w:right w:val="none" w:sz="0" w:space="0" w:color="auto"/>
      </w:divBdr>
    </w:div>
    <w:div w:id="1380205028">
      <w:bodyDiv w:val="1"/>
      <w:marLeft w:val="0"/>
      <w:marRight w:val="0"/>
      <w:marTop w:val="0"/>
      <w:marBottom w:val="0"/>
      <w:divBdr>
        <w:top w:val="none" w:sz="0" w:space="0" w:color="auto"/>
        <w:left w:val="none" w:sz="0" w:space="0" w:color="auto"/>
        <w:bottom w:val="none" w:sz="0" w:space="0" w:color="auto"/>
        <w:right w:val="none" w:sz="0" w:space="0" w:color="auto"/>
      </w:divBdr>
      <w:divsChild>
        <w:div w:id="32652945">
          <w:marLeft w:val="0"/>
          <w:marRight w:val="0"/>
          <w:marTop w:val="0"/>
          <w:marBottom w:val="0"/>
          <w:divBdr>
            <w:top w:val="none" w:sz="0" w:space="0" w:color="auto"/>
            <w:left w:val="none" w:sz="0" w:space="0" w:color="auto"/>
            <w:bottom w:val="none" w:sz="0" w:space="0" w:color="auto"/>
            <w:right w:val="none" w:sz="0" w:space="0" w:color="auto"/>
          </w:divBdr>
          <w:divsChild>
            <w:div w:id="624694647">
              <w:marLeft w:val="0"/>
              <w:marRight w:val="0"/>
              <w:marTop w:val="0"/>
              <w:marBottom w:val="0"/>
              <w:divBdr>
                <w:top w:val="none" w:sz="0" w:space="0" w:color="auto"/>
                <w:left w:val="none" w:sz="0" w:space="0" w:color="auto"/>
                <w:bottom w:val="none" w:sz="0" w:space="0" w:color="auto"/>
                <w:right w:val="none" w:sz="0" w:space="0" w:color="auto"/>
              </w:divBdr>
              <w:divsChild>
                <w:div w:id="2806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78162">
      <w:bodyDiv w:val="1"/>
      <w:marLeft w:val="0"/>
      <w:marRight w:val="0"/>
      <w:marTop w:val="0"/>
      <w:marBottom w:val="0"/>
      <w:divBdr>
        <w:top w:val="none" w:sz="0" w:space="0" w:color="auto"/>
        <w:left w:val="none" w:sz="0" w:space="0" w:color="auto"/>
        <w:bottom w:val="none" w:sz="0" w:space="0" w:color="auto"/>
        <w:right w:val="none" w:sz="0" w:space="0" w:color="auto"/>
      </w:divBdr>
    </w:div>
    <w:div w:id="1419447168">
      <w:bodyDiv w:val="1"/>
      <w:marLeft w:val="0"/>
      <w:marRight w:val="0"/>
      <w:marTop w:val="0"/>
      <w:marBottom w:val="0"/>
      <w:divBdr>
        <w:top w:val="none" w:sz="0" w:space="0" w:color="auto"/>
        <w:left w:val="none" w:sz="0" w:space="0" w:color="auto"/>
        <w:bottom w:val="none" w:sz="0" w:space="0" w:color="auto"/>
        <w:right w:val="none" w:sz="0" w:space="0" w:color="auto"/>
      </w:divBdr>
    </w:div>
    <w:div w:id="1426726037">
      <w:bodyDiv w:val="1"/>
      <w:marLeft w:val="0"/>
      <w:marRight w:val="0"/>
      <w:marTop w:val="0"/>
      <w:marBottom w:val="0"/>
      <w:divBdr>
        <w:top w:val="none" w:sz="0" w:space="0" w:color="auto"/>
        <w:left w:val="none" w:sz="0" w:space="0" w:color="auto"/>
        <w:bottom w:val="none" w:sz="0" w:space="0" w:color="auto"/>
        <w:right w:val="none" w:sz="0" w:space="0" w:color="auto"/>
      </w:divBdr>
      <w:divsChild>
        <w:div w:id="433132861">
          <w:marLeft w:val="0"/>
          <w:marRight w:val="0"/>
          <w:marTop w:val="0"/>
          <w:marBottom w:val="0"/>
          <w:divBdr>
            <w:top w:val="none" w:sz="0" w:space="0" w:color="auto"/>
            <w:left w:val="none" w:sz="0" w:space="0" w:color="auto"/>
            <w:bottom w:val="none" w:sz="0" w:space="0" w:color="auto"/>
            <w:right w:val="none" w:sz="0" w:space="0" w:color="auto"/>
          </w:divBdr>
          <w:divsChild>
            <w:div w:id="1969774569">
              <w:marLeft w:val="0"/>
              <w:marRight w:val="0"/>
              <w:marTop w:val="0"/>
              <w:marBottom w:val="0"/>
              <w:divBdr>
                <w:top w:val="none" w:sz="0" w:space="0" w:color="auto"/>
                <w:left w:val="none" w:sz="0" w:space="0" w:color="auto"/>
                <w:bottom w:val="none" w:sz="0" w:space="0" w:color="auto"/>
                <w:right w:val="none" w:sz="0" w:space="0" w:color="auto"/>
              </w:divBdr>
              <w:divsChild>
                <w:div w:id="2769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0397">
      <w:bodyDiv w:val="1"/>
      <w:marLeft w:val="0"/>
      <w:marRight w:val="0"/>
      <w:marTop w:val="0"/>
      <w:marBottom w:val="0"/>
      <w:divBdr>
        <w:top w:val="none" w:sz="0" w:space="0" w:color="auto"/>
        <w:left w:val="none" w:sz="0" w:space="0" w:color="auto"/>
        <w:bottom w:val="none" w:sz="0" w:space="0" w:color="auto"/>
        <w:right w:val="none" w:sz="0" w:space="0" w:color="auto"/>
      </w:divBdr>
    </w:div>
    <w:div w:id="1432970643">
      <w:bodyDiv w:val="1"/>
      <w:marLeft w:val="0"/>
      <w:marRight w:val="0"/>
      <w:marTop w:val="0"/>
      <w:marBottom w:val="0"/>
      <w:divBdr>
        <w:top w:val="none" w:sz="0" w:space="0" w:color="auto"/>
        <w:left w:val="none" w:sz="0" w:space="0" w:color="auto"/>
        <w:bottom w:val="none" w:sz="0" w:space="0" w:color="auto"/>
        <w:right w:val="none" w:sz="0" w:space="0" w:color="auto"/>
      </w:divBdr>
    </w:div>
    <w:div w:id="1433162647">
      <w:bodyDiv w:val="1"/>
      <w:marLeft w:val="0"/>
      <w:marRight w:val="0"/>
      <w:marTop w:val="0"/>
      <w:marBottom w:val="0"/>
      <w:divBdr>
        <w:top w:val="none" w:sz="0" w:space="0" w:color="auto"/>
        <w:left w:val="none" w:sz="0" w:space="0" w:color="auto"/>
        <w:bottom w:val="none" w:sz="0" w:space="0" w:color="auto"/>
        <w:right w:val="none" w:sz="0" w:space="0" w:color="auto"/>
      </w:divBdr>
      <w:divsChild>
        <w:div w:id="2070961624">
          <w:marLeft w:val="0"/>
          <w:marRight w:val="0"/>
          <w:marTop w:val="0"/>
          <w:marBottom w:val="0"/>
          <w:divBdr>
            <w:top w:val="none" w:sz="0" w:space="0" w:color="auto"/>
            <w:left w:val="none" w:sz="0" w:space="0" w:color="auto"/>
            <w:bottom w:val="none" w:sz="0" w:space="0" w:color="auto"/>
            <w:right w:val="none" w:sz="0" w:space="0" w:color="auto"/>
          </w:divBdr>
          <w:divsChild>
            <w:div w:id="1057894266">
              <w:marLeft w:val="0"/>
              <w:marRight w:val="0"/>
              <w:marTop w:val="0"/>
              <w:marBottom w:val="0"/>
              <w:divBdr>
                <w:top w:val="none" w:sz="0" w:space="0" w:color="auto"/>
                <w:left w:val="none" w:sz="0" w:space="0" w:color="auto"/>
                <w:bottom w:val="none" w:sz="0" w:space="0" w:color="auto"/>
                <w:right w:val="none" w:sz="0" w:space="0" w:color="auto"/>
              </w:divBdr>
              <w:divsChild>
                <w:div w:id="607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25259">
      <w:bodyDiv w:val="1"/>
      <w:marLeft w:val="0"/>
      <w:marRight w:val="0"/>
      <w:marTop w:val="0"/>
      <w:marBottom w:val="0"/>
      <w:divBdr>
        <w:top w:val="none" w:sz="0" w:space="0" w:color="auto"/>
        <w:left w:val="none" w:sz="0" w:space="0" w:color="auto"/>
        <w:bottom w:val="none" w:sz="0" w:space="0" w:color="auto"/>
        <w:right w:val="none" w:sz="0" w:space="0" w:color="auto"/>
      </w:divBdr>
      <w:divsChild>
        <w:div w:id="1359744156">
          <w:marLeft w:val="0"/>
          <w:marRight w:val="0"/>
          <w:marTop w:val="0"/>
          <w:marBottom w:val="0"/>
          <w:divBdr>
            <w:top w:val="none" w:sz="0" w:space="0" w:color="auto"/>
            <w:left w:val="none" w:sz="0" w:space="0" w:color="auto"/>
            <w:bottom w:val="none" w:sz="0" w:space="0" w:color="auto"/>
            <w:right w:val="none" w:sz="0" w:space="0" w:color="auto"/>
          </w:divBdr>
          <w:divsChild>
            <w:div w:id="9382203">
              <w:marLeft w:val="0"/>
              <w:marRight w:val="0"/>
              <w:marTop w:val="0"/>
              <w:marBottom w:val="0"/>
              <w:divBdr>
                <w:top w:val="none" w:sz="0" w:space="0" w:color="auto"/>
                <w:left w:val="none" w:sz="0" w:space="0" w:color="auto"/>
                <w:bottom w:val="none" w:sz="0" w:space="0" w:color="auto"/>
                <w:right w:val="none" w:sz="0" w:space="0" w:color="auto"/>
              </w:divBdr>
              <w:divsChild>
                <w:div w:id="5954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06152">
      <w:bodyDiv w:val="1"/>
      <w:marLeft w:val="0"/>
      <w:marRight w:val="0"/>
      <w:marTop w:val="0"/>
      <w:marBottom w:val="0"/>
      <w:divBdr>
        <w:top w:val="none" w:sz="0" w:space="0" w:color="auto"/>
        <w:left w:val="none" w:sz="0" w:space="0" w:color="auto"/>
        <w:bottom w:val="none" w:sz="0" w:space="0" w:color="auto"/>
        <w:right w:val="none" w:sz="0" w:space="0" w:color="auto"/>
      </w:divBdr>
      <w:divsChild>
        <w:div w:id="65418656">
          <w:marLeft w:val="0"/>
          <w:marRight w:val="0"/>
          <w:marTop w:val="0"/>
          <w:marBottom w:val="0"/>
          <w:divBdr>
            <w:top w:val="none" w:sz="0" w:space="0" w:color="auto"/>
            <w:left w:val="none" w:sz="0" w:space="0" w:color="auto"/>
            <w:bottom w:val="none" w:sz="0" w:space="0" w:color="auto"/>
            <w:right w:val="none" w:sz="0" w:space="0" w:color="auto"/>
          </w:divBdr>
          <w:divsChild>
            <w:div w:id="1790123093">
              <w:marLeft w:val="0"/>
              <w:marRight w:val="0"/>
              <w:marTop w:val="0"/>
              <w:marBottom w:val="0"/>
              <w:divBdr>
                <w:top w:val="none" w:sz="0" w:space="0" w:color="auto"/>
                <w:left w:val="none" w:sz="0" w:space="0" w:color="auto"/>
                <w:bottom w:val="none" w:sz="0" w:space="0" w:color="auto"/>
                <w:right w:val="none" w:sz="0" w:space="0" w:color="auto"/>
              </w:divBdr>
              <w:divsChild>
                <w:div w:id="20485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0376">
      <w:bodyDiv w:val="1"/>
      <w:marLeft w:val="0"/>
      <w:marRight w:val="0"/>
      <w:marTop w:val="0"/>
      <w:marBottom w:val="0"/>
      <w:divBdr>
        <w:top w:val="none" w:sz="0" w:space="0" w:color="auto"/>
        <w:left w:val="none" w:sz="0" w:space="0" w:color="auto"/>
        <w:bottom w:val="none" w:sz="0" w:space="0" w:color="auto"/>
        <w:right w:val="none" w:sz="0" w:space="0" w:color="auto"/>
      </w:divBdr>
    </w:div>
    <w:div w:id="1460880226">
      <w:bodyDiv w:val="1"/>
      <w:marLeft w:val="0"/>
      <w:marRight w:val="0"/>
      <w:marTop w:val="0"/>
      <w:marBottom w:val="0"/>
      <w:divBdr>
        <w:top w:val="none" w:sz="0" w:space="0" w:color="auto"/>
        <w:left w:val="none" w:sz="0" w:space="0" w:color="auto"/>
        <w:bottom w:val="none" w:sz="0" w:space="0" w:color="auto"/>
        <w:right w:val="none" w:sz="0" w:space="0" w:color="auto"/>
      </w:divBdr>
      <w:divsChild>
        <w:div w:id="1607076003">
          <w:marLeft w:val="0"/>
          <w:marRight w:val="0"/>
          <w:marTop w:val="0"/>
          <w:marBottom w:val="0"/>
          <w:divBdr>
            <w:top w:val="none" w:sz="0" w:space="0" w:color="auto"/>
            <w:left w:val="none" w:sz="0" w:space="0" w:color="auto"/>
            <w:bottom w:val="none" w:sz="0" w:space="0" w:color="auto"/>
            <w:right w:val="none" w:sz="0" w:space="0" w:color="auto"/>
          </w:divBdr>
          <w:divsChild>
            <w:div w:id="761335007">
              <w:marLeft w:val="0"/>
              <w:marRight w:val="0"/>
              <w:marTop w:val="0"/>
              <w:marBottom w:val="0"/>
              <w:divBdr>
                <w:top w:val="none" w:sz="0" w:space="0" w:color="auto"/>
                <w:left w:val="none" w:sz="0" w:space="0" w:color="auto"/>
                <w:bottom w:val="none" w:sz="0" w:space="0" w:color="auto"/>
                <w:right w:val="none" w:sz="0" w:space="0" w:color="auto"/>
              </w:divBdr>
              <w:divsChild>
                <w:div w:id="445927057">
                  <w:marLeft w:val="0"/>
                  <w:marRight w:val="0"/>
                  <w:marTop w:val="0"/>
                  <w:marBottom w:val="0"/>
                  <w:divBdr>
                    <w:top w:val="none" w:sz="0" w:space="0" w:color="auto"/>
                    <w:left w:val="none" w:sz="0" w:space="0" w:color="auto"/>
                    <w:bottom w:val="none" w:sz="0" w:space="0" w:color="auto"/>
                    <w:right w:val="none" w:sz="0" w:space="0" w:color="auto"/>
                  </w:divBdr>
                  <w:divsChild>
                    <w:div w:id="16325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02781">
      <w:bodyDiv w:val="1"/>
      <w:marLeft w:val="0"/>
      <w:marRight w:val="0"/>
      <w:marTop w:val="0"/>
      <w:marBottom w:val="0"/>
      <w:divBdr>
        <w:top w:val="none" w:sz="0" w:space="0" w:color="auto"/>
        <w:left w:val="none" w:sz="0" w:space="0" w:color="auto"/>
        <w:bottom w:val="none" w:sz="0" w:space="0" w:color="auto"/>
        <w:right w:val="none" w:sz="0" w:space="0" w:color="auto"/>
      </w:divBdr>
    </w:div>
    <w:div w:id="1468278863">
      <w:bodyDiv w:val="1"/>
      <w:marLeft w:val="0"/>
      <w:marRight w:val="0"/>
      <w:marTop w:val="0"/>
      <w:marBottom w:val="0"/>
      <w:divBdr>
        <w:top w:val="none" w:sz="0" w:space="0" w:color="auto"/>
        <w:left w:val="none" w:sz="0" w:space="0" w:color="auto"/>
        <w:bottom w:val="none" w:sz="0" w:space="0" w:color="auto"/>
        <w:right w:val="none" w:sz="0" w:space="0" w:color="auto"/>
      </w:divBdr>
      <w:divsChild>
        <w:div w:id="216087842">
          <w:marLeft w:val="0"/>
          <w:marRight w:val="0"/>
          <w:marTop w:val="0"/>
          <w:marBottom w:val="0"/>
          <w:divBdr>
            <w:top w:val="none" w:sz="0" w:space="0" w:color="auto"/>
            <w:left w:val="none" w:sz="0" w:space="0" w:color="auto"/>
            <w:bottom w:val="none" w:sz="0" w:space="0" w:color="auto"/>
            <w:right w:val="none" w:sz="0" w:space="0" w:color="auto"/>
          </w:divBdr>
          <w:divsChild>
            <w:div w:id="2062364679">
              <w:marLeft w:val="0"/>
              <w:marRight w:val="0"/>
              <w:marTop w:val="0"/>
              <w:marBottom w:val="0"/>
              <w:divBdr>
                <w:top w:val="none" w:sz="0" w:space="0" w:color="auto"/>
                <w:left w:val="none" w:sz="0" w:space="0" w:color="auto"/>
                <w:bottom w:val="none" w:sz="0" w:space="0" w:color="auto"/>
                <w:right w:val="none" w:sz="0" w:space="0" w:color="auto"/>
              </w:divBdr>
              <w:divsChild>
                <w:div w:id="361052357">
                  <w:marLeft w:val="0"/>
                  <w:marRight w:val="0"/>
                  <w:marTop w:val="0"/>
                  <w:marBottom w:val="0"/>
                  <w:divBdr>
                    <w:top w:val="none" w:sz="0" w:space="0" w:color="auto"/>
                    <w:left w:val="none" w:sz="0" w:space="0" w:color="auto"/>
                    <w:bottom w:val="none" w:sz="0" w:space="0" w:color="auto"/>
                    <w:right w:val="none" w:sz="0" w:space="0" w:color="auto"/>
                  </w:divBdr>
                  <w:divsChild>
                    <w:div w:id="1613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79050">
      <w:bodyDiv w:val="1"/>
      <w:marLeft w:val="0"/>
      <w:marRight w:val="0"/>
      <w:marTop w:val="0"/>
      <w:marBottom w:val="0"/>
      <w:divBdr>
        <w:top w:val="none" w:sz="0" w:space="0" w:color="auto"/>
        <w:left w:val="none" w:sz="0" w:space="0" w:color="auto"/>
        <w:bottom w:val="none" w:sz="0" w:space="0" w:color="auto"/>
        <w:right w:val="none" w:sz="0" w:space="0" w:color="auto"/>
      </w:divBdr>
      <w:divsChild>
        <w:div w:id="1036613205">
          <w:marLeft w:val="0"/>
          <w:marRight w:val="0"/>
          <w:marTop w:val="0"/>
          <w:marBottom w:val="0"/>
          <w:divBdr>
            <w:top w:val="none" w:sz="0" w:space="0" w:color="auto"/>
            <w:left w:val="none" w:sz="0" w:space="0" w:color="auto"/>
            <w:bottom w:val="none" w:sz="0" w:space="0" w:color="auto"/>
            <w:right w:val="none" w:sz="0" w:space="0" w:color="auto"/>
          </w:divBdr>
          <w:divsChild>
            <w:div w:id="1926063206">
              <w:marLeft w:val="0"/>
              <w:marRight w:val="0"/>
              <w:marTop w:val="0"/>
              <w:marBottom w:val="0"/>
              <w:divBdr>
                <w:top w:val="none" w:sz="0" w:space="0" w:color="auto"/>
                <w:left w:val="none" w:sz="0" w:space="0" w:color="auto"/>
                <w:bottom w:val="none" w:sz="0" w:space="0" w:color="auto"/>
                <w:right w:val="none" w:sz="0" w:space="0" w:color="auto"/>
              </w:divBdr>
              <w:divsChild>
                <w:div w:id="1006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12782">
      <w:bodyDiv w:val="1"/>
      <w:marLeft w:val="0"/>
      <w:marRight w:val="0"/>
      <w:marTop w:val="0"/>
      <w:marBottom w:val="0"/>
      <w:divBdr>
        <w:top w:val="none" w:sz="0" w:space="0" w:color="auto"/>
        <w:left w:val="none" w:sz="0" w:space="0" w:color="auto"/>
        <w:bottom w:val="none" w:sz="0" w:space="0" w:color="auto"/>
        <w:right w:val="none" w:sz="0" w:space="0" w:color="auto"/>
      </w:divBdr>
      <w:divsChild>
        <w:div w:id="878476753">
          <w:marLeft w:val="0"/>
          <w:marRight w:val="0"/>
          <w:marTop w:val="0"/>
          <w:marBottom w:val="0"/>
          <w:divBdr>
            <w:top w:val="none" w:sz="0" w:space="0" w:color="auto"/>
            <w:left w:val="none" w:sz="0" w:space="0" w:color="auto"/>
            <w:bottom w:val="none" w:sz="0" w:space="0" w:color="auto"/>
            <w:right w:val="none" w:sz="0" w:space="0" w:color="auto"/>
          </w:divBdr>
          <w:divsChild>
            <w:div w:id="1595821993">
              <w:marLeft w:val="0"/>
              <w:marRight w:val="0"/>
              <w:marTop w:val="0"/>
              <w:marBottom w:val="0"/>
              <w:divBdr>
                <w:top w:val="none" w:sz="0" w:space="0" w:color="auto"/>
                <w:left w:val="none" w:sz="0" w:space="0" w:color="auto"/>
                <w:bottom w:val="none" w:sz="0" w:space="0" w:color="auto"/>
                <w:right w:val="none" w:sz="0" w:space="0" w:color="auto"/>
              </w:divBdr>
              <w:divsChild>
                <w:div w:id="5828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27246">
      <w:bodyDiv w:val="1"/>
      <w:marLeft w:val="0"/>
      <w:marRight w:val="0"/>
      <w:marTop w:val="0"/>
      <w:marBottom w:val="0"/>
      <w:divBdr>
        <w:top w:val="none" w:sz="0" w:space="0" w:color="auto"/>
        <w:left w:val="none" w:sz="0" w:space="0" w:color="auto"/>
        <w:bottom w:val="none" w:sz="0" w:space="0" w:color="auto"/>
        <w:right w:val="none" w:sz="0" w:space="0" w:color="auto"/>
      </w:divBdr>
    </w:div>
    <w:div w:id="1509247175">
      <w:bodyDiv w:val="1"/>
      <w:marLeft w:val="0"/>
      <w:marRight w:val="0"/>
      <w:marTop w:val="0"/>
      <w:marBottom w:val="0"/>
      <w:divBdr>
        <w:top w:val="none" w:sz="0" w:space="0" w:color="auto"/>
        <w:left w:val="none" w:sz="0" w:space="0" w:color="auto"/>
        <w:bottom w:val="none" w:sz="0" w:space="0" w:color="auto"/>
        <w:right w:val="none" w:sz="0" w:space="0" w:color="auto"/>
      </w:divBdr>
      <w:divsChild>
        <w:div w:id="1312519522">
          <w:marLeft w:val="0"/>
          <w:marRight w:val="0"/>
          <w:marTop w:val="0"/>
          <w:marBottom w:val="0"/>
          <w:divBdr>
            <w:top w:val="none" w:sz="0" w:space="0" w:color="auto"/>
            <w:left w:val="none" w:sz="0" w:space="0" w:color="auto"/>
            <w:bottom w:val="none" w:sz="0" w:space="0" w:color="auto"/>
            <w:right w:val="none" w:sz="0" w:space="0" w:color="auto"/>
          </w:divBdr>
          <w:divsChild>
            <w:div w:id="1308435664">
              <w:marLeft w:val="0"/>
              <w:marRight w:val="0"/>
              <w:marTop w:val="0"/>
              <w:marBottom w:val="0"/>
              <w:divBdr>
                <w:top w:val="none" w:sz="0" w:space="0" w:color="auto"/>
                <w:left w:val="none" w:sz="0" w:space="0" w:color="auto"/>
                <w:bottom w:val="none" w:sz="0" w:space="0" w:color="auto"/>
                <w:right w:val="none" w:sz="0" w:space="0" w:color="auto"/>
              </w:divBdr>
              <w:divsChild>
                <w:div w:id="1617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72665">
      <w:bodyDiv w:val="1"/>
      <w:marLeft w:val="0"/>
      <w:marRight w:val="0"/>
      <w:marTop w:val="0"/>
      <w:marBottom w:val="0"/>
      <w:divBdr>
        <w:top w:val="none" w:sz="0" w:space="0" w:color="auto"/>
        <w:left w:val="none" w:sz="0" w:space="0" w:color="auto"/>
        <w:bottom w:val="none" w:sz="0" w:space="0" w:color="auto"/>
        <w:right w:val="none" w:sz="0" w:space="0" w:color="auto"/>
      </w:divBdr>
      <w:divsChild>
        <w:div w:id="988752080">
          <w:marLeft w:val="0"/>
          <w:marRight w:val="0"/>
          <w:marTop w:val="0"/>
          <w:marBottom w:val="0"/>
          <w:divBdr>
            <w:top w:val="none" w:sz="0" w:space="0" w:color="auto"/>
            <w:left w:val="none" w:sz="0" w:space="0" w:color="auto"/>
            <w:bottom w:val="none" w:sz="0" w:space="0" w:color="auto"/>
            <w:right w:val="none" w:sz="0" w:space="0" w:color="auto"/>
          </w:divBdr>
          <w:divsChild>
            <w:div w:id="898973802">
              <w:marLeft w:val="0"/>
              <w:marRight w:val="0"/>
              <w:marTop w:val="0"/>
              <w:marBottom w:val="0"/>
              <w:divBdr>
                <w:top w:val="none" w:sz="0" w:space="0" w:color="auto"/>
                <w:left w:val="none" w:sz="0" w:space="0" w:color="auto"/>
                <w:bottom w:val="none" w:sz="0" w:space="0" w:color="auto"/>
                <w:right w:val="none" w:sz="0" w:space="0" w:color="auto"/>
              </w:divBdr>
              <w:divsChild>
                <w:div w:id="13688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3200">
      <w:bodyDiv w:val="1"/>
      <w:marLeft w:val="0"/>
      <w:marRight w:val="0"/>
      <w:marTop w:val="0"/>
      <w:marBottom w:val="0"/>
      <w:divBdr>
        <w:top w:val="none" w:sz="0" w:space="0" w:color="auto"/>
        <w:left w:val="none" w:sz="0" w:space="0" w:color="auto"/>
        <w:bottom w:val="none" w:sz="0" w:space="0" w:color="auto"/>
        <w:right w:val="none" w:sz="0" w:space="0" w:color="auto"/>
      </w:divBdr>
      <w:divsChild>
        <w:div w:id="1863006221">
          <w:marLeft w:val="0"/>
          <w:marRight w:val="0"/>
          <w:marTop w:val="0"/>
          <w:marBottom w:val="0"/>
          <w:divBdr>
            <w:top w:val="none" w:sz="0" w:space="0" w:color="auto"/>
            <w:left w:val="none" w:sz="0" w:space="0" w:color="auto"/>
            <w:bottom w:val="none" w:sz="0" w:space="0" w:color="auto"/>
            <w:right w:val="none" w:sz="0" w:space="0" w:color="auto"/>
          </w:divBdr>
          <w:divsChild>
            <w:div w:id="1008101543">
              <w:marLeft w:val="0"/>
              <w:marRight w:val="0"/>
              <w:marTop w:val="0"/>
              <w:marBottom w:val="0"/>
              <w:divBdr>
                <w:top w:val="none" w:sz="0" w:space="0" w:color="auto"/>
                <w:left w:val="none" w:sz="0" w:space="0" w:color="auto"/>
                <w:bottom w:val="none" w:sz="0" w:space="0" w:color="auto"/>
                <w:right w:val="none" w:sz="0" w:space="0" w:color="auto"/>
              </w:divBdr>
              <w:divsChild>
                <w:div w:id="20748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2731">
      <w:bodyDiv w:val="1"/>
      <w:marLeft w:val="0"/>
      <w:marRight w:val="0"/>
      <w:marTop w:val="0"/>
      <w:marBottom w:val="0"/>
      <w:divBdr>
        <w:top w:val="none" w:sz="0" w:space="0" w:color="auto"/>
        <w:left w:val="none" w:sz="0" w:space="0" w:color="auto"/>
        <w:bottom w:val="none" w:sz="0" w:space="0" w:color="auto"/>
        <w:right w:val="none" w:sz="0" w:space="0" w:color="auto"/>
      </w:divBdr>
      <w:divsChild>
        <w:div w:id="2040621366">
          <w:marLeft w:val="0"/>
          <w:marRight w:val="0"/>
          <w:marTop w:val="0"/>
          <w:marBottom w:val="0"/>
          <w:divBdr>
            <w:top w:val="none" w:sz="0" w:space="0" w:color="auto"/>
            <w:left w:val="none" w:sz="0" w:space="0" w:color="auto"/>
            <w:bottom w:val="none" w:sz="0" w:space="0" w:color="auto"/>
            <w:right w:val="none" w:sz="0" w:space="0" w:color="auto"/>
          </w:divBdr>
          <w:divsChild>
            <w:div w:id="127014229">
              <w:marLeft w:val="0"/>
              <w:marRight w:val="0"/>
              <w:marTop w:val="0"/>
              <w:marBottom w:val="0"/>
              <w:divBdr>
                <w:top w:val="none" w:sz="0" w:space="0" w:color="auto"/>
                <w:left w:val="none" w:sz="0" w:space="0" w:color="auto"/>
                <w:bottom w:val="none" w:sz="0" w:space="0" w:color="auto"/>
                <w:right w:val="none" w:sz="0" w:space="0" w:color="auto"/>
              </w:divBdr>
              <w:divsChild>
                <w:div w:id="1676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0190">
      <w:bodyDiv w:val="1"/>
      <w:marLeft w:val="0"/>
      <w:marRight w:val="0"/>
      <w:marTop w:val="0"/>
      <w:marBottom w:val="0"/>
      <w:divBdr>
        <w:top w:val="none" w:sz="0" w:space="0" w:color="auto"/>
        <w:left w:val="none" w:sz="0" w:space="0" w:color="auto"/>
        <w:bottom w:val="none" w:sz="0" w:space="0" w:color="auto"/>
        <w:right w:val="none" w:sz="0" w:space="0" w:color="auto"/>
      </w:divBdr>
      <w:divsChild>
        <w:div w:id="1247031859">
          <w:marLeft w:val="0"/>
          <w:marRight w:val="0"/>
          <w:marTop w:val="0"/>
          <w:marBottom w:val="0"/>
          <w:divBdr>
            <w:top w:val="none" w:sz="0" w:space="0" w:color="auto"/>
            <w:left w:val="none" w:sz="0" w:space="0" w:color="auto"/>
            <w:bottom w:val="none" w:sz="0" w:space="0" w:color="auto"/>
            <w:right w:val="none" w:sz="0" w:space="0" w:color="auto"/>
          </w:divBdr>
          <w:divsChild>
            <w:div w:id="121928841">
              <w:marLeft w:val="0"/>
              <w:marRight w:val="0"/>
              <w:marTop w:val="0"/>
              <w:marBottom w:val="0"/>
              <w:divBdr>
                <w:top w:val="none" w:sz="0" w:space="0" w:color="auto"/>
                <w:left w:val="none" w:sz="0" w:space="0" w:color="auto"/>
                <w:bottom w:val="none" w:sz="0" w:space="0" w:color="auto"/>
                <w:right w:val="none" w:sz="0" w:space="0" w:color="auto"/>
              </w:divBdr>
              <w:divsChild>
                <w:div w:id="1569729689">
                  <w:marLeft w:val="0"/>
                  <w:marRight w:val="0"/>
                  <w:marTop w:val="0"/>
                  <w:marBottom w:val="0"/>
                  <w:divBdr>
                    <w:top w:val="none" w:sz="0" w:space="0" w:color="auto"/>
                    <w:left w:val="none" w:sz="0" w:space="0" w:color="auto"/>
                    <w:bottom w:val="none" w:sz="0" w:space="0" w:color="auto"/>
                    <w:right w:val="none" w:sz="0" w:space="0" w:color="auto"/>
                  </w:divBdr>
                  <w:divsChild>
                    <w:div w:id="1586768616">
                      <w:marLeft w:val="0"/>
                      <w:marRight w:val="0"/>
                      <w:marTop w:val="0"/>
                      <w:marBottom w:val="0"/>
                      <w:divBdr>
                        <w:top w:val="none" w:sz="0" w:space="0" w:color="auto"/>
                        <w:left w:val="none" w:sz="0" w:space="0" w:color="auto"/>
                        <w:bottom w:val="none" w:sz="0" w:space="0" w:color="auto"/>
                        <w:right w:val="none" w:sz="0" w:space="0" w:color="auto"/>
                      </w:divBdr>
                      <w:divsChild>
                        <w:div w:id="1209368460">
                          <w:marLeft w:val="0"/>
                          <w:marRight w:val="0"/>
                          <w:marTop w:val="0"/>
                          <w:marBottom w:val="0"/>
                          <w:divBdr>
                            <w:top w:val="none" w:sz="0" w:space="0" w:color="auto"/>
                            <w:left w:val="none" w:sz="0" w:space="0" w:color="auto"/>
                            <w:bottom w:val="none" w:sz="0" w:space="0" w:color="auto"/>
                            <w:right w:val="none" w:sz="0" w:space="0" w:color="auto"/>
                          </w:divBdr>
                        </w:div>
                      </w:divsChild>
                    </w:div>
                    <w:div w:id="1671367516">
                      <w:marLeft w:val="0"/>
                      <w:marRight w:val="0"/>
                      <w:marTop w:val="0"/>
                      <w:marBottom w:val="0"/>
                      <w:divBdr>
                        <w:top w:val="none" w:sz="0" w:space="0" w:color="auto"/>
                        <w:left w:val="none" w:sz="0" w:space="0" w:color="auto"/>
                        <w:bottom w:val="none" w:sz="0" w:space="0" w:color="auto"/>
                        <w:right w:val="none" w:sz="0" w:space="0" w:color="auto"/>
                      </w:divBdr>
                      <w:divsChild>
                        <w:div w:id="4863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69261">
                  <w:marLeft w:val="0"/>
                  <w:marRight w:val="0"/>
                  <w:marTop w:val="0"/>
                  <w:marBottom w:val="0"/>
                  <w:divBdr>
                    <w:top w:val="none" w:sz="0" w:space="0" w:color="auto"/>
                    <w:left w:val="none" w:sz="0" w:space="0" w:color="auto"/>
                    <w:bottom w:val="none" w:sz="0" w:space="0" w:color="auto"/>
                    <w:right w:val="none" w:sz="0" w:space="0" w:color="auto"/>
                  </w:divBdr>
                  <w:divsChild>
                    <w:div w:id="1019937371">
                      <w:marLeft w:val="0"/>
                      <w:marRight w:val="0"/>
                      <w:marTop w:val="0"/>
                      <w:marBottom w:val="0"/>
                      <w:divBdr>
                        <w:top w:val="none" w:sz="0" w:space="0" w:color="auto"/>
                        <w:left w:val="none" w:sz="0" w:space="0" w:color="auto"/>
                        <w:bottom w:val="none" w:sz="0" w:space="0" w:color="auto"/>
                        <w:right w:val="none" w:sz="0" w:space="0" w:color="auto"/>
                      </w:divBdr>
                      <w:divsChild>
                        <w:div w:id="5232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73347">
      <w:bodyDiv w:val="1"/>
      <w:marLeft w:val="0"/>
      <w:marRight w:val="0"/>
      <w:marTop w:val="0"/>
      <w:marBottom w:val="0"/>
      <w:divBdr>
        <w:top w:val="none" w:sz="0" w:space="0" w:color="auto"/>
        <w:left w:val="none" w:sz="0" w:space="0" w:color="auto"/>
        <w:bottom w:val="none" w:sz="0" w:space="0" w:color="auto"/>
        <w:right w:val="none" w:sz="0" w:space="0" w:color="auto"/>
      </w:divBdr>
      <w:divsChild>
        <w:div w:id="1761637537">
          <w:marLeft w:val="0"/>
          <w:marRight w:val="0"/>
          <w:marTop w:val="0"/>
          <w:marBottom w:val="0"/>
          <w:divBdr>
            <w:top w:val="none" w:sz="0" w:space="0" w:color="auto"/>
            <w:left w:val="none" w:sz="0" w:space="0" w:color="auto"/>
            <w:bottom w:val="none" w:sz="0" w:space="0" w:color="auto"/>
            <w:right w:val="none" w:sz="0" w:space="0" w:color="auto"/>
          </w:divBdr>
          <w:divsChild>
            <w:div w:id="1342512326">
              <w:marLeft w:val="0"/>
              <w:marRight w:val="0"/>
              <w:marTop w:val="0"/>
              <w:marBottom w:val="0"/>
              <w:divBdr>
                <w:top w:val="none" w:sz="0" w:space="0" w:color="auto"/>
                <w:left w:val="none" w:sz="0" w:space="0" w:color="auto"/>
                <w:bottom w:val="none" w:sz="0" w:space="0" w:color="auto"/>
                <w:right w:val="none" w:sz="0" w:space="0" w:color="auto"/>
              </w:divBdr>
              <w:divsChild>
                <w:div w:id="1821382656">
                  <w:marLeft w:val="0"/>
                  <w:marRight w:val="0"/>
                  <w:marTop w:val="0"/>
                  <w:marBottom w:val="0"/>
                  <w:divBdr>
                    <w:top w:val="none" w:sz="0" w:space="0" w:color="auto"/>
                    <w:left w:val="none" w:sz="0" w:space="0" w:color="auto"/>
                    <w:bottom w:val="none" w:sz="0" w:space="0" w:color="auto"/>
                    <w:right w:val="none" w:sz="0" w:space="0" w:color="auto"/>
                  </w:divBdr>
                  <w:divsChild>
                    <w:div w:id="7560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1642">
      <w:bodyDiv w:val="1"/>
      <w:marLeft w:val="0"/>
      <w:marRight w:val="0"/>
      <w:marTop w:val="0"/>
      <w:marBottom w:val="0"/>
      <w:divBdr>
        <w:top w:val="none" w:sz="0" w:space="0" w:color="auto"/>
        <w:left w:val="none" w:sz="0" w:space="0" w:color="auto"/>
        <w:bottom w:val="none" w:sz="0" w:space="0" w:color="auto"/>
        <w:right w:val="none" w:sz="0" w:space="0" w:color="auto"/>
      </w:divBdr>
      <w:divsChild>
        <w:div w:id="1683775253">
          <w:marLeft w:val="0"/>
          <w:marRight w:val="0"/>
          <w:marTop w:val="0"/>
          <w:marBottom w:val="0"/>
          <w:divBdr>
            <w:top w:val="none" w:sz="0" w:space="0" w:color="auto"/>
            <w:left w:val="none" w:sz="0" w:space="0" w:color="auto"/>
            <w:bottom w:val="none" w:sz="0" w:space="0" w:color="auto"/>
            <w:right w:val="none" w:sz="0" w:space="0" w:color="auto"/>
          </w:divBdr>
          <w:divsChild>
            <w:div w:id="432628482">
              <w:marLeft w:val="0"/>
              <w:marRight w:val="0"/>
              <w:marTop w:val="0"/>
              <w:marBottom w:val="0"/>
              <w:divBdr>
                <w:top w:val="none" w:sz="0" w:space="0" w:color="auto"/>
                <w:left w:val="none" w:sz="0" w:space="0" w:color="auto"/>
                <w:bottom w:val="none" w:sz="0" w:space="0" w:color="auto"/>
                <w:right w:val="none" w:sz="0" w:space="0" w:color="auto"/>
              </w:divBdr>
              <w:divsChild>
                <w:div w:id="1898202511">
                  <w:marLeft w:val="0"/>
                  <w:marRight w:val="0"/>
                  <w:marTop w:val="0"/>
                  <w:marBottom w:val="0"/>
                  <w:divBdr>
                    <w:top w:val="none" w:sz="0" w:space="0" w:color="auto"/>
                    <w:left w:val="none" w:sz="0" w:space="0" w:color="auto"/>
                    <w:bottom w:val="none" w:sz="0" w:space="0" w:color="auto"/>
                    <w:right w:val="none" w:sz="0" w:space="0" w:color="auto"/>
                  </w:divBdr>
                  <w:divsChild>
                    <w:div w:id="17346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890001">
      <w:bodyDiv w:val="1"/>
      <w:marLeft w:val="0"/>
      <w:marRight w:val="0"/>
      <w:marTop w:val="0"/>
      <w:marBottom w:val="0"/>
      <w:divBdr>
        <w:top w:val="none" w:sz="0" w:space="0" w:color="auto"/>
        <w:left w:val="none" w:sz="0" w:space="0" w:color="auto"/>
        <w:bottom w:val="none" w:sz="0" w:space="0" w:color="auto"/>
        <w:right w:val="none" w:sz="0" w:space="0" w:color="auto"/>
      </w:divBdr>
      <w:divsChild>
        <w:div w:id="1863782353">
          <w:marLeft w:val="0"/>
          <w:marRight w:val="0"/>
          <w:marTop w:val="0"/>
          <w:marBottom w:val="0"/>
          <w:divBdr>
            <w:top w:val="none" w:sz="0" w:space="0" w:color="auto"/>
            <w:left w:val="none" w:sz="0" w:space="0" w:color="auto"/>
            <w:bottom w:val="none" w:sz="0" w:space="0" w:color="auto"/>
            <w:right w:val="none" w:sz="0" w:space="0" w:color="auto"/>
          </w:divBdr>
          <w:divsChild>
            <w:div w:id="66265033">
              <w:marLeft w:val="0"/>
              <w:marRight w:val="0"/>
              <w:marTop w:val="0"/>
              <w:marBottom w:val="0"/>
              <w:divBdr>
                <w:top w:val="none" w:sz="0" w:space="0" w:color="auto"/>
                <w:left w:val="none" w:sz="0" w:space="0" w:color="auto"/>
                <w:bottom w:val="none" w:sz="0" w:space="0" w:color="auto"/>
                <w:right w:val="none" w:sz="0" w:space="0" w:color="auto"/>
              </w:divBdr>
              <w:divsChild>
                <w:div w:id="707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641">
      <w:bodyDiv w:val="1"/>
      <w:marLeft w:val="0"/>
      <w:marRight w:val="0"/>
      <w:marTop w:val="0"/>
      <w:marBottom w:val="0"/>
      <w:divBdr>
        <w:top w:val="none" w:sz="0" w:space="0" w:color="auto"/>
        <w:left w:val="none" w:sz="0" w:space="0" w:color="auto"/>
        <w:bottom w:val="none" w:sz="0" w:space="0" w:color="auto"/>
        <w:right w:val="none" w:sz="0" w:space="0" w:color="auto"/>
      </w:divBdr>
      <w:divsChild>
        <w:div w:id="1328557942">
          <w:marLeft w:val="0"/>
          <w:marRight w:val="0"/>
          <w:marTop w:val="0"/>
          <w:marBottom w:val="0"/>
          <w:divBdr>
            <w:top w:val="none" w:sz="0" w:space="0" w:color="auto"/>
            <w:left w:val="none" w:sz="0" w:space="0" w:color="auto"/>
            <w:bottom w:val="none" w:sz="0" w:space="0" w:color="auto"/>
            <w:right w:val="none" w:sz="0" w:space="0" w:color="auto"/>
          </w:divBdr>
          <w:divsChild>
            <w:div w:id="1261983512">
              <w:marLeft w:val="0"/>
              <w:marRight w:val="0"/>
              <w:marTop w:val="0"/>
              <w:marBottom w:val="0"/>
              <w:divBdr>
                <w:top w:val="none" w:sz="0" w:space="0" w:color="auto"/>
                <w:left w:val="none" w:sz="0" w:space="0" w:color="auto"/>
                <w:bottom w:val="none" w:sz="0" w:space="0" w:color="auto"/>
                <w:right w:val="none" w:sz="0" w:space="0" w:color="auto"/>
              </w:divBdr>
              <w:divsChild>
                <w:div w:id="2714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24857">
      <w:bodyDiv w:val="1"/>
      <w:marLeft w:val="0"/>
      <w:marRight w:val="0"/>
      <w:marTop w:val="0"/>
      <w:marBottom w:val="0"/>
      <w:divBdr>
        <w:top w:val="none" w:sz="0" w:space="0" w:color="auto"/>
        <w:left w:val="none" w:sz="0" w:space="0" w:color="auto"/>
        <w:bottom w:val="none" w:sz="0" w:space="0" w:color="auto"/>
        <w:right w:val="none" w:sz="0" w:space="0" w:color="auto"/>
      </w:divBdr>
    </w:div>
    <w:div w:id="1577520268">
      <w:bodyDiv w:val="1"/>
      <w:marLeft w:val="0"/>
      <w:marRight w:val="0"/>
      <w:marTop w:val="0"/>
      <w:marBottom w:val="0"/>
      <w:divBdr>
        <w:top w:val="none" w:sz="0" w:space="0" w:color="auto"/>
        <w:left w:val="none" w:sz="0" w:space="0" w:color="auto"/>
        <w:bottom w:val="none" w:sz="0" w:space="0" w:color="auto"/>
        <w:right w:val="none" w:sz="0" w:space="0" w:color="auto"/>
      </w:divBdr>
    </w:div>
    <w:div w:id="1581598196">
      <w:bodyDiv w:val="1"/>
      <w:marLeft w:val="0"/>
      <w:marRight w:val="0"/>
      <w:marTop w:val="0"/>
      <w:marBottom w:val="0"/>
      <w:divBdr>
        <w:top w:val="none" w:sz="0" w:space="0" w:color="auto"/>
        <w:left w:val="none" w:sz="0" w:space="0" w:color="auto"/>
        <w:bottom w:val="none" w:sz="0" w:space="0" w:color="auto"/>
        <w:right w:val="none" w:sz="0" w:space="0" w:color="auto"/>
      </w:divBdr>
      <w:divsChild>
        <w:div w:id="804278847">
          <w:marLeft w:val="0"/>
          <w:marRight w:val="0"/>
          <w:marTop w:val="0"/>
          <w:marBottom w:val="0"/>
          <w:divBdr>
            <w:top w:val="none" w:sz="0" w:space="0" w:color="auto"/>
            <w:left w:val="none" w:sz="0" w:space="0" w:color="auto"/>
            <w:bottom w:val="none" w:sz="0" w:space="0" w:color="auto"/>
            <w:right w:val="none" w:sz="0" w:space="0" w:color="auto"/>
          </w:divBdr>
          <w:divsChild>
            <w:div w:id="328876268">
              <w:marLeft w:val="0"/>
              <w:marRight w:val="0"/>
              <w:marTop w:val="0"/>
              <w:marBottom w:val="0"/>
              <w:divBdr>
                <w:top w:val="none" w:sz="0" w:space="0" w:color="auto"/>
                <w:left w:val="none" w:sz="0" w:space="0" w:color="auto"/>
                <w:bottom w:val="none" w:sz="0" w:space="0" w:color="auto"/>
                <w:right w:val="none" w:sz="0" w:space="0" w:color="auto"/>
              </w:divBdr>
              <w:divsChild>
                <w:div w:id="20904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784">
      <w:bodyDiv w:val="1"/>
      <w:marLeft w:val="0"/>
      <w:marRight w:val="0"/>
      <w:marTop w:val="0"/>
      <w:marBottom w:val="0"/>
      <w:divBdr>
        <w:top w:val="none" w:sz="0" w:space="0" w:color="auto"/>
        <w:left w:val="none" w:sz="0" w:space="0" w:color="auto"/>
        <w:bottom w:val="none" w:sz="0" w:space="0" w:color="auto"/>
        <w:right w:val="none" w:sz="0" w:space="0" w:color="auto"/>
      </w:divBdr>
      <w:divsChild>
        <w:div w:id="346369236">
          <w:marLeft w:val="0"/>
          <w:marRight w:val="0"/>
          <w:marTop w:val="0"/>
          <w:marBottom w:val="0"/>
          <w:divBdr>
            <w:top w:val="none" w:sz="0" w:space="0" w:color="auto"/>
            <w:left w:val="none" w:sz="0" w:space="0" w:color="auto"/>
            <w:bottom w:val="none" w:sz="0" w:space="0" w:color="auto"/>
            <w:right w:val="none" w:sz="0" w:space="0" w:color="auto"/>
          </w:divBdr>
          <w:divsChild>
            <w:div w:id="463043973">
              <w:marLeft w:val="0"/>
              <w:marRight w:val="0"/>
              <w:marTop w:val="0"/>
              <w:marBottom w:val="0"/>
              <w:divBdr>
                <w:top w:val="none" w:sz="0" w:space="0" w:color="auto"/>
                <w:left w:val="none" w:sz="0" w:space="0" w:color="auto"/>
                <w:bottom w:val="none" w:sz="0" w:space="0" w:color="auto"/>
                <w:right w:val="none" w:sz="0" w:space="0" w:color="auto"/>
              </w:divBdr>
              <w:divsChild>
                <w:div w:id="6943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2334">
      <w:bodyDiv w:val="1"/>
      <w:marLeft w:val="0"/>
      <w:marRight w:val="0"/>
      <w:marTop w:val="0"/>
      <w:marBottom w:val="0"/>
      <w:divBdr>
        <w:top w:val="none" w:sz="0" w:space="0" w:color="auto"/>
        <w:left w:val="none" w:sz="0" w:space="0" w:color="auto"/>
        <w:bottom w:val="none" w:sz="0" w:space="0" w:color="auto"/>
        <w:right w:val="none" w:sz="0" w:space="0" w:color="auto"/>
      </w:divBdr>
    </w:div>
    <w:div w:id="1639725544">
      <w:bodyDiv w:val="1"/>
      <w:marLeft w:val="0"/>
      <w:marRight w:val="0"/>
      <w:marTop w:val="0"/>
      <w:marBottom w:val="0"/>
      <w:divBdr>
        <w:top w:val="none" w:sz="0" w:space="0" w:color="auto"/>
        <w:left w:val="none" w:sz="0" w:space="0" w:color="auto"/>
        <w:bottom w:val="none" w:sz="0" w:space="0" w:color="auto"/>
        <w:right w:val="none" w:sz="0" w:space="0" w:color="auto"/>
      </w:divBdr>
    </w:div>
    <w:div w:id="1647389843">
      <w:bodyDiv w:val="1"/>
      <w:marLeft w:val="0"/>
      <w:marRight w:val="0"/>
      <w:marTop w:val="0"/>
      <w:marBottom w:val="0"/>
      <w:divBdr>
        <w:top w:val="none" w:sz="0" w:space="0" w:color="auto"/>
        <w:left w:val="none" w:sz="0" w:space="0" w:color="auto"/>
        <w:bottom w:val="none" w:sz="0" w:space="0" w:color="auto"/>
        <w:right w:val="none" w:sz="0" w:space="0" w:color="auto"/>
      </w:divBdr>
    </w:div>
    <w:div w:id="1651248285">
      <w:bodyDiv w:val="1"/>
      <w:marLeft w:val="0"/>
      <w:marRight w:val="0"/>
      <w:marTop w:val="0"/>
      <w:marBottom w:val="0"/>
      <w:divBdr>
        <w:top w:val="none" w:sz="0" w:space="0" w:color="auto"/>
        <w:left w:val="none" w:sz="0" w:space="0" w:color="auto"/>
        <w:bottom w:val="none" w:sz="0" w:space="0" w:color="auto"/>
        <w:right w:val="none" w:sz="0" w:space="0" w:color="auto"/>
      </w:divBdr>
      <w:divsChild>
        <w:div w:id="1374619457">
          <w:marLeft w:val="0"/>
          <w:marRight w:val="0"/>
          <w:marTop w:val="0"/>
          <w:marBottom w:val="0"/>
          <w:divBdr>
            <w:top w:val="none" w:sz="0" w:space="0" w:color="auto"/>
            <w:left w:val="none" w:sz="0" w:space="0" w:color="auto"/>
            <w:bottom w:val="none" w:sz="0" w:space="0" w:color="auto"/>
            <w:right w:val="none" w:sz="0" w:space="0" w:color="auto"/>
          </w:divBdr>
          <w:divsChild>
            <w:div w:id="764349363">
              <w:marLeft w:val="0"/>
              <w:marRight w:val="0"/>
              <w:marTop w:val="0"/>
              <w:marBottom w:val="0"/>
              <w:divBdr>
                <w:top w:val="none" w:sz="0" w:space="0" w:color="auto"/>
                <w:left w:val="none" w:sz="0" w:space="0" w:color="auto"/>
                <w:bottom w:val="none" w:sz="0" w:space="0" w:color="auto"/>
                <w:right w:val="none" w:sz="0" w:space="0" w:color="auto"/>
              </w:divBdr>
              <w:divsChild>
                <w:div w:id="779765442">
                  <w:marLeft w:val="0"/>
                  <w:marRight w:val="0"/>
                  <w:marTop w:val="0"/>
                  <w:marBottom w:val="0"/>
                  <w:divBdr>
                    <w:top w:val="none" w:sz="0" w:space="0" w:color="auto"/>
                    <w:left w:val="none" w:sz="0" w:space="0" w:color="auto"/>
                    <w:bottom w:val="none" w:sz="0" w:space="0" w:color="auto"/>
                    <w:right w:val="none" w:sz="0" w:space="0" w:color="auto"/>
                  </w:divBdr>
                  <w:divsChild>
                    <w:div w:id="1449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3538">
      <w:bodyDiv w:val="1"/>
      <w:marLeft w:val="0"/>
      <w:marRight w:val="0"/>
      <w:marTop w:val="0"/>
      <w:marBottom w:val="0"/>
      <w:divBdr>
        <w:top w:val="none" w:sz="0" w:space="0" w:color="auto"/>
        <w:left w:val="none" w:sz="0" w:space="0" w:color="auto"/>
        <w:bottom w:val="none" w:sz="0" w:space="0" w:color="auto"/>
        <w:right w:val="none" w:sz="0" w:space="0" w:color="auto"/>
      </w:divBdr>
      <w:divsChild>
        <w:div w:id="1912038416">
          <w:marLeft w:val="0"/>
          <w:marRight w:val="0"/>
          <w:marTop w:val="0"/>
          <w:marBottom w:val="0"/>
          <w:divBdr>
            <w:top w:val="none" w:sz="0" w:space="0" w:color="auto"/>
            <w:left w:val="none" w:sz="0" w:space="0" w:color="auto"/>
            <w:bottom w:val="none" w:sz="0" w:space="0" w:color="auto"/>
            <w:right w:val="none" w:sz="0" w:space="0" w:color="auto"/>
          </w:divBdr>
          <w:divsChild>
            <w:div w:id="1208028411">
              <w:marLeft w:val="0"/>
              <w:marRight w:val="0"/>
              <w:marTop w:val="0"/>
              <w:marBottom w:val="0"/>
              <w:divBdr>
                <w:top w:val="none" w:sz="0" w:space="0" w:color="auto"/>
                <w:left w:val="none" w:sz="0" w:space="0" w:color="auto"/>
                <w:bottom w:val="none" w:sz="0" w:space="0" w:color="auto"/>
                <w:right w:val="none" w:sz="0" w:space="0" w:color="auto"/>
              </w:divBdr>
              <w:divsChild>
                <w:div w:id="19125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1327">
      <w:bodyDiv w:val="1"/>
      <w:marLeft w:val="0"/>
      <w:marRight w:val="0"/>
      <w:marTop w:val="0"/>
      <w:marBottom w:val="0"/>
      <w:divBdr>
        <w:top w:val="none" w:sz="0" w:space="0" w:color="auto"/>
        <w:left w:val="none" w:sz="0" w:space="0" w:color="auto"/>
        <w:bottom w:val="none" w:sz="0" w:space="0" w:color="auto"/>
        <w:right w:val="none" w:sz="0" w:space="0" w:color="auto"/>
      </w:divBdr>
    </w:div>
    <w:div w:id="1693264931">
      <w:bodyDiv w:val="1"/>
      <w:marLeft w:val="0"/>
      <w:marRight w:val="0"/>
      <w:marTop w:val="0"/>
      <w:marBottom w:val="0"/>
      <w:divBdr>
        <w:top w:val="none" w:sz="0" w:space="0" w:color="auto"/>
        <w:left w:val="none" w:sz="0" w:space="0" w:color="auto"/>
        <w:bottom w:val="none" w:sz="0" w:space="0" w:color="auto"/>
        <w:right w:val="none" w:sz="0" w:space="0" w:color="auto"/>
      </w:divBdr>
    </w:div>
    <w:div w:id="1696616475">
      <w:bodyDiv w:val="1"/>
      <w:marLeft w:val="0"/>
      <w:marRight w:val="0"/>
      <w:marTop w:val="0"/>
      <w:marBottom w:val="0"/>
      <w:divBdr>
        <w:top w:val="none" w:sz="0" w:space="0" w:color="auto"/>
        <w:left w:val="none" w:sz="0" w:space="0" w:color="auto"/>
        <w:bottom w:val="none" w:sz="0" w:space="0" w:color="auto"/>
        <w:right w:val="none" w:sz="0" w:space="0" w:color="auto"/>
      </w:divBdr>
    </w:div>
    <w:div w:id="1705709733">
      <w:bodyDiv w:val="1"/>
      <w:marLeft w:val="0"/>
      <w:marRight w:val="0"/>
      <w:marTop w:val="0"/>
      <w:marBottom w:val="0"/>
      <w:divBdr>
        <w:top w:val="none" w:sz="0" w:space="0" w:color="auto"/>
        <w:left w:val="none" w:sz="0" w:space="0" w:color="auto"/>
        <w:bottom w:val="none" w:sz="0" w:space="0" w:color="auto"/>
        <w:right w:val="none" w:sz="0" w:space="0" w:color="auto"/>
      </w:divBdr>
      <w:divsChild>
        <w:div w:id="1547646292">
          <w:marLeft w:val="0"/>
          <w:marRight w:val="0"/>
          <w:marTop w:val="0"/>
          <w:marBottom w:val="0"/>
          <w:divBdr>
            <w:top w:val="none" w:sz="0" w:space="0" w:color="auto"/>
            <w:left w:val="none" w:sz="0" w:space="0" w:color="auto"/>
            <w:bottom w:val="none" w:sz="0" w:space="0" w:color="auto"/>
            <w:right w:val="none" w:sz="0" w:space="0" w:color="auto"/>
          </w:divBdr>
          <w:divsChild>
            <w:div w:id="378288248">
              <w:marLeft w:val="0"/>
              <w:marRight w:val="0"/>
              <w:marTop w:val="0"/>
              <w:marBottom w:val="0"/>
              <w:divBdr>
                <w:top w:val="none" w:sz="0" w:space="0" w:color="auto"/>
                <w:left w:val="none" w:sz="0" w:space="0" w:color="auto"/>
                <w:bottom w:val="none" w:sz="0" w:space="0" w:color="auto"/>
                <w:right w:val="none" w:sz="0" w:space="0" w:color="auto"/>
              </w:divBdr>
              <w:divsChild>
                <w:div w:id="279604649">
                  <w:marLeft w:val="0"/>
                  <w:marRight w:val="0"/>
                  <w:marTop w:val="0"/>
                  <w:marBottom w:val="0"/>
                  <w:divBdr>
                    <w:top w:val="none" w:sz="0" w:space="0" w:color="auto"/>
                    <w:left w:val="none" w:sz="0" w:space="0" w:color="auto"/>
                    <w:bottom w:val="none" w:sz="0" w:space="0" w:color="auto"/>
                    <w:right w:val="none" w:sz="0" w:space="0" w:color="auto"/>
                  </w:divBdr>
                  <w:divsChild>
                    <w:div w:id="7061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595">
      <w:bodyDiv w:val="1"/>
      <w:marLeft w:val="0"/>
      <w:marRight w:val="0"/>
      <w:marTop w:val="0"/>
      <w:marBottom w:val="0"/>
      <w:divBdr>
        <w:top w:val="none" w:sz="0" w:space="0" w:color="auto"/>
        <w:left w:val="none" w:sz="0" w:space="0" w:color="auto"/>
        <w:bottom w:val="none" w:sz="0" w:space="0" w:color="auto"/>
        <w:right w:val="none" w:sz="0" w:space="0" w:color="auto"/>
      </w:divBdr>
      <w:divsChild>
        <w:div w:id="1242182265">
          <w:marLeft w:val="0"/>
          <w:marRight w:val="0"/>
          <w:marTop w:val="0"/>
          <w:marBottom w:val="0"/>
          <w:divBdr>
            <w:top w:val="none" w:sz="0" w:space="0" w:color="auto"/>
            <w:left w:val="none" w:sz="0" w:space="0" w:color="auto"/>
            <w:bottom w:val="none" w:sz="0" w:space="0" w:color="auto"/>
            <w:right w:val="none" w:sz="0" w:space="0" w:color="auto"/>
          </w:divBdr>
          <w:divsChild>
            <w:div w:id="716976377">
              <w:marLeft w:val="0"/>
              <w:marRight w:val="0"/>
              <w:marTop w:val="0"/>
              <w:marBottom w:val="0"/>
              <w:divBdr>
                <w:top w:val="none" w:sz="0" w:space="0" w:color="auto"/>
                <w:left w:val="none" w:sz="0" w:space="0" w:color="auto"/>
                <w:bottom w:val="none" w:sz="0" w:space="0" w:color="auto"/>
                <w:right w:val="none" w:sz="0" w:space="0" w:color="auto"/>
              </w:divBdr>
              <w:divsChild>
                <w:div w:id="17607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7775">
      <w:bodyDiv w:val="1"/>
      <w:marLeft w:val="0"/>
      <w:marRight w:val="0"/>
      <w:marTop w:val="0"/>
      <w:marBottom w:val="0"/>
      <w:divBdr>
        <w:top w:val="none" w:sz="0" w:space="0" w:color="auto"/>
        <w:left w:val="none" w:sz="0" w:space="0" w:color="auto"/>
        <w:bottom w:val="none" w:sz="0" w:space="0" w:color="auto"/>
        <w:right w:val="none" w:sz="0" w:space="0" w:color="auto"/>
      </w:divBdr>
      <w:divsChild>
        <w:div w:id="1137264391">
          <w:marLeft w:val="0"/>
          <w:marRight w:val="0"/>
          <w:marTop w:val="0"/>
          <w:marBottom w:val="0"/>
          <w:divBdr>
            <w:top w:val="none" w:sz="0" w:space="0" w:color="auto"/>
            <w:left w:val="none" w:sz="0" w:space="0" w:color="auto"/>
            <w:bottom w:val="none" w:sz="0" w:space="0" w:color="auto"/>
            <w:right w:val="none" w:sz="0" w:space="0" w:color="auto"/>
          </w:divBdr>
          <w:divsChild>
            <w:div w:id="1720325370">
              <w:marLeft w:val="0"/>
              <w:marRight w:val="0"/>
              <w:marTop w:val="0"/>
              <w:marBottom w:val="0"/>
              <w:divBdr>
                <w:top w:val="none" w:sz="0" w:space="0" w:color="auto"/>
                <w:left w:val="none" w:sz="0" w:space="0" w:color="auto"/>
                <w:bottom w:val="none" w:sz="0" w:space="0" w:color="auto"/>
                <w:right w:val="none" w:sz="0" w:space="0" w:color="auto"/>
              </w:divBdr>
              <w:divsChild>
                <w:div w:id="900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3423">
      <w:bodyDiv w:val="1"/>
      <w:marLeft w:val="0"/>
      <w:marRight w:val="0"/>
      <w:marTop w:val="0"/>
      <w:marBottom w:val="0"/>
      <w:divBdr>
        <w:top w:val="none" w:sz="0" w:space="0" w:color="auto"/>
        <w:left w:val="none" w:sz="0" w:space="0" w:color="auto"/>
        <w:bottom w:val="none" w:sz="0" w:space="0" w:color="auto"/>
        <w:right w:val="none" w:sz="0" w:space="0" w:color="auto"/>
      </w:divBdr>
      <w:divsChild>
        <w:div w:id="1737783320">
          <w:marLeft w:val="0"/>
          <w:marRight w:val="0"/>
          <w:marTop w:val="0"/>
          <w:marBottom w:val="0"/>
          <w:divBdr>
            <w:top w:val="none" w:sz="0" w:space="0" w:color="auto"/>
            <w:left w:val="none" w:sz="0" w:space="0" w:color="auto"/>
            <w:bottom w:val="none" w:sz="0" w:space="0" w:color="auto"/>
            <w:right w:val="none" w:sz="0" w:space="0" w:color="auto"/>
          </w:divBdr>
          <w:divsChild>
            <w:div w:id="402066285">
              <w:marLeft w:val="0"/>
              <w:marRight w:val="0"/>
              <w:marTop w:val="0"/>
              <w:marBottom w:val="0"/>
              <w:divBdr>
                <w:top w:val="none" w:sz="0" w:space="0" w:color="auto"/>
                <w:left w:val="none" w:sz="0" w:space="0" w:color="auto"/>
                <w:bottom w:val="none" w:sz="0" w:space="0" w:color="auto"/>
                <w:right w:val="none" w:sz="0" w:space="0" w:color="auto"/>
              </w:divBdr>
              <w:divsChild>
                <w:div w:id="6011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07862">
      <w:bodyDiv w:val="1"/>
      <w:marLeft w:val="0"/>
      <w:marRight w:val="0"/>
      <w:marTop w:val="0"/>
      <w:marBottom w:val="0"/>
      <w:divBdr>
        <w:top w:val="none" w:sz="0" w:space="0" w:color="auto"/>
        <w:left w:val="none" w:sz="0" w:space="0" w:color="auto"/>
        <w:bottom w:val="none" w:sz="0" w:space="0" w:color="auto"/>
        <w:right w:val="none" w:sz="0" w:space="0" w:color="auto"/>
      </w:divBdr>
    </w:div>
    <w:div w:id="1751735029">
      <w:bodyDiv w:val="1"/>
      <w:marLeft w:val="0"/>
      <w:marRight w:val="0"/>
      <w:marTop w:val="0"/>
      <w:marBottom w:val="0"/>
      <w:divBdr>
        <w:top w:val="none" w:sz="0" w:space="0" w:color="auto"/>
        <w:left w:val="none" w:sz="0" w:space="0" w:color="auto"/>
        <w:bottom w:val="none" w:sz="0" w:space="0" w:color="auto"/>
        <w:right w:val="none" w:sz="0" w:space="0" w:color="auto"/>
      </w:divBdr>
      <w:divsChild>
        <w:div w:id="186063119">
          <w:marLeft w:val="0"/>
          <w:marRight w:val="0"/>
          <w:marTop w:val="0"/>
          <w:marBottom w:val="0"/>
          <w:divBdr>
            <w:top w:val="none" w:sz="0" w:space="0" w:color="auto"/>
            <w:left w:val="none" w:sz="0" w:space="0" w:color="auto"/>
            <w:bottom w:val="none" w:sz="0" w:space="0" w:color="auto"/>
            <w:right w:val="none" w:sz="0" w:space="0" w:color="auto"/>
          </w:divBdr>
          <w:divsChild>
            <w:div w:id="2097238939">
              <w:marLeft w:val="0"/>
              <w:marRight w:val="0"/>
              <w:marTop w:val="0"/>
              <w:marBottom w:val="0"/>
              <w:divBdr>
                <w:top w:val="none" w:sz="0" w:space="0" w:color="auto"/>
                <w:left w:val="none" w:sz="0" w:space="0" w:color="auto"/>
                <w:bottom w:val="none" w:sz="0" w:space="0" w:color="auto"/>
                <w:right w:val="none" w:sz="0" w:space="0" w:color="auto"/>
              </w:divBdr>
              <w:divsChild>
                <w:div w:id="310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00241">
      <w:bodyDiv w:val="1"/>
      <w:marLeft w:val="0"/>
      <w:marRight w:val="0"/>
      <w:marTop w:val="0"/>
      <w:marBottom w:val="0"/>
      <w:divBdr>
        <w:top w:val="none" w:sz="0" w:space="0" w:color="auto"/>
        <w:left w:val="none" w:sz="0" w:space="0" w:color="auto"/>
        <w:bottom w:val="none" w:sz="0" w:space="0" w:color="auto"/>
        <w:right w:val="none" w:sz="0" w:space="0" w:color="auto"/>
      </w:divBdr>
      <w:divsChild>
        <w:div w:id="1118645060">
          <w:marLeft w:val="0"/>
          <w:marRight w:val="0"/>
          <w:marTop w:val="0"/>
          <w:marBottom w:val="0"/>
          <w:divBdr>
            <w:top w:val="none" w:sz="0" w:space="0" w:color="auto"/>
            <w:left w:val="none" w:sz="0" w:space="0" w:color="auto"/>
            <w:bottom w:val="none" w:sz="0" w:space="0" w:color="auto"/>
            <w:right w:val="none" w:sz="0" w:space="0" w:color="auto"/>
          </w:divBdr>
          <w:divsChild>
            <w:div w:id="274989928">
              <w:marLeft w:val="0"/>
              <w:marRight w:val="0"/>
              <w:marTop w:val="0"/>
              <w:marBottom w:val="0"/>
              <w:divBdr>
                <w:top w:val="none" w:sz="0" w:space="0" w:color="auto"/>
                <w:left w:val="none" w:sz="0" w:space="0" w:color="auto"/>
                <w:bottom w:val="none" w:sz="0" w:space="0" w:color="auto"/>
                <w:right w:val="none" w:sz="0" w:space="0" w:color="auto"/>
              </w:divBdr>
              <w:divsChild>
                <w:div w:id="1488206482">
                  <w:marLeft w:val="0"/>
                  <w:marRight w:val="0"/>
                  <w:marTop w:val="0"/>
                  <w:marBottom w:val="0"/>
                  <w:divBdr>
                    <w:top w:val="none" w:sz="0" w:space="0" w:color="auto"/>
                    <w:left w:val="none" w:sz="0" w:space="0" w:color="auto"/>
                    <w:bottom w:val="none" w:sz="0" w:space="0" w:color="auto"/>
                    <w:right w:val="none" w:sz="0" w:space="0" w:color="auto"/>
                  </w:divBdr>
                  <w:divsChild>
                    <w:div w:id="11825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247595">
      <w:bodyDiv w:val="1"/>
      <w:marLeft w:val="0"/>
      <w:marRight w:val="0"/>
      <w:marTop w:val="0"/>
      <w:marBottom w:val="0"/>
      <w:divBdr>
        <w:top w:val="none" w:sz="0" w:space="0" w:color="auto"/>
        <w:left w:val="none" w:sz="0" w:space="0" w:color="auto"/>
        <w:bottom w:val="none" w:sz="0" w:space="0" w:color="auto"/>
        <w:right w:val="none" w:sz="0" w:space="0" w:color="auto"/>
      </w:divBdr>
      <w:divsChild>
        <w:div w:id="635378896">
          <w:marLeft w:val="0"/>
          <w:marRight w:val="0"/>
          <w:marTop w:val="0"/>
          <w:marBottom w:val="0"/>
          <w:divBdr>
            <w:top w:val="none" w:sz="0" w:space="0" w:color="auto"/>
            <w:left w:val="none" w:sz="0" w:space="0" w:color="auto"/>
            <w:bottom w:val="none" w:sz="0" w:space="0" w:color="auto"/>
            <w:right w:val="none" w:sz="0" w:space="0" w:color="auto"/>
          </w:divBdr>
          <w:divsChild>
            <w:div w:id="455173295">
              <w:marLeft w:val="0"/>
              <w:marRight w:val="0"/>
              <w:marTop w:val="0"/>
              <w:marBottom w:val="0"/>
              <w:divBdr>
                <w:top w:val="none" w:sz="0" w:space="0" w:color="auto"/>
                <w:left w:val="none" w:sz="0" w:space="0" w:color="auto"/>
                <w:bottom w:val="none" w:sz="0" w:space="0" w:color="auto"/>
                <w:right w:val="none" w:sz="0" w:space="0" w:color="auto"/>
              </w:divBdr>
              <w:divsChild>
                <w:div w:id="69086302">
                  <w:marLeft w:val="0"/>
                  <w:marRight w:val="0"/>
                  <w:marTop w:val="0"/>
                  <w:marBottom w:val="0"/>
                  <w:divBdr>
                    <w:top w:val="none" w:sz="0" w:space="0" w:color="auto"/>
                    <w:left w:val="none" w:sz="0" w:space="0" w:color="auto"/>
                    <w:bottom w:val="none" w:sz="0" w:space="0" w:color="auto"/>
                    <w:right w:val="none" w:sz="0" w:space="0" w:color="auto"/>
                  </w:divBdr>
                  <w:divsChild>
                    <w:div w:id="5850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455451">
      <w:bodyDiv w:val="1"/>
      <w:marLeft w:val="0"/>
      <w:marRight w:val="0"/>
      <w:marTop w:val="0"/>
      <w:marBottom w:val="0"/>
      <w:divBdr>
        <w:top w:val="none" w:sz="0" w:space="0" w:color="auto"/>
        <w:left w:val="none" w:sz="0" w:space="0" w:color="auto"/>
        <w:bottom w:val="none" w:sz="0" w:space="0" w:color="auto"/>
        <w:right w:val="none" w:sz="0" w:space="0" w:color="auto"/>
      </w:divBdr>
      <w:divsChild>
        <w:div w:id="1952131921">
          <w:marLeft w:val="0"/>
          <w:marRight w:val="0"/>
          <w:marTop w:val="0"/>
          <w:marBottom w:val="0"/>
          <w:divBdr>
            <w:top w:val="none" w:sz="0" w:space="0" w:color="auto"/>
            <w:left w:val="none" w:sz="0" w:space="0" w:color="auto"/>
            <w:bottom w:val="none" w:sz="0" w:space="0" w:color="auto"/>
            <w:right w:val="none" w:sz="0" w:space="0" w:color="auto"/>
          </w:divBdr>
          <w:divsChild>
            <w:div w:id="811993095">
              <w:marLeft w:val="0"/>
              <w:marRight w:val="0"/>
              <w:marTop w:val="0"/>
              <w:marBottom w:val="0"/>
              <w:divBdr>
                <w:top w:val="none" w:sz="0" w:space="0" w:color="auto"/>
                <w:left w:val="none" w:sz="0" w:space="0" w:color="auto"/>
                <w:bottom w:val="none" w:sz="0" w:space="0" w:color="auto"/>
                <w:right w:val="none" w:sz="0" w:space="0" w:color="auto"/>
              </w:divBdr>
              <w:divsChild>
                <w:div w:id="759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1366">
      <w:bodyDiv w:val="1"/>
      <w:marLeft w:val="0"/>
      <w:marRight w:val="0"/>
      <w:marTop w:val="0"/>
      <w:marBottom w:val="0"/>
      <w:divBdr>
        <w:top w:val="none" w:sz="0" w:space="0" w:color="auto"/>
        <w:left w:val="none" w:sz="0" w:space="0" w:color="auto"/>
        <w:bottom w:val="none" w:sz="0" w:space="0" w:color="auto"/>
        <w:right w:val="none" w:sz="0" w:space="0" w:color="auto"/>
      </w:divBdr>
    </w:div>
    <w:div w:id="1796218217">
      <w:bodyDiv w:val="1"/>
      <w:marLeft w:val="0"/>
      <w:marRight w:val="0"/>
      <w:marTop w:val="0"/>
      <w:marBottom w:val="0"/>
      <w:divBdr>
        <w:top w:val="none" w:sz="0" w:space="0" w:color="auto"/>
        <w:left w:val="none" w:sz="0" w:space="0" w:color="auto"/>
        <w:bottom w:val="none" w:sz="0" w:space="0" w:color="auto"/>
        <w:right w:val="none" w:sz="0" w:space="0" w:color="auto"/>
      </w:divBdr>
      <w:divsChild>
        <w:div w:id="711882249">
          <w:marLeft w:val="0"/>
          <w:marRight w:val="0"/>
          <w:marTop w:val="0"/>
          <w:marBottom w:val="0"/>
          <w:divBdr>
            <w:top w:val="none" w:sz="0" w:space="0" w:color="auto"/>
            <w:left w:val="none" w:sz="0" w:space="0" w:color="auto"/>
            <w:bottom w:val="none" w:sz="0" w:space="0" w:color="auto"/>
            <w:right w:val="none" w:sz="0" w:space="0" w:color="auto"/>
          </w:divBdr>
          <w:divsChild>
            <w:div w:id="498926797">
              <w:marLeft w:val="0"/>
              <w:marRight w:val="0"/>
              <w:marTop w:val="0"/>
              <w:marBottom w:val="0"/>
              <w:divBdr>
                <w:top w:val="none" w:sz="0" w:space="0" w:color="auto"/>
                <w:left w:val="none" w:sz="0" w:space="0" w:color="auto"/>
                <w:bottom w:val="none" w:sz="0" w:space="0" w:color="auto"/>
                <w:right w:val="none" w:sz="0" w:space="0" w:color="auto"/>
              </w:divBdr>
              <w:divsChild>
                <w:div w:id="1633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7366">
      <w:bodyDiv w:val="1"/>
      <w:marLeft w:val="0"/>
      <w:marRight w:val="0"/>
      <w:marTop w:val="0"/>
      <w:marBottom w:val="0"/>
      <w:divBdr>
        <w:top w:val="none" w:sz="0" w:space="0" w:color="auto"/>
        <w:left w:val="none" w:sz="0" w:space="0" w:color="auto"/>
        <w:bottom w:val="none" w:sz="0" w:space="0" w:color="auto"/>
        <w:right w:val="none" w:sz="0" w:space="0" w:color="auto"/>
      </w:divBdr>
    </w:div>
    <w:div w:id="1797332777">
      <w:bodyDiv w:val="1"/>
      <w:marLeft w:val="0"/>
      <w:marRight w:val="0"/>
      <w:marTop w:val="0"/>
      <w:marBottom w:val="0"/>
      <w:divBdr>
        <w:top w:val="none" w:sz="0" w:space="0" w:color="auto"/>
        <w:left w:val="none" w:sz="0" w:space="0" w:color="auto"/>
        <w:bottom w:val="none" w:sz="0" w:space="0" w:color="auto"/>
        <w:right w:val="none" w:sz="0" w:space="0" w:color="auto"/>
      </w:divBdr>
      <w:divsChild>
        <w:div w:id="599026671">
          <w:marLeft w:val="0"/>
          <w:marRight w:val="0"/>
          <w:marTop w:val="0"/>
          <w:marBottom w:val="0"/>
          <w:divBdr>
            <w:top w:val="none" w:sz="0" w:space="0" w:color="auto"/>
            <w:left w:val="none" w:sz="0" w:space="0" w:color="auto"/>
            <w:bottom w:val="none" w:sz="0" w:space="0" w:color="auto"/>
            <w:right w:val="none" w:sz="0" w:space="0" w:color="auto"/>
          </w:divBdr>
          <w:divsChild>
            <w:div w:id="1656301785">
              <w:marLeft w:val="0"/>
              <w:marRight w:val="0"/>
              <w:marTop w:val="0"/>
              <w:marBottom w:val="0"/>
              <w:divBdr>
                <w:top w:val="none" w:sz="0" w:space="0" w:color="auto"/>
                <w:left w:val="none" w:sz="0" w:space="0" w:color="auto"/>
                <w:bottom w:val="none" w:sz="0" w:space="0" w:color="auto"/>
                <w:right w:val="none" w:sz="0" w:space="0" w:color="auto"/>
              </w:divBdr>
              <w:divsChild>
                <w:div w:id="52509185">
                  <w:marLeft w:val="0"/>
                  <w:marRight w:val="0"/>
                  <w:marTop w:val="0"/>
                  <w:marBottom w:val="0"/>
                  <w:divBdr>
                    <w:top w:val="none" w:sz="0" w:space="0" w:color="auto"/>
                    <w:left w:val="none" w:sz="0" w:space="0" w:color="auto"/>
                    <w:bottom w:val="none" w:sz="0" w:space="0" w:color="auto"/>
                    <w:right w:val="none" w:sz="0" w:space="0" w:color="auto"/>
                  </w:divBdr>
                  <w:divsChild>
                    <w:div w:id="18756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069136">
      <w:bodyDiv w:val="1"/>
      <w:marLeft w:val="0"/>
      <w:marRight w:val="0"/>
      <w:marTop w:val="0"/>
      <w:marBottom w:val="0"/>
      <w:divBdr>
        <w:top w:val="none" w:sz="0" w:space="0" w:color="auto"/>
        <w:left w:val="none" w:sz="0" w:space="0" w:color="auto"/>
        <w:bottom w:val="none" w:sz="0" w:space="0" w:color="auto"/>
        <w:right w:val="none" w:sz="0" w:space="0" w:color="auto"/>
      </w:divBdr>
      <w:divsChild>
        <w:div w:id="440149704">
          <w:marLeft w:val="0"/>
          <w:marRight w:val="0"/>
          <w:marTop w:val="0"/>
          <w:marBottom w:val="0"/>
          <w:divBdr>
            <w:top w:val="none" w:sz="0" w:space="0" w:color="auto"/>
            <w:left w:val="none" w:sz="0" w:space="0" w:color="auto"/>
            <w:bottom w:val="none" w:sz="0" w:space="0" w:color="auto"/>
            <w:right w:val="none" w:sz="0" w:space="0" w:color="auto"/>
          </w:divBdr>
          <w:divsChild>
            <w:div w:id="534000664">
              <w:marLeft w:val="0"/>
              <w:marRight w:val="0"/>
              <w:marTop w:val="0"/>
              <w:marBottom w:val="0"/>
              <w:divBdr>
                <w:top w:val="none" w:sz="0" w:space="0" w:color="auto"/>
                <w:left w:val="none" w:sz="0" w:space="0" w:color="auto"/>
                <w:bottom w:val="none" w:sz="0" w:space="0" w:color="auto"/>
                <w:right w:val="none" w:sz="0" w:space="0" w:color="auto"/>
              </w:divBdr>
              <w:divsChild>
                <w:div w:id="119997041">
                  <w:marLeft w:val="0"/>
                  <w:marRight w:val="0"/>
                  <w:marTop w:val="0"/>
                  <w:marBottom w:val="0"/>
                  <w:divBdr>
                    <w:top w:val="none" w:sz="0" w:space="0" w:color="auto"/>
                    <w:left w:val="none" w:sz="0" w:space="0" w:color="auto"/>
                    <w:bottom w:val="none" w:sz="0" w:space="0" w:color="auto"/>
                    <w:right w:val="none" w:sz="0" w:space="0" w:color="auto"/>
                  </w:divBdr>
                  <w:divsChild>
                    <w:div w:id="17359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27522">
      <w:bodyDiv w:val="1"/>
      <w:marLeft w:val="0"/>
      <w:marRight w:val="0"/>
      <w:marTop w:val="0"/>
      <w:marBottom w:val="0"/>
      <w:divBdr>
        <w:top w:val="none" w:sz="0" w:space="0" w:color="auto"/>
        <w:left w:val="none" w:sz="0" w:space="0" w:color="auto"/>
        <w:bottom w:val="none" w:sz="0" w:space="0" w:color="auto"/>
        <w:right w:val="none" w:sz="0" w:space="0" w:color="auto"/>
      </w:divBdr>
    </w:div>
    <w:div w:id="1804957560">
      <w:bodyDiv w:val="1"/>
      <w:marLeft w:val="0"/>
      <w:marRight w:val="0"/>
      <w:marTop w:val="0"/>
      <w:marBottom w:val="0"/>
      <w:divBdr>
        <w:top w:val="none" w:sz="0" w:space="0" w:color="auto"/>
        <w:left w:val="none" w:sz="0" w:space="0" w:color="auto"/>
        <w:bottom w:val="none" w:sz="0" w:space="0" w:color="auto"/>
        <w:right w:val="none" w:sz="0" w:space="0" w:color="auto"/>
      </w:divBdr>
      <w:divsChild>
        <w:div w:id="2114399228">
          <w:marLeft w:val="0"/>
          <w:marRight w:val="0"/>
          <w:marTop w:val="0"/>
          <w:marBottom w:val="0"/>
          <w:divBdr>
            <w:top w:val="none" w:sz="0" w:space="0" w:color="auto"/>
            <w:left w:val="none" w:sz="0" w:space="0" w:color="auto"/>
            <w:bottom w:val="none" w:sz="0" w:space="0" w:color="auto"/>
            <w:right w:val="none" w:sz="0" w:space="0" w:color="auto"/>
          </w:divBdr>
          <w:divsChild>
            <w:div w:id="272982106">
              <w:marLeft w:val="0"/>
              <w:marRight w:val="0"/>
              <w:marTop w:val="0"/>
              <w:marBottom w:val="0"/>
              <w:divBdr>
                <w:top w:val="none" w:sz="0" w:space="0" w:color="auto"/>
                <w:left w:val="none" w:sz="0" w:space="0" w:color="auto"/>
                <w:bottom w:val="none" w:sz="0" w:space="0" w:color="auto"/>
                <w:right w:val="none" w:sz="0" w:space="0" w:color="auto"/>
              </w:divBdr>
              <w:divsChild>
                <w:div w:id="7192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5603">
      <w:bodyDiv w:val="1"/>
      <w:marLeft w:val="0"/>
      <w:marRight w:val="0"/>
      <w:marTop w:val="0"/>
      <w:marBottom w:val="0"/>
      <w:divBdr>
        <w:top w:val="none" w:sz="0" w:space="0" w:color="auto"/>
        <w:left w:val="none" w:sz="0" w:space="0" w:color="auto"/>
        <w:bottom w:val="none" w:sz="0" w:space="0" w:color="auto"/>
        <w:right w:val="none" w:sz="0" w:space="0" w:color="auto"/>
      </w:divBdr>
    </w:div>
    <w:div w:id="1824735959">
      <w:bodyDiv w:val="1"/>
      <w:marLeft w:val="0"/>
      <w:marRight w:val="0"/>
      <w:marTop w:val="0"/>
      <w:marBottom w:val="0"/>
      <w:divBdr>
        <w:top w:val="none" w:sz="0" w:space="0" w:color="auto"/>
        <w:left w:val="none" w:sz="0" w:space="0" w:color="auto"/>
        <w:bottom w:val="none" w:sz="0" w:space="0" w:color="auto"/>
        <w:right w:val="none" w:sz="0" w:space="0" w:color="auto"/>
      </w:divBdr>
    </w:div>
    <w:div w:id="1827280782">
      <w:bodyDiv w:val="1"/>
      <w:marLeft w:val="0"/>
      <w:marRight w:val="0"/>
      <w:marTop w:val="0"/>
      <w:marBottom w:val="0"/>
      <w:divBdr>
        <w:top w:val="none" w:sz="0" w:space="0" w:color="auto"/>
        <w:left w:val="none" w:sz="0" w:space="0" w:color="auto"/>
        <w:bottom w:val="none" w:sz="0" w:space="0" w:color="auto"/>
        <w:right w:val="none" w:sz="0" w:space="0" w:color="auto"/>
      </w:divBdr>
    </w:div>
    <w:div w:id="1827548147">
      <w:bodyDiv w:val="1"/>
      <w:marLeft w:val="0"/>
      <w:marRight w:val="0"/>
      <w:marTop w:val="0"/>
      <w:marBottom w:val="0"/>
      <w:divBdr>
        <w:top w:val="none" w:sz="0" w:space="0" w:color="auto"/>
        <w:left w:val="none" w:sz="0" w:space="0" w:color="auto"/>
        <w:bottom w:val="none" w:sz="0" w:space="0" w:color="auto"/>
        <w:right w:val="none" w:sz="0" w:space="0" w:color="auto"/>
      </w:divBdr>
    </w:div>
    <w:div w:id="1829788506">
      <w:bodyDiv w:val="1"/>
      <w:marLeft w:val="0"/>
      <w:marRight w:val="0"/>
      <w:marTop w:val="0"/>
      <w:marBottom w:val="0"/>
      <w:divBdr>
        <w:top w:val="none" w:sz="0" w:space="0" w:color="auto"/>
        <w:left w:val="none" w:sz="0" w:space="0" w:color="auto"/>
        <w:bottom w:val="none" w:sz="0" w:space="0" w:color="auto"/>
        <w:right w:val="none" w:sz="0" w:space="0" w:color="auto"/>
      </w:divBdr>
      <w:divsChild>
        <w:div w:id="195892475">
          <w:marLeft w:val="0"/>
          <w:marRight w:val="0"/>
          <w:marTop w:val="0"/>
          <w:marBottom w:val="0"/>
          <w:divBdr>
            <w:top w:val="none" w:sz="0" w:space="0" w:color="auto"/>
            <w:left w:val="none" w:sz="0" w:space="0" w:color="auto"/>
            <w:bottom w:val="none" w:sz="0" w:space="0" w:color="auto"/>
            <w:right w:val="none" w:sz="0" w:space="0" w:color="auto"/>
          </w:divBdr>
          <w:divsChild>
            <w:div w:id="2054570993">
              <w:marLeft w:val="0"/>
              <w:marRight w:val="0"/>
              <w:marTop w:val="0"/>
              <w:marBottom w:val="0"/>
              <w:divBdr>
                <w:top w:val="none" w:sz="0" w:space="0" w:color="auto"/>
                <w:left w:val="none" w:sz="0" w:space="0" w:color="auto"/>
                <w:bottom w:val="none" w:sz="0" w:space="0" w:color="auto"/>
                <w:right w:val="none" w:sz="0" w:space="0" w:color="auto"/>
              </w:divBdr>
              <w:divsChild>
                <w:div w:id="2326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90975">
      <w:bodyDiv w:val="1"/>
      <w:marLeft w:val="0"/>
      <w:marRight w:val="0"/>
      <w:marTop w:val="0"/>
      <w:marBottom w:val="0"/>
      <w:divBdr>
        <w:top w:val="none" w:sz="0" w:space="0" w:color="auto"/>
        <w:left w:val="none" w:sz="0" w:space="0" w:color="auto"/>
        <w:bottom w:val="none" w:sz="0" w:space="0" w:color="auto"/>
        <w:right w:val="none" w:sz="0" w:space="0" w:color="auto"/>
      </w:divBdr>
      <w:divsChild>
        <w:div w:id="770126154">
          <w:marLeft w:val="0"/>
          <w:marRight w:val="0"/>
          <w:marTop w:val="0"/>
          <w:marBottom w:val="0"/>
          <w:divBdr>
            <w:top w:val="none" w:sz="0" w:space="0" w:color="auto"/>
            <w:left w:val="none" w:sz="0" w:space="0" w:color="auto"/>
            <w:bottom w:val="none" w:sz="0" w:space="0" w:color="auto"/>
            <w:right w:val="none" w:sz="0" w:space="0" w:color="auto"/>
          </w:divBdr>
          <w:divsChild>
            <w:div w:id="295450779">
              <w:marLeft w:val="0"/>
              <w:marRight w:val="0"/>
              <w:marTop w:val="0"/>
              <w:marBottom w:val="0"/>
              <w:divBdr>
                <w:top w:val="none" w:sz="0" w:space="0" w:color="auto"/>
                <w:left w:val="none" w:sz="0" w:space="0" w:color="auto"/>
                <w:bottom w:val="none" w:sz="0" w:space="0" w:color="auto"/>
                <w:right w:val="none" w:sz="0" w:space="0" w:color="auto"/>
              </w:divBdr>
              <w:divsChild>
                <w:div w:id="2032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48201">
      <w:bodyDiv w:val="1"/>
      <w:marLeft w:val="0"/>
      <w:marRight w:val="0"/>
      <w:marTop w:val="0"/>
      <w:marBottom w:val="0"/>
      <w:divBdr>
        <w:top w:val="none" w:sz="0" w:space="0" w:color="auto"/>
        <w:left w:val="none" w:sz="0" w:space="0" w:color="auto"/>
        <w:bottom w:val="none" w:sz="0" w:space="0" w:color="auto"/>
        <w:right w:val="none" w:sz="0" w:space="0" w:color="auto"/>
      </w:divBdr>
      <w:divsChild>
        <w:div w:id="732896274">
          <w:marLeft w:val="0"/>
          <w:marRight w:val="0"/>
          <w:marTop w:val="0"/>
          <w:marBottom w:val="0"/>
          <w:divBdr>
            <w:top w:val="none" w:sz="0" w:space="0" w:color="auto"/>
            <w:left w:val="none" w:sz="0" w:space="0" w:color="auto"/>
            <w:bottom w:val="none" w:sz="0" w:space="0" w:color="auto"/>
            <w:right w:val="none" w:sz="0" w:space="0" w:color="auto"/>
          </w:divBdr>
          <w:divsChild>
            <w:div w:id="1558973318">
              <w:marLeft w:val="0"/>
              <w:marRight w:val="0"/>
              <w:marTop w:val="0"/>
              <w:marBottom w:val="0"/>
              <w:divBdr>
                <w:top w:val="none" w:sz="0" w:space="0" w:color="auto"/>
                <w:left w:val="none" w:sz="0" w:space="0" w:color="auto"/>
                <w:bottom w:val="none" w:sz="0" w:space="0" w:color="auto"/>
                <w:right w:val="none" w:sz="0" w:space="0" w:color="auto"/>
              </w:divBdr>
              <w:divsChild>
                <w:div w:id="11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62862">
      <w:bodyDiv w:val="1"/>
      <w:marLeft w:val="0"/>
      <w:marRight w:val="0"/>
      <w:marTop w:val="0"/>
      <w:marBottom w:val="0"/>
      <w:divBdr>
        <w:top w:val="none" w:sz="0" w:space="0" w:color="auto"/>
        <w:left w:val="none" w:sz="0" w:space="0" w:color="auto"/>
        <w:bottom w:val="none" w:sz="0" w:space="0" w:color="auto"/>
        <w:right w:val="none" w:sz="0" w:space="0" w:color="auto"/>
      </w:divBdr>
    </w:div>
    <w:div w:id="1849441044">
      <w:bodyDiv w:val="1"/>
      <w:marLeft w:val="0"/>
      <w:marRight w:val="0"/>
      <w:marTop w:val="0"/>
      <w:marBottom w:val="0"/>
      <w:divBdr>
        <w:top w:val="none" w:sz="0" w:space="0" w:color="auto"/>
        <w:left w:val="none" w:sz="0" w:space="0" w:color="auto"/>
        <w:bottom w:val="none" w:sz="0" w:space="0" w:color="auto"/>
        <w:right w:val="none" w:sz="0" w:space="0" w:color="auto"/>
      </w:divBdr>
      <w:divsChild>
        <w:div w:id="964501836">
          <w:marLeft w:val="0"/>
          <w:marRight w:val="0"/>
          <w:marTop w:val="0"/>
          <w:marBottom w:val="0"/>
          <w:divBdr>
            <w:top w:val="none" w:sz="0" w:space="0" w:color="auto"/>
            <w:left w:val="none" w:sz="0" w:space="0" w:color="auto"/>
            <w:bottom w:val="none" w:sz="0" w:space="0" w:color="auto"/>
            <w:right w:val="none" w:sz="0" w:space="0" w:color="auto"/>
          </w:divBdr>
          <w:divsChild>
            <w:div w:id="259602240">
              <w:marLeft w:val="0"/>
              <w:marRight w:val="0"/>
              <w:marTop w:val="0"/>
              <w:marBottom w:val="0"/>
              <w:divBdr>
                <w:top w:val="none" w:sz="0" w:space="0" w:color="auto"/>
                <w:left w:val="none" w:sz="0" w:space="0" w:color="auto"/>
                <w:bottom w:val="none" w:sz="0" w:space="0" w:color="auto"/>
                <w:right w:val="none" w:sz="0" w:space="0" w:color="auto"/>
              </w:divBdr>
              <w:divsChild>
                <w:div w:id="21211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6297">
      <w:bodyDiv w:val="1"/>
      <w:marLeft w:val="0"/>
      <w:marRight w:val="0"/>
      <w:marTop w:val="0"/>
      <w:marBottom w:val="0"/>
      <w:divBdr>
        <w:top w:val="none" w:sz="0" w:space="0" w:color="auto"/>
        <w:left w:val="none" w:sz="0" w:space="0" w:color="auto"/>
        <w:bottom w:val="none" w:sz="0" w:space="0" w:color="auto"/>
        <w:right w:val="none" w:sz="0" w:space="0" w:color="auto"/>
      </w:divBdr>
      <w:divsChild>
        <w:div w:id="600798105">
          <w:marLeft w:val="0"/>
          <w:marRight w:val="0"/>
          <w:marTop w:val="0"/>
          <w:marBottom w:val="0"/>
          <w:divBdr>
            <w:top w:val="none" w:sz="0" w:space="0" w:color="auto"/>
            <w:left w:val="none" w:sz="0" w:space="0" w:color="auto"/>
            <w:bottom w:val="none" w:sz="0" w:space="0" w:color="auto"/>
            <w:right w:val="none" w:sz="0" w:space="0" w:color="auto"/>
          </w:divBdr>
          <w:divsChild>
            <w:div w:id="1159346761">
              <w:marLeft w:val="0"/>
              <w:marRight w:val="0"/>
              <w:marTop w:val="0"/>
              <w:marBottom w:val="0"/>
              <w:divBdr>
                <w:top w:val="none" w:sz="0" w:space="0" w:color="auto"/>
                <w:left w:val="none" w:sz="0" w:space="0" w:color="auto"/>
                <w:bottom w:val="none" w:sz="0" w:space="0" w:color="auto"/>
                <w:right w:val="none" w:sz="0" w:space="0" w:color="auto"/>
              </w:divBdr>
              <w:divsChild>
                <w:div w:id="1769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7082">
      <w:bodyDiv w:val="1"/>
      <w:marLeft w:val="0"/>
      <w:marRight w:val="0"/>
      <w:marTop w:val="0"/>
      <w:marBottom w:val="0"/>
      <w:divBdr>
        <w:top w:val="none" w:sz="0" w:space="0" w:color="auto"/>
        <w:left w:val="none" w:sz="0" w:space="0" w:color="auto"/>
        <w:bottom w:val="none" w:sz="0" w:space="0" w:color="auto"/>
        <w:right w:val="none" w:sz="0" w:space="0" w:color="auto"/>
      </w:divBdr>
    </w:div>
    <w:div w:id="1857382223">
      <w:bodyDiv w:val="1"/>
      <w:marLeft w:val="0"/>
      <w:marRight w:val="0"/>
      <w:marTop w:val="0"/>
      <w:marBottom w:val="0"/>
      <w:divBdr>
        <w:top w:val="none" w:sz="0" w:space="0" w:color="auto"/>
        <w:left w:val="none" w:sz="0" w:space="0" w:color="auto"/>
        <w:bottom w:val="none" w:sz="0" w:space="0" w:color="auto"/>
        <w:right w:val="none" w:sz="0" w:space="0" w:color="auto"/>
      </w:divBdr>
    </w:div>
    <w:div w:id="1859464916">
      <w:bodyDiv w:val="1"/>
      <w:marLeft w:val="0"/>
      <w:marRight w:val="0"/>
      <w:marTop w:val="0"/>
      <w:marBottom w:val="0"/>
      <w:divBdr>
        <w:top w:val="none" w:sz="0" w:space="0" w:color="auto"/>
        <w:left w:val="none" w:sz="0" w:space="0" w:color="auto"/>
        <w:bottom w:val="none" w:sz="0" w:space="0" w:color="auto"/>
        <w:right w:val="none" w:sz="0" w:space="0" w:color="auto"/>
      </w:divBdr>
      <w:divsChild>
        <w:div w:id="2129883674">
          <w:marLeft w:val="0"/>
          <w:marRight w:val="0"/>
          <w:marTop w:val="0"/>
          <w:marBottom w:val="0"/>
          <w:divBdr>
            <w:top w:val="none" w:sz="0" w:space="0" w:color="auto"/>
            <w:left w:val="none" w:sz="0" w:space="0" w:color="auto"/>
            <w:bottom w:val="none" w:sz="0" w:space="0" w:color="auto"/>
            <w:right w:val="none" w:sz="0" w:space="0" w:color="auto"/>
          </w:divBdr>
          <w:divsChild>
            <w:div w:id="1956709286">
              <w:marLeft w:val="0"/>
              <w:marRight w:val="0"/>
              <w:marTop w:val="0"/>
              <w:marBottom w:val="0"/>
              <w:divBdr>
                <w:top w:val="none" w:sz="0" w:space="0" w:color="auto"/>
                <w:left w:val="none" w:sz="0" w:space="0" w:color="auto"/>
                <w:bottom w:val="none" w:sz="0" w:space="0" w:color="auto"/>
                <w:right w:val="none" w:sz="0" w:space="0" w:color="auto"/>
              </w:divBdr>
              <w:divsChild>
                <w:div w:id="14863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4627">
      <w:bodyDiv w:val="1"/>
      <w:marLeft w:val="0"/>
      <w:marRight w:val="0"/>
      <w:marTop w:val="0"/>
      <w:marBottom w:val="0"/>
      <w:divBdr>
        <w:top w:val="none" w:sz="0" w:space="0" w:color="auto"/>
        <w:left w:val="none" w:sz="0" w:space="0" w:color="auto"/>
        <w:bottom w:val="none" w:sz="0" w:space="0" w:color="auto"/>
        <w:right w:val="none" w:sz="0" w:space="0" w:color="auto"/>
      </w:divBdr>
      <w:divsChild>
        <w:div w:id="1064063939">
          <w:marLeft w:val="0"/>
          <w:marRight w:val="0"/>
          <w:marTop w:val="0"/>
          <w:marBottom w:val="0"/>
          <w:divBdr>
            <w:top w:val="none" w:sz="0" w:space="0" w:color="auto"/>
            <w:left w:val="none" w:sz="0" w:space="0" w:color="auto"/>
            <w:bottom w:val="none" w:sz="0" w:space="0" w:color="auto"/>
            <w:right w:val="none" w:sz="0" w:space="0" w:color="auto"/>
          </w:divBdr>
          <w:divsChild>
            <w:div w:id="826046597">
              <w:marLeft w:val="0"/>
              <w:marRight w:val="0"/>
              <w:marTop w:val="0"/>
              <w:marBottom w:val="0"/>
              <w:divBdr>
                <w:top w:val="none" w:sz="0" w:space="0" w:color="auto"/>
                <w:left w:val="none" w:sz="0" w:space="0" w:color="auto"/>
                <w:bottom w:val="none" w:sz="0" w:space="0" w:color="auto"/>
                <w:right w:val="none" w:sz="0" w:space="0" w:color="auto"/>
              </w:divBdr>
              <w:divsChild>
                <w:div w:id="6977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098">
      <w:bodyDiv w:val="1"/>
      <w:marLeft w:val="0"/>
      <w:marRight w:val="0"/>
      <w:marTop w:val="0"/>
      <w:marBottom w:val="0"/>
      <w:divBdr>
        <w:top w:val="none" w:sz="0" w:space="0" w:color="auto"/>
        <w:left w:val="none" w:sz="0" w:space="0" w:color="auto"/>
        <w:bottom w:val="none" w:sz="0" w:space="0" w:color="auto"/>
        <w:right w:val="none" w:sz="0" w:space="0" w:color="auto"/>
      </w:divBdr>
    </w:div>
    <w:div w:id="1871453701">
      <w:bodyDiv w:val="1"/>
      <w:marLeft w:val="0"/>
      <w:marRight w:val="0"/>
      <w:marTop w:val="0"/>
      <w:marBottom w:val="0"/>
      <w:divBdr>
        <w:top w:val="none" w:sz="0" w:space="0" w:color="auto"/>
        <w:left w:val="none" w:sz="0" w:space="0" w:color="auto"/>
        <w:bottom w:val="none" w:sz="0" w:space="0" w:color="auto"/>
        <w:right w:val="none" w:sz="0" w:space="0" w:color="auto"/>
      </w:divBdr>
    </w:div>
    <w:div w:id="1880817991">
      <w:bodyDiv w:val="1"/>
      <w:marLeft w:val="0"/>
      <w:marRight w:val="0"/>
      <w:marTop w:val="0"/>
      <w:marBottom w:val="0"/>
      <w:divBdr>
        <w:top w:val="none" w:sz="0" w:space="0" w:color="auto"/>
        <w:left w:val="none" w:sz="0" w:space="0" w:color="auto"/>
        <w:bottom w:val="none" w:sz="0" w:space="0" w:color="auto"/>
        <w:right w:val="none" w:sz="0" w:space="0" w:color="auto"/>
      </w:divBdr>
      <w:divsChild>
        <w:div w:id="693385299">
          <w:marLeft w:val="0"/>
          <w:marRight w:val="0"/>
          <w:marTop w:val="0"/>
          <w:marBottom w:val="0"/>
          <w:divBdr>
            <w:top w:val="none" w:sz="0" w:space="0" w:color="auto"/>
            <w:left w:val="none" w:sz="0" w:space="0" w:color="auto"/>
            <w:bottom w:val="none" w:sz="0" w:space="0" w:color="auto"/>
            <w:right w:val="none" w:sz="0" w:space="0" w:color="auto"/>
          </w:divBdr>
          <w:divsChild>
            <w:div w:id="602608839">
              <w:marLeft w:val="0"/>
              <w:marRight w:val="0"/>
              <w:marTop w:val="0"/>
              <w:marBottom w:val="0"/>
              <w:divBdr>
                <w:top w:val="none" w:sz="0" w:space="0" w:color="auto"/>
                <w:left w:val="none" w:sz="0" w:space="0" w:color="auto"/>
                <w:bottom w:val="none" w:sz="0" w:space="0" w:color="auto"/>
                <w:right w:val="none" w:sz="0" w:space="0" w:color="auto"/>
              </w:divBdr>
              <w:divsChild>
                <w:div w:id="676344263">
                  <w:marLeft w:val="0"/>
                  <w:marRight w:val="0"/>
                  <w:marTop w:val="0"/>
                  <w:marBottom w:val="0"/>
                  <w:divBdr>
                    <w:top w:val="none" w:sz="0" w:space="0" w:color="auto"/>
                    <w:left w:val="none" w:sz="0" w:space="0" w:color="auto"/>
                    <w:bottom w:val="none" w:sz="0" w:space="0" w:color="auto"/>
                    <w:right w:val="none" w:sz="0" w:space="0" w:color="auto"/>
                  </w:divBdr>
                  <w:divsChild>
                    <w:div w:id="1965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42523">
      <w:bodyDiv w:val="1"/>
      <w:marLeft w:val="0"/>
      <w:marRight w:val="0"/>
      <w:marTop w:val="0"/>
      <w:marBottom w:val="0"/>
      <w:divBdr>
        <w:top w:val="none" w:sz="0" w:space="0" w:color="auto"/>
        <w:left w:val="none" w:sz="0" w:space="0" w:color="auto"/>
        <w:bottom w:val="none" w:sz="0" w:space="0" w:color="auto"/>
        <w:right w:val="none" w:sz="0" w:space="0" w:color="auto"/>
      </w:divBdr>
    </w:div>
    <w:div w:id="1890220967">
      <w:bodyDiv w:val="1"/>
      <w:marLeft w:val="0"/>
      <w:marRight w:val="0"/>
      <w:marTop w:val="0"/>
      <w:marBottom w:val="0"/>
      <w:divBdr>
        <w:top w:val="none" w:sz="0" w:space="0" w:color="auto"/>
        <w:left w:val="none" w:sz="0" w:space="0" w:color="auto"/>
        <w:bottom w:val="none" w:sz="0" w:space="0" w:color="auto"/>
        <w:right w:val="none" w:sz="0" w:space="0" w:color="auto"/>
      </w:divBdr>
      <w:divsChild>
        <w:div w:id="2068068933">
          <w:marLeft w:val="0"/>
          <w:marRight w:val="0"/>
          <w:marTop w:val="0"/>
          <w:marBottom w:val="0"/>
          <w:divBdr>
            <w:top w:val="none" w:sz="0" w:space="0" w:color="auto"/>
            <w:left w:val="none" w:sz="0" w:space="0" w:color="auto"/>
            <w:bottom w:val="none" w:sz="0" w:space="0" w:color="auto"/>
            <w:right w:val="none" w:sz="0" w:space="0" w:color="auto"/>
          </w:divBdr>
          <w:divsChild>
            <w:div w:id="1977298670">
              <w:marLeft w:val="0"/>
              <w:marRight w:val="0"/>
              <w:marTop w:val="0"/>
              <w:marBottom w:val="0"/>
              <w:divBdr>
                <w:top w:val="none" w:sz="0" w:space="0" w:color="auto"/>
                <w:left w:val="none" w:sz="0" w:space="0" w:color="auto"/>
                <w:bottom w:val="none" w:sz="0" w:space="0" w:color="auto"/>
                <w:right w:val="none" w:sz="0" w:space="0" w:color="auto"/>
              </w:divBdr>
              <w:divsChild>
                <w:div w:id="21224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50208">
      <w:bodyDiv w:val="1"/>
      <w:marLeft w:val="0"/>
      <w:marRight w:val="0"/>
      <w:marTop w:val="0"/>
      <w:marBottom w:val="0"/>
      <w:divBdr>
        <w:top w:val="none" w:sz="0" w:space="0" w:color="auto"/>
        <w:left w:val="none" w:sz="0" w:space="0" w:color="auto"/>
        <w:bottom w:val="none" w:sz="0" w:space="0" w:color="auto"/>
        <w:right w:val="none" w:sz="0" w:space="0" w:color="auto"/>
      </w:divBdr>
    </w:div>
    <w:div w:id="1910994757">
      <w:bodyDiv w:val="1"/>
      <w:marLeft w:val="0"/>
      <w:marRight w:val="0"/>
      <w:marTop w:val="0"/>
      <w:marBottom w:val="0"/>
      <w:divBdr>
        <w:top w:val="none" w:sz="0" w:space="0" w:color="auto"/>
        <w:left w:val="none" w:sz="0" w:space="0" w:color="auto"/>
        <w:bottom w:val="none" w:sz="0" w:space="0" w:color="auto"/>
        <w:right w:val="none" w:sz="0" w:space="0" w:color="auto"/>
      </w:divBdr>
      <w:divsChild>
        <w:div w:id="2143884349">
          <w:marLeft w:val="0"/>
          <w:marRight w:val="0"/>
          <w:marTop w:val="0"/>
          <w:marBottom w:val="0"/>
          <w:divBdr>
            <w:top w:val="none" w:sz="0" w:space="0" w:color="auto"/>
            <w:left w:val="none" w:sz="0" w:space="0" w:color="auto"/>
            <w:bottom w:val="none" w:sz="0" w:space="0" w:color="auto"/>
            <w:right w:val="none" w:sz="0" w:space="0" w:color="auto"/>
          </w:divBdr>
          <w:divsChild>
            <w:div w:id="558908317">
              <w:marLeft w:val="0"/>
              <w:marRight w:val="0"/>
              <w:marTop w:val="0"/>
              <w:marBottom w:val="0"/>
              <w:divBdr>
                <w:top w:val="none" w:sz="0" w:space="0" w:color="auto"/>
                <w:left w:val="none" w:sz="0" w:space="0" w:color="auto"/>
                <w:bottom w:val="none" w:sz="0" w:space="0" w:color="auto"/>
                <w:right w:val="none" w:sz="0" w:space="0" w:color="auto"/>
              </w:divBdr>
              <w:divsChild>
                <w:div w:id="16992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3138">
      <w:bodyDiv w:val="1"/>
      <w:marLeft w:val="0"/>
      <w:marRight w:val="0"/>
      <w:marTop w:val="0"/>
      <w:marBottom w:val="0"/>
      <w:divBdr>
        <w:top w:val="none" w:sz="0" w:space="0" w:color="auto"/>
        <w:left w:val="none" w:sz="0" w:space="0" w:color="auto"/>
        <w:bottom w:val="none" w:sz="0" w:space="0" w:color="auto"/>
        <w:right w:val="none" w:sz="0" w:space="0" w:color="auto"/>
      </w:divBdr>
    </w:div>
    <w:div w:id="1934045735">
      <w:bodyDiv w:val="1"/>
      <w:marLeft w:val="0"/>
      <w:marRight w:val="0"/>
      <w:marTop w:val="0"/>
      <w:marBottom w:val="0"/>
      <w:divBdr>
        <w:top w:val="none" w:sz="0" w:space="0" w:color="auto"/>
        <w:left w:val="none" w:sz="0" w:space="0" w:color="auto"/>
        <w:bottom w:val="none" w:sz="0" w:space="0" w:color="auto"/>
        <w:right w:val="none" w:sz="0" w:space="0" w:color="auto"/>
      </w:divBdr>
      <w:divsChild>
        <w:div w:id="1809858541">
          <w:marLeft w:val="0"/>
          <w:marRight w:val="0"/>
          <w:marTop w:val="0"/>
          <w:marBottom w:val="0"/>
          <w:divBdr>
            <w:top w:val="none" w:sz="0" w:space="0" w:color="auto"/>
            <w:left w:val="none" w:sz="0" w:space="0" w:color="auto"/>
            <w:bottom w:val="none" w:sz="0" w:space="0" w:color="auto"/>
            <w:right w:val="none" w:sz="0" w:space="0" w:color="auto"/>
          </w:divBdr>
          <w:divsChild>
            <w:div w:id="614798227">
              <w:marLeft w:val="0"/>
              <w:marRight w:val="0"/>
              <w:marTop w:val="0"/>
              <w:marBottom w:val="0"/>
              <w:divBdr>
                <w:top w:val="none" w:sz="0" w:space="0" w:color="auto"/>
                <w:left w:val="none" w:sz="0" w:space="0" w:color="auto"/>
                <w:bottom w:val="none" w:sz="0" w:space="0" w:color="auto"/>
                <w:right w:val="none" w:sz="0" w:space="0" w:color="auto"/>
              </w:divBdr>
              <w:divsChild>
                <w:div w:id="1138572783">
                  <w:marLeft w:val="0"/>
                  <w:marRight w:val="0"/>
                  <w:marTop w:val="0"/>
                  <w:marBottom w:val="0"/>
                  <w:divBdr>
                    <w:top w:val="none" w:sz="0" w:space="0" w:color="auto"/>
                    <w:left w:val="none" w:sz="0" w:space="0" w:color="auto"/>
                    <w:bottom w:val="none" w:sz="0" w:space="0" w:color="auto"/>
                    <w:right w:val="none" w:sz="0" w:space="0" w:color="auto"/>
                  </w:divBdr>
                  <w:divsChild>
                    <w:div w:id="14977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23069">
      <w:bodyDiv w:val="1"/>
      <w:marLeft w:val="0"/>
      <w:marRight w:val="0"/>
      <w:marTop w:val="0"/>
      <w:marBottom w:val="0"/>
      <w:divBdr>
        <w:top w:val="none" w:sz="0" w:space="0" w:color="auto"/>
        <w:left w:val="none" w:sz="0" w:space="0" w:color="auto"/>
        <w:bottom w:val="none" w:sz="0" w:space="0" w:color="auto"/>
        <w:right w:val="none" w:sz="0" w:space="0" w:color="auto"/>
      </w:divBdr>
      <w:divsChild>
        <w:div w:id="15931563">
          <w:marLeft w:val="0"/>
          <w:marRight w:val="0"/>
          <w:marTop w:val="0"/>
          <w:marBottom w:val="0"/>
          <w:divBdr>
            <w:top w:val="none" w:sz="0" w:space="0" w:color="auto"/>
            <w:left w:val="none" w:sz="0" w:space="0" w:color="auto"/>
            <w:bottom w:val="none" w:sz="0" w:space="0" w:color="auto"/>
            <w:right w:val="none" w:sz="0" w:space="0" w:color="auto"/>
          </w:divBdr>
          <w:divsChild>
            <w:div w:id="2069263325">
              <w:marLeft w:val="0"/>
              <w:marRight w:val="0"/>
              <w:marTop w:val="0"/>
              <w:marBottom w:val="0"/>
              <w:divBdr>
                <w:top w:val="none" w:sz="0" w:space="0" w:color="auto"/>
                <w:left w:val="none" w:sz="0" w:space="0" w:color="auto"/>
                <w:bottom w:val="none" w:sz="0" w:space="0" w:color="auto"/>
                <w:right w:val="none" w:sz="0" w:space="0" w:color="auto"/>
              </w:divBdr>
              <w:divsChild>
                <w:div w:id="15477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9458">
      <w:bodyDiv w:val="1"/>
      <w:marLeft w:val="0"/>
      <w:marRight w:val="0"/>
      <w:marTop w:val="0"/>
      <w:marBottom w:val="0"/>
      <w:divBdr>
        <w:top w:val="none" w:sz="0" w:space="0" w:color="auto"/>
        <w:left w:val="none" w:sz="0" w:space="0" w:color="auto"/>
        <w:bottom w:val="none" w:sz="0" w:space="0" w:color="auto"/>
        <w:right w:val="none" w:sz="0" w:space="0" w:color="auto"/>
      </w:divBdr>
    </w:div>
    <w:div w:id="1944650104">
      <w:bodyDiv w:val="1"/>
      <w:marLeft w:val="0"/>
      <w:marRight w:val="0"/>
      <w:marTop w:val="0"/>
      <w:marBottom w:val="0"/>
      <w:divBdr>
        <w:top w:val="none" w:sz="0" w:space="0" w:color="auto"/>
        <w:left w:val="none" w:sz="0" w:space="0" w:color="auto"/>
        <w:bottom w:val="none" w:sz="0" w:space="0" w:color="auto"/>
        <w:right w:val="none" w:sz="0" w:space="0" w:color="auto"/>
      </w:divBdr>
      <w:divsChild>
        <w:div w:id="340857236">
          <w:marLeft w:val="0"/>
          <w:marRight w:val="0"/>
          <w:marTop w:val="0"/>
          <w:marBottom w:val="0"/>
          <w:divBdr>
            <w:top w:val="none" w:sz="0" w:space="0" w:color="auto"/>
            <w:left w:val="none" w:sz="0" w:space="0" w:color="auto"/>
            <w:bottom w:val="none" w:sz="0" w:space="0" w:color="auto"/>
            <w:right w:val="none" w:sz="0" w:space="0" w:color="auto"/>
          </w:divBdr>
          <w:divsChild>
            <w:div w:id="1964843858">
              <w:marLeft w:val="0"/>
              <w:marRight w:val="0"/>
              <w:marTop w:val="0"/>
              <w:marBottom w:val="0"/>
              <w:divBdr>
                <w:top w:val="none" w:sz="0" w:space="0" w:color="auto"/>
                <w:left w:val="none" w:sz="0" w:space="0" w:color="auto"/>
                <w:bottom w:val="none" w:sz="0" w:space="0" w:color="auto"/>
                <w:right w:val="none" w:sz="0" w:space="0" w:color="auto"/>
              </w:divBdr>
              <w:divsChild>
                <w:div w:id="2476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2120">
      <w:bodyDiv w:val="1"/>
      <w:marLeft w:val="0"/>
      <w:marRight w:val="0"/>
      <w:marTop w:val="0"/>
      <w:marBottom w:val="0"/>
      <w:divBdr>
        <w:top w:val="none" w:sz="0" w:space="0" w:color="auto"/>
        <w:left w:val="none" w:sz="0" w:space="0" w:color="auto"/>
        <w:bottom w:val="none" w:sz="0" w:space="0" w:color="auto"/>
        <w:right w:val="none" w:sz="0" w:space="0" w:color="auto"/>
      </w:divBdr>
      <w:divsChild>
        <w:div w:id="301883658">
          <w:marLeft w:val="0"/>
          <w:marRight w:val="0"/>
          <w:marTop w:val="0"/>
          <w:marBottom w:val="0"/>
          <w:divBdr>
            <w:top w:val="none" w:sz="0" w:space="0" w:color="auto"/>
            <w:left w:val="none" w:sz="0" w:space="0" w:color="auto"/>
            <w:bottom w:val="none" w:sz="0" w:space="0" w:color="auto"/>
            <w:right w:val="none" w:sz="0" w:space="0" w:color="auto"/>
          </w:divBdr>
        </w:div>
        <w:div w:id="542792749">
          <w:marLeft w:val="0"/>
          <w:marRight w:val="0"/>
          <w:marTop w:val="0"/>
          <w:marBottom w:val="0"/>
          <w:divBdr>
            <w:top w:val="none" w:sz="0" w:space="0" w:color="auto"/>
            <w:left w:val="none" w:sz="0" w:space="0" w:color="auto"/>
            <w:bottom w:val="none" w:sz="0" w:space="0" w:color="auto"/>
            <w:right w:val="none" w:sz="0" w:space="0" w:color="auto"/>
          </w:divBdr>
        </w:div>
        <w:div w:id="573508673">
          <w:marLeft w:val="0"/>
          <w:marRight w:val="0"/>
          <w:marTop w:val="0"/>
          <w:marBottom w:val="0"/>
          <w:divBdr>
            <w:top w:val="none" w:sz="0" w:space="0" w:color="auto"/>
            <w:left w:val="none" w:sz="0" w:space="0" w:color="auto"/>
            <w:bottom w:val="none" w:sz="0" w:space="0" w:color="auto"/>
            <w:right w:val="none" w:sz="0" w:space="0" w:color="auto"/>
          </w:divBdr>
        </w:div>
        <w:div w:id="730881774">
          <w:marLeft w:val="0"/>
          <w:marRight w:val="0"/>
          <w:marTop w:val="0"/>
          <w:marBottom w:val="0"/>
          <w:divBdr>
            <w:top w:val="none" w:sz="0" w:space="0" w:color="auto"/>
            <w:left w:val="none" w:sz="0" w:space="0" w:color="auto"/>
            <w:bottom w:val="none" w:sz="0" w:space="0" w:color="auto"/>
            <w:right w:val="none" w:sz="0" w:space="0" w:color="auto"/>
          </w:divBdr>
        </w:div>
        <w:div w:id="988510862">
          <w:marLeft w:val="0"/>
          <w:marRight w:val="0"/>
          <w:marTop w:val="0"/>
          <w:marBottom w:val="0"/>
          <w:divBdr>
            <w:top w:val="none" w:sz="0" w:space="0" w:color="auto"/>
            <w:left w:val="none" w:sz="0" w:space="0" w:color="auto"/>
            <w:bottom w:val="none" w:sz="0" w:space="0" w:color="auto"/>
            <w:right w:val="none" w:sz="0" w:space="0" w:color="auto"/>
          </w:divBdr>
        </w:div>
        <w:div w:id="1306079866">
          <w:marLeft w:val="0"/>
          <w:marRight w:val="0"/>
          <w:marTop w:val="0"/>
          <w:marBottom w:val="0"/>
          <w:divBdr>
            <w:top w:val="none" w:sz="0" w:space="0" w:color="auto"/>
            <w:left w:val="none" w:sz="0" w:space="0" w:color="auto"/>
            <w:bottom w:val="none" w:sz="0" w:space="0" w:color="auto"/>
            <w:right w:val="none" w:sz="0" w:space="0" w:color="auto"/>
          </w:divBdr>
        </w:div>
        <w:div w:id="1341615942">
          <w:marLeft w:val="0"/>
          <w:marRight w:val="0"/>
          <w:marTop w:val="0"/>
          <w:marBottom w:val="0"/>
          <w:divBdr>
            <w:top w:val="none" w:sz="0" w:space="0" w:color="auto"/>
            <w:left w:val="none" w:sz="0" w:space="0" w:color="auto"/>
            <w:bottom w:val="none" w:sz="0" w:space="0" w:color="auto"/>
            <w:right w:val="none" w:sz="0" w:space="0" w:color="auto"/>
          </w:divBdr>
        </w:div>
        <w:div w:id="1811828118">
          <w:marLeft w:val="0"/>
          <w:marRight w:val="0"/>
          <w:marTop w:val="0"/>
          <w:marBottom w:val="0"/>
          <w:divBdr>
            <w:top w:val="none" w:sz="0" w:space="0" w:color="auto"/>
            <w:left w:val="none" w:sz="0" w:space="0" w:color="auto"/>
            <w:bottom w:val="none" w:sz="0" w:space="0" w:color="auto"/>
            <w:right w:val="none" w:sz="0" w:space="0" w:color="auto"/>
          </w:divBdr>
        </w:div>
        <w:div w:id="1923760328">
          <w:marLeft w:val="0"/>
          <w:marRight w:val="0"/>
          <w:marTop w:val="0"/>
          <w:marBottom w:val="0"/>
          <w:divBdr>
            <w:top w:val="none" w:sz="0" w:space="0" w:color="auto"/>
            <w:left w:val="none" w:sz="0" w:space="0" w:color="auto"/>
            <w:bottom w:val="none" w:sz="0" w:space="0" w:color="auto"/>
            <w:right w:val="none" w:sz="0" w:space="0" w:color="auto"/>
          </w:divBdr>
        </w:div>
        <w:div w:id="2020619182">
          <w:marLeft w:val="0"/>
          <w:marRight w:val="0"/>
          <w:marTop w:val="0"/>
          <w:marBottom w:val="0"/>
          <w:divBdr>
            <w:top w:val="none" w:sz="0" w:space="0" w:color="auto"/>
            <w:left w:val="none" w:sz="0" w:space="0" w:color="auto"/>
            <w:bottom w:val="none" w:sz="0" w:space="0" w:color="auto"/>
            <w:right w:val="none" w:sz="0" w:space="0" w:color="auto"/>
          </w:divBdr>
        </w:div>
      </w:divsChild>
    </w:div>
    <w:div w:id="2003965463">
      <w:bodyDiv w:val="1"/>
      <w:marLeft w:val="0"/>
      <w:marRight w:val="0"/>
      <w:marTop w:val="0"/>
      <w:marBottom w:val="0"/>
      <w:divBdr>
        <w:top w:val="none" w:sz="0" w:space="0" w:color="auto"/>
        <w:left w:val="none" w:sz="0" w:space="0" w:color="auto"/>
        <w:bottom w:val="none" w:sz="0" w:space="0" w:color="auto"/>
        <w:right w:val="none" w:sz="0" w:space="0" w:color="auto"/>
      </w:divBdr>
    </w:div>
    <w:div w:id="2007593517">
      <w:bodyDiv w:val="1"/>
      <w:marLeft w:val="0"/>
      <w:marRight w:val="0"/>
      <w:marTop w:val="0"/>
      <w:marBottom w:val="0"/>
      <w:divBdr>
        <w:top w:val="none" w:sz="0" w:space="0" w:color="auto"/>
        <w:left w:val="none" w:sz="0" w:space="0" w:color="auto"/>
        <w:bottom w:val="none" w:sz="0" w:space="0" w:color="auto"/>
        <w:right w:val="none" w:sz="0" w:space="0" w:color="auto"/>
      </w:divBdr>
    </w:div>
    <w:div w:id="2019965790">
      <w:bodyDiv w:val="1"/>
      <w:marLeft w:val="0"/>
      <w:marRight w:val="0"/>
      <w:marTop w:val="0"/>
      <w:marBottom w:val="0"/>
      <w:divBdr>
        <w:top w:val="none" w:sz="0" w:space="0" w:color="auto"/>
        <w:left w:val="none" w:sz="0" w:space="0" w:color="auto"/>
        <w:bottom w:val="none" w:sz="0" w:space="0" w:color="auto"/>
        <w:right w:val="none" w:sz="0" w:space="0" w:color="auto"/>
      </w:divBdr>
      <w:divsChild>
        <w:div w:id="304160103">
          <w:marLeft w:val="0"/>
          <w:marRight w:val="0"/>
          <w:marTop w:val="0"/>
          <w:marBottom w:val="0"/>
          <w:divBdr>
            <w:top w:val="none" w:sz="0" w:space="0" w:color="auto"/>
            <w:left w:val="none" w:sz="0" w:space="0" w:color="auto"/>
            <w:bottom w:val="none" w:sz="0" w:space="0" w:color="auto"/>
            <w:right w:val="none" w:sz="0" w:space="0" w:color="auto"/>
          </w:divBdr>
          <w:divsChild>
            <w:div w:id="608895563">
              <w:marLeft w:val="0"/>
              <w:marRight w:val="0"/>
              <w:marTop w:val="0"/>
              <w:marBottom w:val="0"/>
              <w:divBdr>
                <w:top w:val="none" w:sz="0" w:space="0" w:color="auto"/>
                <w:left w:val="none" w:sz="0" w:space="0" w:color="auto"/>
                <w:bottom w:val="none" w:sz="0" w:space="0" w:color="auto"/>
                <w:right w:val="none" w:sz="0" w:space="0" w:color="auto"/>
              </w:divBdr>
              <w:divsChild>
                <w:div w:id="2041852559">
                  <w:marLeft w:val="0"/>
                  <w:marRight w:val="0"/>
                  <w:marTop w:val="0"/>
                  <w:marBottom w:val="0"/>
                  <w:divBdr>
                    <w:top w:val="none" w:sz="0" w:space="0" w:color="auto"/>
                    <w:left w:val="none" w:sz="0" w:space="0" w:color="auto"/>
                    <w:bottom w:val="none" w:sz="0" w:space="0" w:color="auto"/>
                    <w:right w:val="none" w:sz="0" w:space="0" w:color="auto"/>
                  </w:divBdr>
                  <w:divsChild>
                    <w:div w:id="14684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40327">
      <w:bodyDiv w:val="1"/>
      <w:marLeft w:val="0"/>
      <w:marRight w:val="0"/>
      <w:marTop w:val="0"/>
      <w:marBottom w:val="0"/>
      <w:divBdr>
        <w:top w:val="none" w:sz="0" w:space="0" w:color="auto"/>
        <w:left w:val="none" w:sz="0" w:space="0" w:color="auto"/>
        <w:bottom w:val="none" w:sz="0" w:space="0" w:color="auto"/>
        <w:right w:val="none" w:sz="0" w:space="0" w:color="auto"/>
      </w:divBdr>
      <w:divsChild>
        <w:div w:id="926502684">
          <w:marLeft w:val="0"/>
          <w:marRight w:val="0"/>
          <w:marTop w:val="0"/>
          <w:marBottom w:val="0"/>
          <w:divBdr>
            <w:top w:val="none" w:sz="0" w:space="0" w:color="auto"/>
            <w:left w:val="none" w:sz="0" w:space="0" w:color="auto"/>
            <w:bottom w:val="none" w:sz="0" w:space="0" w:color="auto"/>
            <w:right w:val="none" w:sz="0" w:space="0" w:color="auto"/>
          </w:divBdr>
          <w:divsChild>
            <w:div w:id="1080059546">
              <w:marLeft w:val="0"/>
              <w:marRight w:val="0"/>
              <w:marTop w:val="0"/>
              <w:marBottom w:val="0"/>
              <w:divBdr>
                <w:top w:val="none" w:sz="0" w:space="0" w:color="auto"/>
                <w:left w:val="none" w:sz="0" w:space="0" w:color="auto"/>
                <w:bottom w:val="none" w:sz="0" w:space="0" w:color="auto"/>
                <w:right w:val="none" w:sz="0" w:space="0" w:color="auto"/>
              </w:divBdr>
              <w:divsChild>
                <w:div w:id="2044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6853">
      <w:bodyDiv w:val="1"/>
      <w:marLeft w:val="0"/>
      <w:marRight w:val="0"/>
      <w:marTop w:val="0"/>
      <w:marBottom w:val="0"/>
      <w:divBdr>
        <w:top w:val="none" w:sz="0" w:space="0" w:color="auto"/>
        <w:left w:val="none" w:sz="0" w:space="0" w:color="auto"/>
        <w:bottom w:val="none" w:sz="0" w:space="0" w:color="auto"/>
        <w:right w:val="none" w:sz="0" w:space="0" w:color="auto"/>
      </w:divBdr>
      <w:divsChild>
        <w:div w:id="145903708">
          <w:marLeft w:val="0"/>
          <w:marRight w:val="0"/>
          <w:marTop w:val="0"/>
          <w:marBottom w:val="0"/>
          <w:divBdr>
            <w:top w:val="none" w:sz="0" w:space="0" w:color="auto"/>
            <w:left w:val="none" w:sz="0" w:space="0" w:color="auto"/>
            <w:bottom w:val="none" w:sz="0" w:space="0" w:color="auto"/>
            <w:right w:val="none" w:sz="0" w:space="0" w:color="auto"/>
          </w:divBdr>
          <w:divsChild>
            <w:div w:id="1083792744">
              <w:marLeft w:val="0"/>
              <w:marRight w:val="0"/>
              <w:marTop w:val="0"/>
              <w:marBottom w:val="0"/>
              <w:divBdr>
                <w:top w:val="none" w:sz="0" w:space="0" w:color="auto"/>
                <w:left w:val="none" w:sz="0" w:space="0" w:color="auto"/>
                <w:bottom w:val="none" w:sz="0" w:space="0" w:color="auto"/>
                <w:right w:val="none" w:sz="0" w:space="0" w:color="auto"/>
              </w:divBdr>
              <w:divsChild>
                <w:div w:id="11037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4584">
      <w:bodyDiv w:val="1"/>
      <w:marLeft w:val="0"/>
      <w:marRight w:val="0"/>
      <w:marTop w:val="0"/>
      <w:marBottom w:val="0"/>
      <w:divBdr>
        <w:top w:val="none" w:sz="0" w:space="0" w:color="auto"/>
        <w:left w:val="none" w:sz="0" w:space="0" w:color="auto"/>
        <w:bottom w:val="none" w:sz="0" w:space="0" w:color="auto"/>
        <w:right w:val="none" w:sz="0" w:space="0" w:color="auto"/>
      </w:divBdr>
    </w:div>
    <w:div w:id="2043623877">
      <w:bodyDiv w:val="1"/>
      <w:marLeft w:val="0"/>
      <w:marRight w:val="0"/>
      <w:marTop w:val="0"/>
      <w:marBottom w:val="0"/>
      <w:divBdr>
        <w:top w:val="none" w:sz="0" w:space="0" w:color="auto"/>
        <w:left w:val="none" w:sz="0" w:space="0" w:color="auto"/>
        <w:bottom w:val="none" w:sz="0" w:space="0" w:color="auto"/>
        <w:right w:val="none" w:sz="0" w:space="0" w:color="auto"/>
      </w:divBdr>
      <w:divsChild>
        <w:div w:id="277757819">
          <w:marLeft w:val="0"/>
          <w:marRight w:val="0"/>
          <w:marTop w:val="0"/>
          <w:marBottom w:val="0"/>
          <w:divBdr>
            <w:top w:val="none" w:sz="0" w:space="0" w:color="auto"/>
            <w:left w:val="none" w:sz="0" w:space="0" w:color="auto"/>
            <w:bottom w:val="none" w:sz="0" w:space="0" w:color="auto"/>
            <w:right w:val="none" w:sz="0" w:space="0" w:color="auto"/>
          </w:divBdr>
          <w:divsChild>
            <w:div w:id="1815903047">
              <w:marLeft w:val="0"/>
              <w:marRight w:val="0"/>
              <w:marTop w:val="0"/>
              <w:marBottom w:val="0"/>
              <w:divBdr>
                <w:top w:val="none" w:sz="0" w:space="0" w:color="auto"/>
                <w:left w:val="none" w:sz="0" w:space="0" w:color="auto"/>
                <w:bottom w:val="none" w:sz="0" w:space="0" w:color="auto"/>
                <w:right w:val="none" w:sz="0" w:space="0" w:color="auto"/>
              </w:divBdr>
              <w:divsChild>
                <w:div w:id="18087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03711">
      <w:bodyDiv w:val="1"/>
      <w:marLeft w:val="0"/>
      <w:marRight w:val="0"/>
      <w:marTop w:val="0"/>
      <w:marBottom w:val="0"/>
      <w:divBdr>
        <w:top w:val="none" w:sz="0" w:space="0" w:color="auto"/>
        <w:left w:val="none" w:sz="0" w:space="0" w:color="auto"/>
        <w:bottom w:val="none" w:sz="0" w:space="0" w:color="auto"/>
        <w:right w:val="none" w:sz="0" w:space="0" w:color="auto"/>
      </w:divBdr>
    </w:div>
    <w:div w:id="2055738073">
      <w:bodyDiv w:val="1"/>
      <w:marLeft w:val="0"/>
      <w:marRight w:val="0"/>
      <w:marTop w:val="0"/>
      <w:marBottom w:val="0"/>
      <w:divBdr>
        <w:top w:val="none" w:sz="0" w:space="0" w:color="auto"/>
        <w:left w:val="none" w:sz="0" w:space="0" w:color="auto"/>
        <w:bottom w:val="none" w:sz="0" w:space="0" w:color="auto"/>
        <w:right w:val="none" w:sz="0" w:space="0" w:color="auto"/>
      </w:divBdr>
      <w:divsChild>
        <w:div w:id="229386106">
          <w:marLeft w:val="0"/>
          <w:marRight w:val="0"/>
          <w:marTop w:val="0"/>
          <w:marBottom w:val="0"/>
          <w:divBdr>
            <w:top w:val="none" w:sz="0" w:space="0" w:color="auto"/>
            <w:left w:val="none" w:sz="0" w:space="0" w:color="auto"/>
            <w:bottom w:val="none" w:sz="0" w:space="0" w:color="auto"/>
            <w:right w:val="none" w:sz="0" w:space="0" w:color="auto"/>
          </w:divBdr>
          <w:divsChild>
            <w:div w:id="1112090554">
              <w:marLeft w:val="0"/>
              <w:marRight w:val="0"/>
              <w:marTop w:val="0"/>
              <w:marBottom w:val="0"/>
              <w:divBdr>
                <w:top w:val="none" w:sz="0" w:space="0" w:color="auto"/>
                <w:left w:val="none" w:sz="0" w:space="0" w:color="auto"/>
                <w:bottom w:val="none" w:sz="0" w:space="0" w:color="auto"/>
                <w:right w:val="none" w:sz="0" w:space="0" w:color="auto"/>
              </w:divBdr>
              <w:divsChild>
                <w:div w:id="9468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4282">
      <w:bodyDiv w:val="1"/>
      <w:marLeft w:val="0"/>
      <w:marRight w:val="0"/>
      <w:marTop w:val="0"/>
      <w:marBottom w:val="0"/>
      <w:divBdr>
        <w:top w:val="none" w:sz="0" w:space="0" w:color="auto"/>
        <w:left w:val="none" w:sz="0" w:space="0" w:color="auto"/>
        <w:bottom w:val="none" w:sz="0" w:space="0" w:color="auto"/>
        <w:right w:val="none" w:sz="0" w:space="0" w:color="auto"/>
      </w:divBdr>
    </w:div>
    <w:div w:id="2068338436">
      <w:bodyDiv w:val="1"/>
      <w:marLeft w:val="0"/>
      <w:marRight w:val="0"/>
      <w:marTop w:val="0"/>
      <w:marBottom w:val="0"/>
      <w:divBdr>
        <w:top w:val="none" w:sz="0" w:space="0" w:color="auto"/>
        <w:left w:val="none" w:sz="0" w:space="0" w:color="auto"/>
        <w:bottom w:val="none" w:sz="0" w:space="0" w:color="auto"/>
        <w:right w:val="none" w:sz="0" w:space="0" w:color="auto"/>
      </w:divBdr>
      <w:divsChild>
        <w:div w:id="864902786">
          <w:marLeft w:val="0"/>
          <w:marRight w:val="0"/>
          <w:marTop w:val="0"/>
          <w:marBottom w:val="0"/>
          <w:divBdr>
            <w:top w:val="none" w:sz="0" w:space="0" w:color="auto"/>
            <w:left w:val="none" w:sz="0" w:space="0" w:color="auto"/>
            <w:bottom w:val="none" w:sz="0" w:space="0" w:color="auto"/>
            <w:right w:val="none" w:sz="0" w:space="0" w:color="auto"/>
          </w:divBdr>
          <w:divsChild>
            <w:div w:id="868032185">
              <w:marLeft w:val="0"/>
              <w:marRight w:val="0"/>
              <w:marTop w:val="0"/>
              <w:marBottom w:val="0"/>
              <w:divBdr>
                <w:top w:val="none" w:sz="0" w:space="0" w:color="auto"/>
                <w:left w:val="none" w:sz="0" w:space="0" w:color="auto"/>
                <w:bottom w:val="none" w:sz="0" w:space="0" w:color="auto"/>
                <w:right w:val="none" w:sz="0" w:space="0" w:color="auto"/>
              </w:divBdr>
              <w:divsChild>
                <w:div w:id="1977442559">
                  <w:marLeft w:val="0"/>
                  <w:marRight w:val="0"/>
                  <w:marTop w:val="0"/>
                  <w:marBottom w:val="0"/>
                  <w:divBdr>
                    <w:top w:val="none" w:sz="0" w:space="0" w:color="auto"/>
                    <w:left w:val="none" w:sz="0" w:space="0" w:color="auto"/>
                    <w:bottom w:val="none" w:sz="0" w:space="0" w:color="auto"/>
                    <w:right w:val="none" w:sz="0" w:space="0" w:color="auto"/>
                  </w:divBdr>
                </w:div>
              </w:divsChild>
            </w:div>
            <w:div w:id="1574972025">
              <w:marLeft w:val="0"/>
              <w:marRight w:val="0"/>
              <w:marTop w:val="0"/>
              <w:marBottom w:val="0"/>
              <w:divBdr>
                <w:top w:val="none" w:sz="0" w:space="0" w:color="auto"/>
                <w:left w:val="none" w:sz="0" w:space="0" w:color="auto"/>
                <w:bottom w:val="none" w:sz="0" w:space="0" w:color="auto"/>
                <w:right w:val="none" w:sz="0" w:space="0" w:color="auto"/>
              </w:divBdr>
              <w:divsChild>
                <w:div w:id="17034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5529">
          <w:marLeft w:val="0"/>
          <w:marRight w:val="0"/>
          <w:marTop w:val="0"/>
          <w:marBottom w:val="0"/>
          <w:divBdr>
            <w:top w:val="none" w:sz="0" w:space="0" w:color="auto"/>
            <w:left w:val="none" w:sz="0" w:space="0" w:color="auto"/>
            <w:bottom w:val="none" w:sz="0" w:space="0" w:color="auto"/>
            <w:right w:val="none" w:sz="0" w:space="0" w:color="auto"/>
          </w:divBdr>
          <w:divsChild>
            <w:div w:id="729772996">
              <w:marLeft w:val="0"/>
              <w:marRight w:val="0"/>
              <w:marTop w:val="0"/>
              <w:marBottom w:val="0"/>
              <w:divBdr>
                <w:top w:val="none" w:sz="0" w:space="0" w:color="auto"/>
                <w:left w:val="none" w:sz="0" w:space="0" w:color="auto"/>
                <w:bottom w:val="none" w:sz="0" w:space="0" w:color="auto"/>
                <w:right w:val="none" w:sz="0" w:space="0" w:color="auto"/>
              </w:divBdr>
              <w:divsChild>
                <w:div w:id="960765161">
                  <w:marLeft w:val="0"/>
                  <w:marRight w:val="0"/>
                  <w:marTop w:val="0"/>
                  <w:marBottom w:val="0"/>
                  <w:divBdr>
                    <w:top w:val="none" w:sz="0" w:space="0" w:color="auto"/>
                    <w:left w:val="none" w:sz="0" w:space="0" w:color="auto"/>
                    <w:bottom w:val="none" w:sz="0" w:space="0" w:color="auto"/>
                    <w:right w:val="none" w:sz="0" w:space="0" w:color="auto"/>
                  </w:divBdr>
                </w:div>
              </w:divsChild>
            </w:div>
            <w:div w:id="1251769932">
              <w:marLeft w:val="0"/>
              <w:marRight w:val="0"/>
              <w:marTop w:val="0"/>
              <w:marBottom w:val="0"/>
              <w:divBdr>
                <w:top w:val="none" w:sz="0" w:space="0" w:color="auto"/>
                <w:left w:val="none" w:sz="0" w:space="0" w:color="auto"/>
                <w:bottom w:val="none" w:sz="0" w:space="0" w:color="auto"/>
                <w:right w:val="none" w:sz="0" w:space="0" w:color="auto"/>
              </w:divBdr>
              <w:divsChild>
                <w:div w:id="11184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76432">
      <w:bodyDiv w:val="1"/>
      <w:marLeft w:val="0"/>
      <w:marRight w:val="0"/>
      <w:marTop w:val="0"/>
      <w:marBottom w:val="0"/>
      <w:divBdr>
        <w:top w:val="none" w:sz="0" w:space="0" w:color="auto"/>
        <w:left w:val="none" w:sz="0" w:space="0" w:color="auto"/>
        <w:bottom w:val="none" w:sz="0" w:space="0" w:color="auto"/>
        <w:right w:val="none" w:sz="0" w:space="0" w:color="auto"/>
      </w:divBdr>
      <w:divsChild>
        <w:div w:id="467599793">
          <w:marLeft w:val="0"/>
          <w:marRight w:val="0"/>
          <w:marTop w:val="0"/>
          <w:marBottom w:val="0"/>
          <w:divBdr>
            <w:top w:val="none" w:sz="0" w:space="0" w:color="auto"/>
            <w:left w:val="none" w:sz="0" w:space="0" w:color="auto"/>
            <w:bottom w:val="none" w:sz="0" w:space="0" w:color="auto"/>
            <w:right w:val="none" w:sz="0" w:space="0" w:color="auto"/>
          </w:divBdr>
          <w:divsChild>
            <w:div w:id="862783940">
              <w:marLeft w:val="0"/>
              <w:marRight w:val="0"/>
              <w:marTop w:val="0"/>
              <w:marBottom w:val="0"/>
              <w:divBdr>
                <w:top w:val="none" w:sz="0" w:space="0" w:color="auto"/>
                <w:left w:val="none" w:sz="0" w:space="0" w:color="auto"/>
                <w:bottom w:val="none" w:sz="0" w:space="0" w:color="auto"/>
                <w:right w:val="none" w:sz="0" w:space="0" w:color="auto"/>
              </w:divBdr>
              <w:divsChild>
                <w:div w:id="836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3140">
      <w:bodyDiv w:val="1"/>
      <w:marLeft w:val="0"/>
      <w:marRight w:val="0"/>
      <w:marTop w:val="0"/>
      <w:marBottom w:val="0"/>
      <w:divBdr>
        <w:top w:val="none" w:sz="0" w:space="0" w:color="auto"/>
        <w:left w:val="none" w:sz="0" w:space="0" w:color="auto"/>
        <w:bottom w:val="none" w:sz="0" w:space="0" w:color="auto"/>
        <w:right w:val="none" w:sz="0" w:space="0" w:color="auto"/>
      </w:divBdr>
      <w:divsChild>
        <w:div w:id="1210801322">
          <w:marLeft w:val="0"/>
          <w:marRight w:val="0"/>
          <w:marTop w:val="0"/>
          <w:marBottom w:val="0"/>
          <w:divBdr>
            <w:top w:val="none" w:sz="0" w:space="0" w:color="auto"/>
            <w:left w:val="none" w:sz="0" w:space="0" w:color="auto"/>
            <w:bottom w:val="none" w:sz="0" w:space="0" w:color="auto"/>
            <w:right w:val="none" w:sz="0" w:space="0" w:color="auto"/>
          </w:divBdr>
          <w:divsChild>
            <w:div w:id="133527866">
              <w:marLeft w:val="0"/>
              <w:marRight w:val="0"/>
              <w:marTop w:val="0"/>
              <w:marBottom w:val="0"/>
              <w:divBdr>
                <w:top w:val="none" w:sz="0" w:space="0" w:color="auto"/>
                <w:left w:val="none" w:sz="0" w:space="0" w:color="auto"/>
                <w:bottom w:val="none" w:sz="0" w:space="0" w:color="auto"/>
                <w:right w:val="none" w:sz="0" w:space="0" w:color="auto"/>
              </w:divBdr>
              <w:divsChild>
                <w:div w:id="1853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6920">
      <w:bodyDiv w:val="1"/>
      <w:marLeft w:val="0"/>
      <w:marRight w:val="0"/>
      <w:marTop w:val="0"/>
      <w:marBottom w:val="0"/>
      <w:divBdr>
        <w:top w:val="none" w:sz="0" w:space="0" w:color="auto"/>
        <w:left w:val="none" w:sz="0" w:space="0" w:color="auto"/>
        <w:bottom w:val="none" w:sz="0" w:space="0" w:color="auto"/>
        <w:right w:val="none" w:sz="0" w:space="0" w:color="auto"/>
      </w:divBdr>
      <w:divsChild>
        <w:div w:id="1857960453">
          <w:marLeft w:val="0"/>
          <w:marRight w:val="0"/>
          <w:marTop w:val="0"/>
          <w:marBottom w:val="0"/>
          <w:divBdr>
            <w:top w:val="none" w:sz="0" w:space="0" w:color="auto"/>
            <w:left w:val="none" w:sz="0" w:space="0" w:color="auto"/>
            <w:bottom w:val="none" w:sz="0" w:space="0" w:color="auto"/>
            <w:right w:val="none" w:sz="0" w:space="0" w:color="auto"/>
          </w:divBdr>
          <w:divsChild>
            <w:div w:id="755708534">
              <w:marLeft w:val="0"/>
              <w:marRight w:val="0"/>
              <w:marTop w:val="0"/>
              <w:marBottom w:val="0"/>
              <w:divBdr>
                <w:top w:val="none" w:sz="0" w:space="0" w:color="auto"/>
                <w:left w:val="none" w:sz="0" w:space="0" w:color="auto"/>
                <w:bottom w:val="none" w:sz="0" w:space="0" w:color="auto"/>
                <w:right w:val="none" w:sz="0" w:space="0" w:color="auto"/>
              </w:divBdr>
              <w:divsChild>
                <w:div w:id="5466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252">
      <w:bodyDiv w:val="1"/>
      <w:marLeft w:val="0"/>
      <w:marRight w:val="0"/>
      <w:marTop w:val="0"/>
      <w:marBottom w:val="0"/>
      <w:divBdr>
        <w:top w:val="none" w:sz="0" w:space="0" w:color="auto"/>
        <w:left w:val="none" w:sz="0" w:space="0" w:color="auto"/>
        <w:bottom w:val="none" w:sz="0" w:space="0" w:color="auto"/>
        <w:right w:val="none" w:sz="0" w:space="0" w:color="auto"/>
      </w:divBdr>
      <w:divsChild>
        <w:div w:id="673076213">
          <w:marLeft w:val="0"/>
          <w:marRight w:val="0"/>
          <w:marTop w:val="0"/>
          <w:marBottom w:val="0"/>
          <w:divBdr>
            <w:top w:val="none" w:sz="0" w:space="0" w:color="auto"/>
            <w:left w:val="none" w:sz="0" w:space="0" w:color="auto"/>
            <w:bottom w:val="none" w:sz="0" w:space="0" w:color="auto"/>
            <w:right w:val="none" w:sz="0" w:space="0" w:color="auto"/>
          </w:divBdr>
          <w:divsChild>
            <w:div w:id="1934122795">
              <w:marLeft w:val="0"/>
              <w:marRight w:val="0"/>
              <w:marTop w:val="0"/>
              <w:marBottom w:val="0"/>
              <w:divBdr>
                <w:top w:val="none" w:sz="0" w:space="0" w:color="auto"/>
                <w:left w:val="none" w:sz="0" w:space="0" w:color="auto"/>
                <w:bottom w:val="none" w:sz="0" w:space="0" w:color="auto"/>
                <w:right w:val="none" w:sz="0" w:space="0" w:color="auto"/>
              </w:divBdr>
              <w:divsChild>
                <w:div w:id="18761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1005">
      <w:bodyDiv w:val="1"/>
      <w:marLeft w:val="0"/>
      <w:marRight w:val="0"/>
      <w:marTop w:val="0"/>
      <w:marBottom w:val="0"/>
      <w:divBdr>
        <w:top w:val="none" w:sz="0" w:space="0" w:color="auto"/>
        <w:left w:val="none" w:sz="0" w:space="0" w:color="auto"/>
        <w:bottom w:val="none" w:sz="0" w:space="0" w:color="auto"/>
        <w:right w:val="none" w:sz="0" w:space="0" w:color="auto"/>
      </w:divBdr>
      <w:divsChild>
        <w:div w:id="730081950">
          <w:marLeft w:val="0"/>
          <w:marRight w:val="0"/>
          <w:marTop w:val="0"/>
          <w:marBottom w:val="0"/>
          <w:divBdr>
            <w:top w:val="none" w:sz="0" w:space="0" w:color="auto"/>
            <w:left w:val="none" w:sz="0" w:space="0" w:color="auto"/>
            <w:bottom w:val="none" w:sz="0" w:space="0" w:color="auto"/>
            <w:right w:val="none" w:sz="0" w:space="0" w:color="auto"/>
          </w:divBdr>
          <w:divsChild>
            <w:div w:id="287206946">
              <w:marLeft w:val="0"/>
              <w:marRight w:val="0"/>
              <w:marTop w:val="0"/>
              <w:marBottom w:val="0"/>
              <w:divBdr>
                <w:top w:val="none" w:sz="0" w:space="0" w:color="auto"/>
                <w:left w:val="none" w:sz="0" w:space="0" w:color="auto"/>
                <w:bottom w:val="none" w:sz="0" w:space="0" w:color="auto"/>
                <w:right w:val="none" w:sz="0" w:space="0" w:color="auto"/>
              </w:divBdr>
              <w:divsChild>
                <w:div w:id="8605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7984">
      <w:bodyDiv w:val="1"/>
      <w:marLeft w:val="0"/>
      <w:marRight w:val="0"/>
      <w:marTop w:val="0"/>
      <w:marBottom w:val="0"/>
      <w:divBdr>
        <w:top w:val="none" w:sz="0" w:space="0" w:color="auto"/>
        <w:left w:val="none" w:sz="0" w:space="0" w:color="auto"/>
        <w:bottom w:val="none" w:sz="0" w:space="0" w:color="auto"/>
        <w:right w:val="none" w:sz="0" w:space="0" w:color="auto"/>
      </w:divBdr>
      <w:divsChild>
        <w:div w:id="188642796">
          <w:marLeft w:val="0"/>
          <w:marRight w:val="0"/>
          <w:marTop w:val="0"/>
          <w:marBottom w:val="0"/>
          <w:divBdr>
            <w:top w:val="none" w:sz="0" w:space="0" w:color="auto"/>
            <w:left w:val="none" w:sz="0" w:space="0" w:color="auto"/>
            <w:bottom w:val="none" w:sz="0" w:space="0" w:color="auto"/>
            <w:right w:val="none" w:sz="0" w:space="0" w:color="auto"/>
          </w:divBdr>
          <w:divsChild>
            <w:div w:id="576480660">
              <w:marLeft w:val="0"/>
              <w:marRight w:val="0"/>
              <w:marTop w:val="0"/>
              <w:marBottom w:val="0"/>
              <w:divBdr>
                <w:top w:val="none" w:sz="0" w:space="0" w:color="auto"/>
                <w:left w:val="none" w:sz="0" w:space="0" w:color="auto"/>
                <w:bottom w:val="none" w:sz="0" w:space="0" w:color="auto"/>
                <w:right w:val="none" w:sz="0" w:space="0" w:color="auto"/>
              </w:divBdr>
              <w:divsChild>
                <w:div w:id="6277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6194">
      <w:bodyDiv w:val="1"/>
      <w:marLeft w:val="0"/>
      <w:marRight w:val="0"/>
      <w:marTop w:val="0"/>
      <w:marBottom w:val="0"/>
      <w:divBdr>
        <w:top w:val="none" w:sz="0" w:space="0" w:color="auto"/>
        <w:left w:val="none" w:sz="0" w:space="0" w:color="auto"/>
        <w:bottom w:val="none" w:sz="0" w:space="0" w:color="auto"/>
        <w:right w:val="none" w:sz="0" w:space="0" w:color="auto"/>
      </w:divBdr>
      <w:divsChild>
        <w:div w:id="981499809">
          <w:marLeft w:val="0"/>
          <w:marRight w:val="0"/>
          <w:marTop w:val="0"/>
          <w:marBottom w:val="0"/>
          <w:divBdr>
            <w:top w:val="none" w:sz="0" w:space="0" w:color="auto"/>
            <w:left w:val="none" w:sz="0" w:space="0" w:color="auto"/>
            <w:bottom w:val="none" w:sz="0" w:space="0" w:color="auto"/>
            <w:right w:val="none" w:sz="0" w:space="0" w:color="auto"/>
          </w:divBdr>
          <w:divsChild>
            <w:div w:id="942955454">
              <w:marLeft w:val="0"/>
              <w:marRight w:val="0"/>
              <w:marTop w:val="0"/>
              <w:marBottom w:val="0"/>
              <w:divBdr>
                <w:top w:val="none" w:sz="0" w:space="0" w:color="auto"/>
                <w:left w:val="none" w:sz="0" w:space="0" w:color="auto"/>
                <w:bottom w:val="none" w:sz="0" w:space="0" w:color="auto"/>
                <w:right w:val="none" w:sz="0" w:space="0" w:color="auto"/>
              </w:divBdr>
              <w:divsChild>
                <w:div w:id="96732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44132">
      <w:bodyDiv w:val="1"/>
      <w:marLeft w:val="0"/>
      <w:marRight w:val="0"/>
      <w:marTop w:val="0"/>
      <w:marBottom w:val="0"/>
      <w:divBdr>
        <w:top w:val="none" w:sz="0" w:space="0" w:color="auto"/>
        <w:left w:val="none" w:sz="0" w:space="0" w:color="auto"/>
        <w:bottom w:val="none" w:sz="0" w:space="0" w:color="auto"/>
        <w:right w:val="none" w:sz="0" w:space="0" w:color="auto"/>
      </w:divBdr>
      <w:divsChild>
        <w:div w:id="972246281">
          <w:marLeft w:val="0"/>
          <w:marRight w:val="0"/>
          <w:marTop w:val="0"/>
          <w:marBottom w:val="0"/>
          <w:divBdr>
            <w:top w:val="none" w:sz="0" w:space="0" w:color="auto"/>
            <w:left w:val="none" w:sz="0" w:space="0" w:color="auto"/>
            <w:bottom w:val="none" w:sz="0" w:space="0" w:color="auto"/>
            <w:right w:val="none" w:sz="0" w:space="0" w:color="auto"/>
          </w:divBdr>
          <w:divsChild>
            <w:div w:id="1531650852">
              <w:marLeft w:val="0"/>
              <w:marRight w:val="0"/>
              <w:marTop w:val="0"/>
              <w:marBottom w:val="0"/>
              <w:divBdr>
                <w:top w:val="none" w:sz="0" w:space="0" w:color="auto"/>
                <w:left w:val="none" w:sz="0" w:space="0" w:color="auto"/>
                <w:bottom w:val="none" w:sz="0" w:space="0" w:color="auto"/>
                <w:right w:val="none" w:sz="0" w:space="0" w:color="auto"/>
              </w:divBdr>
              <w:divsChild>
                <w:div w:id="1139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package" Target="embeddings/Microsoft_Excel_Worksheet1.xlsx"/><Relationship Id="rId21" Type="http://schemas.openxmlformats.org/officeDocument/2006/relationships/chart" Target="charts/chart5.xml"/><Relationship Id="rId42" Type="http://schemas.openxmlformats.org/officeDocument/2006/relationships/hyperlink" Target="http://s3-eu-west-1.amazonaws.com/pathwaysofempowerment-org-production/downloads/agenda_for_change_original6cf1dd4da422d93cc21abb9419f0067c.pdf" TargetMode="External"/><Relationship Id="rId47" Type="http://schemas.openxmlformats.org/officeDocument/2006/relationships/hyperlink" Target="http://www1.paho.org/english/hdp/hdw/nicaragua.pdf" TargetMode="External"/><Relationship Id="rId63" Type="http://schemas.openxmlformats.org/officeDocument/2006/relationships/hyperlink" Target="http://stats.oecd.org/glossary/detail.asp?ID=730" TargetMode="External"/><Relationship Id="rId68" Type="http://schemas.openxmlformats.org/officeDocument/2006/relationships/hyperlink" Target="http://journals.sagepub.com/doi/abs/10.1177/1065912913510786" TargetMode="External"/><Relationship Id="rId84" Type="http://schemas.openxmlformats.org/officeDocument/2006/relationships/hyperlink" Target="https://oxfamblogs.org/fp2p/beyond-the-fringe-realizing-the-potential-of-social-and-solidarity-economy/" TargetMode="External"/><Relationship Id="rId89" Type="http://schemas.openxmlformats.org/officeDocument/2006/relationships/hyperlink" Target="file://C:\Users\Library\Containers\com.microsoft.Word\Data\Downloads\Downloads\Woodcraft,%20J.%20%20and%20Donald,%20K.%20(2014)%20'Unpaid%20care:%20a%20priority%20for%20the%20post-2015%20development%20goals%20and%20beyond',%20%20Briefings%20%5bOnline%5d,%20%206%20(July%202014).%20London:%20Gender%20and%20Development%20Network.%20%20Available%20at:%20%20https:\%20static%201.%20Squarespace.com\static\536c4ee8e4b0b60bc6ca7c74\t\53e0f128e4b09446eddce521\1407250728579\GADN+Unpaid+Care+briefing.pdf" TargetMode="External"/><Relationship Id="rId112" Type="http://schemas.openxmlformats.org/officeDocument/2006/relationships/image" Target="media/image14.emf"/><Relationship Id="rId16" Type="http://schemas.openxmlformats.org/officeDocument/2006/relationships/image" Target="media/image7.jpeg"/><Relationship Id="rId107" Type="http://schemas.openxmlformats.org/officeDocument/2006/relationships/hyperlink" Target="http://www.ict4dc.org/" TargetMode="External"/><Relationship Id="rId11" Type="http://schemas.openxmlformats.org/officeDocument/2006/relationships/image" Target="media/image2.tiff"/><Relationship Id="rId32" Type="http://schemas.openxmlformats.org/officeDocument/2006/relationships/hyperlink" Target="http://fideg.org/wp-content/uploads/2017/02/Informe_Final_FEMUPROCAN.pdf" TargetMode="External"/><Relationship Id="rId37" Type="http://schemas.openxmlformats.org/officeDocument/2006/relationships/hyperlink" Target="https://www.ethicaltrade.org/sites/default/files/shared_resources/eti_living_wage_guidance_2.pdf" TargetMode="External"/><Relationship Id="rId53" Type="http://schemas.openxmlformats.org/officeDocument/2006/relationships/hyperlink" Target="http://marketshareassociates.com/wp-content/uploads/2017/06/Social-Norms-in-Market-Systems.pdf" TargetMode="External"/><Relationship Id="rId58" Type="http://schemas.openxmlformats.org/officeDocument/2006/relationships/hyperlink" Target="https://docs.gatesfoundation.org/Documents/gender-value-chain-%20guide.pdf" TargetMode="External"/><Relationship Id="rId74" Type="http://schemas.openxmlformats.org/officeDocument/2006/relationships/hyperlink" Target="https://www.theguardian.com/world/2017/may/26/gender-wars-household-chores-comic" TargetMode="External"/><Relationship Id="rId79" Type="http://schemas.openxmlformats.org/officeDocument/2006/relationships/hyperlink" Target="http://hlp-wee.unwomen.org/-/media/hlp%20wee/attachments/reports-toolkits/hlp-wee-report-2016-09-call-to-action-en.pdf?la=en" TargetMode="External"/><Relationship Id="rId102" Type="http://schemas.openxmlformats.org/officeDocument/2006/relationships/image" Target="media/image11.jpe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newworldencyclopedia.org/entry/Sandinista_National_Liberation_Front" TargetMode="External"/><Relationship Id="rId82" Type="http://schemas.openxmlformats.org/officeDocument/2006/relationships/hyperlink" Target="http://pdf.usaid.gov/pdf_docs/pnaec498.pdf" TargetMode="External"/><Relationship Id="rId90" Type="http://schemas.openxmlformats.org/officeDocument/2006/relationships/hyperlink" Target="https://siteresources.worldbank.org/INTGENDER/Resources/GAPNov2.pdf" TargetMode="External"/><Relationship Id="rId95" Type="http://schemas.openxmlformats.org/officeDocument/2006/relationships/hyperlink" Target="http://www.w-edigest.org/dirt-women-taking-risks-experimentation-with-solutions-to-the-coffee-leaf-rust-crisis-in-nicaragua/" TargetMode="External"/><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hyperlink" Target="https://apolitical.co/solution_article/how-to-value-unpaid-care-work-the-10-trillion-question" TargetMode="External"/><Relationship Id="rId30" Type="http://schemas.openxmlformats.org/officeDocument/2006/relationships/hyperlink" Target="file://C:\Users\Library\Containers\com.microsoft.Word\Data\Downloads\Think%20pieces.%20Gender%20and%20Development%20Network%20GADN.%20Available%20at:%20https:\static1.squarespace.com\static\536c4ee8e4b0b60bc6ca7c74\t\59a551757131a5afe9cbb730\1504006519591\Rhodes+Capraro+-+Advancing+feminist+alternatives+in+the+context+of+neoliberalism+.pdf" TargetMode="External"/><Relationship Id="rId35" Type="http://schemas.openxmlformats.org/officeDocument/2006/relationships/hyperlink" Target="http://strive.lshtm.ac.uk/system/files/attachments/Baltimore%20norms%20meeting%20report.pdf" TargetMode="External"/><Relationship Id="rId43" Type="http://schemas.openxmlformats.org/officeDocument/2006/relationships/hyperlink" Target="http://fideg.org/wp-content/uploads/2017/02/09.pdf" TargetMode="External"/><Relationship Id="rId48" Type="http://schemas.openxmlformats.org/officeDocument/2006/relationships/hyperlink" Target="http://www.inide.gob.ni" TargetMode="External"/><Relationship Id="rId56" Type="http://schemas.openxmlformats.org/officeDocument/2006/relationships/hyperlink" Target="https://pqdtopen.proquest.com/doc/1263804271.html?FMT=ABS" TargetMode="External"/><Relationship Id="rId64" Type="http://schemas.openxmlformats.org/officeDocument/2006/relationships/hyperlink" Target="http://ebrary.ifpri.org/cdm/ref/collection/p15738coll2/id/129647" TargetMode="External"/><Relationship Id="rId69" Type="http://schemas.openxmlformats.org/officeDocument/2006/relationships/hyperlink" Target="http://www.envio.org.ni/articulo/524" TargetMode="External"/><Relationship Id="rId77" Type="http://schemas.openxmlformats.org/officeDocument/2006/relationships/hyperlink" Target="https://www.delcampo.net.ni/file_bibli/Estudio_de_la_cadena_del_%20ajonjoli.pdf" TargetMode="External"/><Relationship Id="rId100" Type="http://schemas.openxmlformats.org/officeDocument/2006/relationships/image" Target="media/image9.png"/><Relationship Id="rId105" Type="http://schemas.openxmlformats.org/officeDocument/2006/relationships/hyperlink" Target="tel:%2B44%201903%20846%20478" TargetMode="External"/><Relationship Id="rId113" Type="http://schemas.openxmlformats.org/officeDocument/2006/relationships/image" Target="media/image140.emf"/><Relationship Id="rId118" Type="http://schemas.openxmlformats.org/officeDocument/2006/relationships/image" Target="media/image16.jpe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oxfordscholarship.com/view/10.1093/acprof:oso/9780199777884.001.0001/acprof-9780199777884" TargetMode="External"/><Relationship Id="rId72" Type="http://schemas.openxmlformats.org/officeDocument/2006/relationships/hyperlink" Target="https://ssrn.com/abstract=2437791" TargetMode="External"/><Relationship Id="rId80" Type="http://schemas.openxmlformats.org/officeDocument/2006/relationships/hyperlink" Target="http://unstats.un.org/unsd/sna1993/toctop" TargetMode="External"/><Relationship Id="rId85" Type="http://schemas.openxmlformats.org/officeDocument/2006/relationships/hyperlink" Target="https://openaccess.leidenuniv.nl/bitstream/handle/1887/33346/The%20impact%20of%20FT%20on%20small%20farmers%20The%20Case%20of%20Union%20of%20Indigenous%20Communities%20of%20the%20Isthmus%20Region%20in%20Mexico%20and%20Society%20of%20Small%20Producers%20for%20Coffee%20Export%20in%20Nicaragua.pdf?sequence=1" TargetMode="External"/><Relationship Id="rId93" Type="http://schemas.openxmlformats.org/officeDocument/2006/relationships/hyperlink" Target="http://www.worldbank.org/en/news/opinion/2013/03/07/putting-a-price-on-violence-against-women-and-girls" TargetMode="External"/><Relationship Id="rId98" Type="http://schemas.openxmlformats.org/officeDocument/2006/relationships/hyperlink" Target="https://www.fairtrade.net/fileadmin/user_upload/content/2009/about_fairtrade/2011-06-28_fair-trade-glossary_WFTO-FLO-FLOCERT.pdf" TargetMode="External"/><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fideg.org/wp-content/uploads/2017/05/State-Society-and-Donor-Relations_Carrion-2017.pdf" TargetMode="External"/><Relationship Id="rId38" Type="http://schemas.openxmlformats.org/officeDocument/2006/relationships/hyperlink" Target="http://www.americalatinagenera.org/es/documentos/Atando_Cabos.pdf" TargetMode="External"/><Relationship Id="rId46" Type="http://schemas.openxmlformats.org/officeDocument/2006/relationships/hyperlink" Target="https://ojs.library.queensu.ca/index.php/surveillance-and-society/article/view/4153" TargetMode="External"/><Relationship Id="rId59" Type="http://schemas.openxmlformats.org/officeDocument/2006/relationships/hyperlink" Target="https://beamexchange.org/community/blogs/2015/8/12/msagenderresearch/" TargetMode="External"/><Relationship Id="rId67" Type="http://schemas.openxmlformats.org/officeDocument/2006/relationships/hyperlink" Target="http://www.un.org/womenwatch/daw/csw/csw53/panels/keypolicy/Razavi.pdf" TargetMode="External"/><Relationship Id="rId103" Type="http://schemas.openxmlformats.org/officeDocument/2006/relationships/hyperlink" Target="mailto:Felicity.Butler.2011@live.rhul.ac.uk" TargetMode="External"/><Relationship Id="rId108" Type="http://schemas.openxmlformats.org/officeDocument/2006/relationships/hyperlink" Target="mailto:Dorothea.Kleine@rhul.ac.uk" TargetMode="External"/><Relationship Id="rId116" Type="http://schemas.openxmlformats.org/officeDocument/2006/relationships/image" Target="media/image15.emf"/><Relationship Id="rId124" Type="http://schemas.openxmlformats.org/officeDocument/2006/relationships/footer" Target="footer7.xml"/><Relationship Id="rId20" Type="http://schemas.openxmlformats.org/officeDocument/2006/relationships/chart" Target="charts/chart4.xml"/><Relationship Id="rId41" Type="http://schemas.openxmlformats.org/officeDocument/2006/relationships/hyperlink" Target="https://repository.uantwerpen.be/desktop/irua/core/index.phtml?language=&amp;euser=&amp;session=&amp;service=opacirua&amp;robot=&amp;deskservice=desktop&amp;desktop=irua&amp;workstation=&amp;extra=loi=c:irua:130504" TargetMode="External"/><Relationship Id="rId54" Type="http://schemas.openxmlformats.org/officeDocument/2006/relationships/hyperlink" Target="http://utdr.utoledo.edu/theses-dissertations/892" TargetMode="External"/><Relationship Id="rId62" Type="http://schemas.openxmlformats.org/officeDocument/2006/relationships/hyperlink" Target="http://www.envio.org.ni/articulo/524" TargetMode="External"/><Relationship Id="rId70" Type="http://schemas.openxmlformats.org/officeDocument/2006/relationships/hyperlink" Target="https://oxfamintermon.s3.amazonaws.com/sites/default/files/documentos/files/informeTierraMujer.pdf" TargetMode="External"/><Relationship Id="rId75" Type="http://schemas.openxmlformats.org/officeDocument/2006/relationships/hyperlink" Target="http://policy-practice.oxfam.org.uk/publications/market-systems-approaches-to-enabling-womens-economic-empowerment-through-addre-603519" TargetMode="External"/><Relationship Id="rId83" Type="http://schemas.openxmlformats.org/officeDocument/2006/relationships/hyperlink" Target="http://www.unrisd.org/80256B3C005BCCF9/(httpAuxPages)/64D5CC31A7852D55C1257DB1004B81DA/$file/Utting%20et%20al.pdf" TargetMode="External"/><Relationship Id="rId88" Type="http://schemas.openxmlformats.org/officeDocument/2006/relationships/hyperlink" Target="http://www.andreacornwall.net/wp-content/uploads/2013/05/men_and_development.pdf" TargetMode="External"/><Relationship Id="rId91" Type="http://schemas.openxmlformats.org/officeDocument/2006/relationships/hyperlink" Target="http://web.worldbank/org" TargetMode="External"/><Relationship Id="rId96" Type="http://schemas.openxmlformats.org/officeDocument/2006/relationships/hyperlink" Target="http://reports.weforum.org/global-gender-gap-report-2014/report-highlights/" TargetMode="External"/><Relationship Id="rId11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hyperlink" Target="http://legislacion.asamblea.gob.ni/Normaweb.nsf/($All)/D4A4AB6A3935BB7906257331005B6D2C?OpenDocument" TargetMode="External"/><Relationship Id="rId36" Type="http://schemas.openxmlformats.org/officeDocument/2006/relationships/hyperlink" Target="http://www.un.org/womenwatch/daw/cedaw/37sess.htm" TargetMode="External"/><Relationship Id="rId49" Type="http://schemas.openxmlformats.org/officeDocument/2006/relationships/hyperlink" Target="file://C:\Users\Library\Containers\com.microsoft.Word\Data\Downloads\Downloads\Kabeer,%20N.%20%20(2017b)%20Women's%20economic%20versus%20non-economic%20empowerment:%20is%20it%20a%20false%20dichotomy?%20%20Women&#180;s%20Economic%20Empowerment%20Global%20Learning%20Forum%20%5bOnline%5d.%20%20Bangkok%20May%2023-25.%20Available%20at:%20https:\\weeforum2017.org\plenaries\" TargetMode="External"/><Relationship Id="rId57" Type="http://schemas.openxmlformats.org/officeDocument/2006/relationships/hyperlink" Target="https://beamexchange.org/uploads/filer_public/86/40/8640cd9d-59fe-4587-91e3-8293864a6762/unpaidcarework-report.pdf" TargetMode="External"/><Relationship Id="rId106" Type="http://schemas.openxmlformats.org/officeDocument/2006/relationships/hyperlink" Target="mailto:Christina.Archer@thebodyshop.com" TargetMode="External"/><Relationship Id="rId114" Type="http://schemas.openxmlformats.org/officeDocument/2006/relationships/footer" Target="footer3.xml"/><Relationship Id="rId119"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hyperlink" Target="https://static1.squarespace.com/static/536c4ee8e4b0b60bc6ca7c74/t/59a551757131a5afe9cbb730/1504006519591/Rhodes+Capraro+Advancing+feminist+alternatives+in+the+context+of+neoliberalism+.pdf" TargetMode="External"/><Relationship Id="rId44" Type="http://schemas.openxmlformats.org/officeDocument/2006/relationships/hyperlink" Target="http://www.gaps-uk.org/" TargetMode="External"/><Relationship Id="rId52" Type="http://schemas.openxmlformats.org/officeDocument/2006/relationships/hyperlink" Target="https://www.ids.ac.uk/files/dmfile/Wp423.pdf" TargetMode="External"/><Relationship Id="rId60" Type="http://schemas.openxmlformats.org/officeDocument/2006/relationships/hyperlink" Target="http://www.envio.org.ni/articulo/1515" TargetMode="External"/><Relationship Id="rId65" Type="http://schemas.openxmlformats.org/officeDocument/2006/relationships/hyperlink" Target="http://www.e-ir.info/2012/03/19/depletion-the-costs-of-unpaid-domestic-work/" TargetMode="External"/><Relationship Id="rId73" Type="http://schemas.openxmlformats.org/officeDocument/2006/relationships/hyperlink" Target="https://www.scaa.org/PDF/scaa-white-paper-gender-equality.pdf" TargetMode="External"/><Relationship Id="rId78" Type="http://schemas.openxmlformats.org/officeDocument/2006/relationships/hyperlink" Target="https://www.un.org/press/en/2007/wom1595.doc.htm" TargetMode="External"/><Relationship Id="rId81" Type="http://schemas.openxmlformats.org/officeDocument/2006/relationships/hyperlink" Target="http://progress.unwomen.org/en/2015/pdf/UNW_progressreport.pdf" TargetMode="External"/><Relationship Id="rId86" Type="http://schemas.openxmlformats.org/officeDocument/2006/relationships/hyperlink" Target="http://www.oxfordscholarship.com.ezproxy01.rhul.ac.uk/view/10.1093/acprof:oso/9780199969104.001.0001/acprof-9780199969104" TargetMode="External"/><Relationship Id="rId94" Type="http://schemas.openxmlformats.org/officeDocument/2006/relationships/hyperlink" Target="http://www.worldbank.org/en/news/feature/2017/06/26/accelerating-womens-economic-empowerment" TargetMode="External"/><Relationship Id="rId99" Type="http://schemas.openxmlformats.org/officeDocument/2006/relationships/hyperlink" Target="https://opendocs.ids.ac.uk/opendocs/bitstream/handle/123456789/13203/Wp494_Online.pdf?sequence=1&amp;isAllowed=y" TargetMode="External"/><Relationship Id="rId101" Type="http://schemas.openxmlformats.org/officeDocument/2006/relationships/image" Target="media/image10.jpg"/><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chart" Target="charts/chart2.xml"/><Relationship Id="rId39" Type="http://schemas.openxmlformats.org/officeDocument/2006/relationships/hyperlink" Target="https://www.fairtrade.net/programmes/gender.html" TargetMode="External"/><Relationship Id="rId109" Type="http://schemas.openxmlformats.org/officeDocument/2006/relationships/hyperlink" Target="http://www.heforshe.org" TargetMode="External"/><Relationship Id="rId34" Type="http://schemas.openxmlformats.org/officeDocument/2006/relationships/hyperlink" Target="http://www.tandfonline.com/toc/cgde20/current" TargetMode="External"/><Relationship Id="rId50" Type="http://schemas.openxmlformats.org/officeDocument/2006/relationships/hyperlink" Target="http://www.seepnetwork.org/blog/addressing-non-market-constraints-sustained-wee-theory-change" TargetMode="External"/><Relationship Id="rId55" Type="http://schemas.openxmlformats.org/officeDocument/2006/relationships/hyperlink" Target="https://www.lorealparisusa.com/about-loreal-paris/because-youre-worth-it.aspx" TargetMode="External"/><Relationship Id="rId76" Type="http://schemas.openxmlformats.org/officeDocument/2006/relationships/hyperlink" Target="http://www.twin.org.uk/assets/Twin-reports/Empowering-Women-Farmers-in-Agricultural-Value-Chains-1.pdf" TargetMode="External"/><Relationship Id="rId97" Type="http://schemas.openxmlformats.org/officeDocument/2006/relationships/hyperlink" Target="http://www.wfto.com/sites/default/files/Charter-of-Fair-Trade-Principles-Final%20(EN).PDF" TargetMode="External"/><Relationship Id="rId104" Type="http://schemas.openxmlformats.org/officeDocument/2006/relationships/hyperlink" Target="http://www.womenincommunitytrade.org"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reuters.com/article/oukwd-uk-nicaragua-ortega-idAFTRE59J11820091020" TargetMode="External"/><Relationship Id="rId92" Type="http://schemas.openxmlformats.org/officeDocument/2006/relationships/hyperlink" Target="https://siteresources.worldbank.org/INTWDR2012/Resources/7778105-1299699968583/7786210-1315936222006/Complete-Report.pdf" TargetMode="External"/><Relationship Id="rId2" Type="http://schemas.openxmlformats.org/officeDocument/2006/relationships/numbering" Target="numbering.xml"/><Relationship Id="rId29" Type="http://schemas.openxmlformats.org/officeDocument/2006/relationships/hyperlink" Target="https://www.gatesnotes.com/2016-Annual-Letter?WT.mc_id=02_22_2016_20_AL2016_MED-media_&amp;WT.tsrc=MEDmedia" TargetMode="External"/><Relationship Id="rId24" Type="http://schemas.openxmlformats.org/officeDocument/2006/relationships/chart" Target="charts/chart8.xml"/><Relationship Id="rId40" Type="http://schemas.openxmlformats.org/officeDocument/2006/relationships/hyperlink" Target="https://www.oecd.org/dev/development-gender/Unpaid_care_work.pdf" TargetMode="External"/><Relationship Id="rId45" Type="http://schemas.openxmlformats.org/officeDocument/2006/relationships/hyperlink" Target="http://www.bond.org.uk/the-uk-network-for-sexual-and-reproductive-health-and-rights" TargetMode="External"/><Relationship Id="rId66" Type="http://schemas.openxmlformats.org/officeDocument/2006/relationships/hyperlink" Target="http://www.ethicsofempowerment.org/papers/RaiEmpowerment.pdf" TargetMode="External"/><Relationship Id="rId87" Type="http://schemas.openxmlformats.org/officeDocument/2006/relationships/hyperlink" Target="http://www.oxfordscholarship.com/view/10.1093/acprof:oso/9780199969104.001.0001/acprof-9780199969104" TargetMode="External"/><Relationship Id="rId110" Type="http://schemas.openxmlformats.org/officeDocument/2006/relationships/image" Target="media/image12.png"/><Relationship Id="rId115"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world/2017/may/26/gender-wars-household-chores-comic" TargetMode="External"/><Relationship Id="rId13" Type="http://schemas.openxmlformats.org/officeDocument/2006/relationships/hyperlink" Target="http://hdr.undp.org/sites/default/files/hdr2016_technical_notes.pdf" TargetMode="External"/><Relationship Id="rId18" Type="http://schemas.openxmlformats.org/officeDocument/2006/relationships/hyperlink" Target="http://cafenica.net/2018/04/18/flores-del-cafe-abriendo-camino-en-el-cooperativismo-de-nicaragua/" TargetMode="External"/><Relationship Id="rId26" Type="http://schemas.openxmlformats.org/officeDocument/2006/relationships/hyperlink" Target="https://construir.esnicaragua.com/tabla-salario-minimo-nicaragua-2016/" TargetMode="External"/><Relationship Id="rId3" Type="http://schemas.openxmlformats.org/officeDocument/2006/relationships/hyperlink" Target="https://thesocialbusinessnetwork.wordpress.com" TargetMode="External"/><Relationship Id="rId21" Type="http://schemas.openxmlformats.org/officeDocument/2006/relationships/hyperlink" Target="https://www.elnuevodiario.com.ni/nacionales/398593-mercados-trueque-noroccidente-se-modernizan/" TargetMode="External"/><Relationship Id="rId34" Type="http://schemas.openxmlformats.org/officeDocument/2006/relationships/hyperlink" Target="https://canunite.org/about-us/" TargetMode="External"/><Relationship Id="rId7" Type="http://schemas.openxmlformats.org/officeDocument/2006/relationships/hyperlink" Target="http://www.fairtrade.org.uk/Farmers-and-Workers" TargetMode="External"/><Relationship Id="rId12" Type="http://schemas.openxmlformats.org/officeDocument/2006/relationships/hyperlink" Target="https://latin-america.hivos.org/pronunciamiento-emergencia-de-derechos-humanos-en-centroamerica" TargetMode="External"/><Relationship Id="rId17" Type="http://schemas.openxmlformats.org/officeDocument/2006/relationships/hyperlink" Target="http://hdr.undp.org/en/content/human-development-index-hdi" TargetMode="External"/><Relationship Id="rId25" Type="http://schemas.openxmlformats.org/officeDocument/2006/relationships/hyperlink" Target="http://legislacion.asamblea.gob.ni/Normaweb.nsf/($All)/D4A4AB6A3935BB7906257331005B6D2C?OpenDocument" TargetMode="External"/><Relationship Id="rId33" Type="http://schemas.openxmlformats.org/officeDocument/2006/relationships/hyperlink" Target="https://www.thebodyshop.com/en-gb/about-us/our-campaigns" TargetMode="External"/><Relationship Id="rId2" Type="http://schemas.openxmlformats.org/officeDocument/2006/relationships/hyperlink" Target="http://www.esrc.ac.uk/files/skills-and-careers/studentships/postgraduate-funding-guide/" TargetMode="External"/><Relationship Id="rId16" Type="http://schemas.openxmlformats.org/officeDocument/2006/relationships/hyperlink" Target="https://www.facebook.com/puntosdeencuentro/" TargetMode="External"/><Relationship Id="rId20" Type="http://schemas.openxmlformats.org/officeDocument/2006/relationships/hyperlink" Target="http://cafenica.net" TargetMode="External"/><Relationship Id="rId29" Type="http://schemas.openxmlformats.org/officeDocument/2006/relationships/hyperlink" Target="https://www.theguardian.com/business/2005/jul/17/lifeandhealth.beauty" TargetMode="External"/><Relationship Id="rId1" Type="http://schemas.openxmlformats.org/officeDocument/2006/relationships/hyperlink" Target="https://www.etico.net/Development.php" TargetMode="External"/><Relationship Id="rId6" Type="http://schemas.openxmlformats.org/officeDocument/2006/relationships/hyperlink" Target="https://sustainabledevelopment.un.org/sdg5" TargetMode="External"/><Relationship Id="rId11" Type="http://schemas.openxmlformats.org/officeDocument/2006/relationships/hyperlink" Target="https://canunite.org/our-work/alternative-trade-model-agroeco-coffee/" TargetMode="External"/><Relationship Id="rId24" Type="http://schemas.openxmlformats.org/officeDocument/2006/relationships/hyperlink" Target="http://www.mitrab.gob.ni/documentos/salario-minimo/Acta%20No.%202%20CNSM%2018.08.16-%20Ratificacion%20Salario%20Minimo.pdf/view" TargetMode="External"/><Relationship Id="rId32" Type="http://schemas.openxmlformats.org/officeDocument/2006/relationships/hyperlink" Target="http://www.bcn.gob.ni/estadisticas/mercados_cambiarios/tipo_cambio/cordoba_dolar/" TargetMode="External"/><Relationship Id="rId5" Type="http://schemas.openxmlformats.org/officeDocument/2006/relationships/hyperlink" Target="https://www.centralamericadata.com/en/article/home/Microfinance_is_booming_in_Nicaragua" TargetMode="External"/><Relationship Id="rId15" Type="http://schemas.openxmlformats.org/officeDocument/2006/relationships/hyperlink" Target="http://puntos-encuentro.blogspot.co.uk" TargetMode="External"/><Relationship Id="rId23" Type="http://schemas.openxmlformats.org/officeDocument/2006/relationships/hyperlink" Target="http://www.bcn.gob.ni/estadisticas/mercados_cambiarios/tipo_cambio/cordoba_dolar/index.php" TargetMode="External"/><Relationship Id="rId28" Type="http://schemas.openxmlformats.org/officeDocument/2006/relationships/hyperlink" Target="http://www.bcn.gob.ni/estadisticas/mercados_cambiarios/tipo_cambio/cordoba_dolar/index.php" TargetMode="External"/><Relationship Id="rId10" Type="http://schemas.openxmlformats.org/officeDocument/2006/relationships/hyperlink" Target="http://www.coffeeinstitute.org/our-work/partnership-for-gender-equity/" TargetMode="External"/><Relationship Id="rId19" Type="http://schemas.openxmlformats.org/officeDocument/2006/relationships/hyperlink" Target="https://etico.net" TargetMode="External"/><Relationship Id="rId31" Type="http://schemas.openxmlformats.org/officeDocument/2006/relationships/hyperlink" Target="http://www.w-edigest.org/dirt-women-taking-risks-experimentation-with-solutions-to-the-coffee-leaf-rust-crisis-in-nicaragua/" TargetMode="External"/><Relationship Id="rId4" Type="http://schemas.openxmlformats.org/officeDocument/2006/relationships/hyperlink" Target="http://legislacion.asamblea.gob.ni/Diariodebate.nsf/1e91f0054ac77a85062572e50067fde4/c8ee7befbc5ed29a0625796400564a7c" TargetMode="External"/><Relationship Id="rId9" Type="http://schemas.openxmlformats.org/officeDocument/2006/relationships/hyperlink" Target="http://www.un.org/womenwatch/daw/beijing/platform/economy.htm" TargetMode="External"/><Relationship Id="rId14" Type="http://schemas.openxmlformats.org/officeDocument/2006/relationships/hyperlink" Target="http://canteranicaragua.org/en/home/" TargetMode="External"/><Relationship Id="rId22" Type="http://schemas.openxmlformats.org/officeDocument/2006/relationships/hyperlink" Target="https://www.facebook.com/FundacionEntreMujeres/" TargetMode="External"/><Relationship Id="rId27" Type="http://schemas.openxmlformats.org/officeDocument/2006/relationships/hyperlink" Target="http://www.inide.gob.ni/CanastaB/CanastaB.htm" TargetMode="External"/><Relationship Id="rId30" Type="http://schemas.openxmlformats.org/officeDocument/2006/relationships/hyperlink" Target="https://naturalcosmeticslovers.wordpress.com/xxxxxxxxxxxxx/the-body-shop/consumer-analysis-of-the-body-sho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Achuapa%206,7,8.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Achuapa%206,7,8.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Achuapa%206,7,8.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Users\felicitybutler\Documents\Trabajo%20Felicity\June%202017\Fer\San%20Ramo&#769;n%206,7,8.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Besides you, which member of your household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does the majority of the care work?</a:t>
            </a:r>
          </a:p>
          <a:p>
            <a:pPr>
              <a:defRPr sz="1000" b="0" i="0" u="none" strike="noStrike" baseline="0">
                <a:solidFill>
                  <a:srgbClr val="000000"/>
                </a:solidFill>
                <a:latin typeface="Arial"/>
                <a:ea typeface="Arial"/>
                <a:cs typeface="Arial"/>
              </a:defRPr>
            </a:pPr>
            <a:r>
              <a:rPr lang="en-US" sz="1200" b="0" i="0" u="none" strike="noStrike" baseline="0">
                <a:latin typeface="Calibri"/>
                <a:ea typeface="Calibri"/>
                <a:cs typeface="Calibri"/>
              </a:rPr>
              <a:t>Achuapa</a:t>
            </a:r>
          </a:p>
        </c:rich>
      </c:tx>
      <c:layout>
        <c:manualLayout>
          <c:xMode val="edge"/>
          <c:yMode val="edge"/>
          <c:x val="0.22581359537719101"/>
          <c:y val="3.4844302998710497E-2"/>
        </c:manualLayout>
      </c:layout>
      <c:overlay val="0"/>
      <c:spPr>
        <a:noFill/>
        <a:ln w="25400">
          <a:noFill/>
        </a:ln>
      </c:spPr>
    </c:title>
    <c:autoTitleDeleted val="0"/>
    <c:plotArea>
      <c:layout>
        <c:manualLayout>
          <c:layoutTarget val="inner"/>
          <c:xMode val="edge"/>
          <c:yMode val="edge"/>
          <c:x val="0.22379743461454901"/>
          <c:y val="0.39374028086389301"/>
          <c:w val="0.26210510360262501"/>
          <c:h val="0.45297554435669102"/>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E885-A446-A095-8448CB16EEE5}"/>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E885-A446-A095-8448CB16EEE5}"/>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E885-A446-A095-8448CB16EEE5}"/>
              </c:ext>
            </c:extLst>
          </c:dPt>
          <c:dPt>
            <c:idx val="3"/>
            <c:bubble3D val="0"/>
            <c:spPr>
              <a:solidFill>
                <a:srgbClr val="579D1C"/>
              </a:solidFill>
              <a:ln w="25400">
                <a:noFill/>
              </a:ln>
            </c:spPr>
            <c:extLst xmlns:c16r2="http://schemas.microsoft.com/office/drawing/2015/06/chart">
              <c:ext xmlns:c16="http://schemas.microsoft.com/office/drawing/2014/chart" uri="{C3380CC4-5D6E-409C-BE32-E72D297353CC}">
                <c16:uniqueId val="{00000006-E885-A446-A095-8448CB16EEE5}"/>
              </c:ext>
            </c:extLst>
          </c:dPt>
          <c:dPt>
            <c:idx val="4"/>
            <c:bubble3D val="0"/>
            <c:spPr>
              <a:solidFill>
                <a:srgbClr val="7E0021"/>
              </a:solidFill>
              <a:ln w="25400">
                <a:noFill/>
              </a:ln>
            </c:spPr>
            <c:extLst xmlns:c16r2="http://schemas.microsoft.com/office/drawing/2015/06/chart">
              <c:ext xmlns:c16="http://schemas.microsoft.com/office/drawing/2014/chart" uri="{C3380CC4-5D6E-409C-BE32-E72D297353CC}">
                <c16:uniqueId val="{00000008-E885-A446-A095-8448CB16EEE5}"/>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85-A446-A095-8448CB16EEE5}"/>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85-A446-A095-8448CB16EEE5}"/>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85-A446-A095-8448CB16EEE5}"/>
                </c:ext>
                <c:ext xmlns:c15="http://schemas.microsoft.com/office/drawing/2012/chart" uri="{CE6537A1-D6FC-4f65-9D91-7224C49458BB}"/>
              </c:extLst>
            </c:dLbl>
            <c:dLbl>
              <c:idx val="3"/>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85-A446-A095-8448CB16EEE5}"/>
                </c:ext>
                <c:ext xmlns:c15="http://schemas.microsoft.com/office/drawing/2012/chart" uri="{CE6537A1-D6FC-4f65-9D91-7224C49458BB}"/>
              </c:extLst>
            </c:dLbl>
            <c:dLbl>
              <c:idx val="4"/>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885-A446-A095-8448CB16EEE5}"/>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6.1'!$H$15:$L$15</c:f>
              <c:strCache>
                <c:ptCount val="5"/>
                <c:pt idx="0">
                  <c:v>No one else</c:v>
                </c:pt>
                <c:pt idx="1">
                  <c:v>Partner</c:v>
                </c:pt>
                <c:pt idx="2">
                  <c:v>Daughter or Daughter in law</c:v>
                </c:pt>
                <c:pt idx="3">
                  <c:v>Son</c:v>
                </c:pt>
                <c:pt idx="4">
                  <c:v>Paid worker</c:v>
                </c:pt>
              </c:strCache>
            </c:strRef>
          </c:cat>
          <c:val>
            <c:numRef>
              <c:f>'Pregunta 6.1'!$H$16:$L$16</c:f>
              <c:numCache>
                <c:formatCode>0%</c:formatCode>
                <c:ptCount val="5"/>
                <c:pt idx="0">
                  <c:v>0.30434782608695599</c:v>
                </c:pt>
                <c:pt idx="1">
                  <c:v>0.173913043478261</c:v>
                </c:pt>
                <c:pt idx="2">
                  <c:v>0.34782608695652201</c:v>
                </c:pt>
                <c:pt idx="3">
                  <c:v>0.13043478260869601</c:v>
                </c:pt>
                <c:pt idx="4">
                  <c:v>4.3478260869565202E-2</c:v>
                </c:pt>
              </c:numCache>
            </c:numRef>
          </c:val>
          <c:extLst xmlns:c16r2="http://schemas.microsoft.com/office/drawing/2015/06/chart">
            <c:ext xmlns:c16="http://schemas.microsoft.com/office/drawing/2014/chart" uri="{C3380CC4-5D6E-409C-BE32-E72D297353CC}">
              <c16:uniqueId val="{00000009-E885-A446-A095-8448CB16EEE5}"/>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70163512827025598"/>
          <c:y val="0.49827320365442102"/>
          <c:w val="0.286299371348743"/>
          <c:h val="0.24739444154846499"/>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Have you paid for</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 any of these activities?</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Achuapa</a:t>
            </a:r>
          </a:p>
        </c:rich>
      </c:tx>
      <c:layout>
        <c:manualLayout>
          <c:xMode val="edge"/>
          <c:yMode val="edge"/>
          <c:x val="0.359929310983366"/>
          <c:y val="3.87944610371979E-2"/>
        </c:manualLayout>
      </c:layout>
      <c:overlay val="0"/>
      <c:spPr>
        <a:noFill/>
        <a:ln w="25400">
          <a:noFill/>
        </a:ln>
      </c:spPr>
    </c:title>
    <c:autoTitleDeleted val="0"/>
    <c:plotArea>
      <c:layout>
        <c:manualLayout>
          <c:layoutTarget val="inner"/>
          <c:xMode val="edge"/>
          <c:yMode val="edge"/>
          <c:x val="0.26994695582160699"/>
          <c:y val="0.45691172766997701"/>
          <c:w val="0.17791958451878601"/>
          <c:h val="0.375012455729132"/>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898D-FF41-8FE9-941AFA0E69FA}"/>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898D-FF41-8FE9-941AFA0E69FA}"/>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898D-FF41-8FE9-941AFA0E69FA}"/>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8D-FF41-8FE9-941AFA0E69FA}"/>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8D-FF41-8FE9-941AFA0E69FA}"/>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8D-FF41-8FE9-941AFA0E69FA}"/>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6.3'!$H$14:$J$14</c:f>
              <c:strCache>
                <c:ptCount val="3"/>
                <c:pt idx="0">
                  <c:v>None</c:v>
                </c:pt>
                <c:pt idx="1">
                  <c:v>Care for children</c:v>
                </c:pt>
                <c:pt idx="2">
                  <c:v>Washing, ironing, repairing clothes</c:v>
                </c:pt>
              </c:strCache>
            </c:strRef>
          </c:cat>
          <c:val>
            <c:numRef>
              <c:f>'Pregunta 6.3'!$H$15:$J$15</c:f>
              <c:numCache>
                <c:formatCode>0%</c:formatCode>
                <c:ptCount val="3"/>
                <c:pt idx="0">
                  <c:v>0.52173913043478304</c:v>
                </c:pt>
                <c:pt idx="1">
                  <c:v>8.6956521739130405E-2</c:v>
                </c:pt>
                <c:pt idx="2">
                  <c:v>0.39130434782608697</c:v>
                </c:pt>
              </c:numCache>
            </c:numRef>
          </c:val>
          <c:extLst xmlns:c16r2="http://schemas.microsoft.com/office/drawing/2015/06/chart">
            <c:ext xmlns:c16="http://schemas.microsoft.com/office/drawing/2014/chart" uri="{C3380CC4-5D6E-409C-BE32-E72D297353CC}">
              <c16:uniqueId val="{00000005-898D-FF41-8FE9-941AFA0E69FA}"/>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71167834082089398"/>
          <c:y val="0.47415354330708698"/>
          <c:w val="0.276082153841199"/>
          <c:h val="0.340528441487917"/>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In the last month, how many times have you tried to reduce</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 care work by sharing tasks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with people outside of your household?</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Achuapa</a:t>
            </a:r>
          </a:p>
        </c:rich>
      </c:tx>
      <c:layout>
        <c:manualLayout>
          <c:xMode val="edge"/>
          <c:yMode val="edge"/>
          <c:x val="0.18266249237295501"/>
          <c:y val="3.5462109789467802E-2"/>
        </c:manualLayout>
      </c:layout>
      <c:overlay val="0"/>
      <c:spPr>
        <a:noFill/>
        <a:ln w="25400">
          <a:noFill/>
        </a:ln>
      </c:spPr>
    </c:title>
    <c:autoTitleDeleted val="0"/>
    <c:plotArea>
      <c:layout>
        <c:manualLayout>
          <c:layoutTarget val="inner"/>
          <c:xMode val="edge"/>
          <c:yMode val="edge"/>
          <c:x val="0.32473325786850599"/>
          <c:y val="0.45391630547998202"/>
          <c:w val="0.20664843682541301"/>
          <c:h val="0.39717676729498402"/>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A811-0645-B3CF-226B3408D38D}"/>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A811-0645-B3CF-226B3408D38D}"/>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A811-0645-B3CF-226B3408D38D}"/>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11-0645-B3CF-226B3408D38D}"/>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11-0645-B3CF-226B3408D38D}"/>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11-0645-B3CF-226B3408D38D}"/>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8.12'!$G$10:$I$10</c:f>
              <c:strCache>
                <c:ptCount val="3"/>
                <c:pt idx="0">
                  <c:v>Never</c:v>
                </c:pt>
                <c:pt idx="1">
                  <c:v>At least once</c:v>
                </c:pt>
                <c:pt idx="2">
                  <c:v>Once a week</c:v>
                </c:pt>
              </c:strCache>
            </c:strRef>
          </c:cat>
          <c:val>
            <c:numRef>
              <c:f>'Pregunta 8.12'!$G$11:$I$11</c:f>
              <c:numCache>
                <c:formatCode>0%</c:formatCode>
                <c:ptCount val="3"/>
                <c:pt idx="0">
                  <c:v>0.565217391304348</c:v>
                </c:pt>
                <c:pt idx="1">
                  <c:v>0.39130434782608697</c:v>
                </c:pt>
                <c:pt idx="2">
                  <c:v>4.3478260869565202E-2</c:v>
                </c:pt>
              </c:numCache>
            </c:numRef>
          </c:val>
          <c:extLst xmlns:c16r2="http://schemas.microsoft.com/office/drawing/2015/06/chart">
            <c:ext xmlns:c16="http://schemas.microsoft.com/office/drawing/2014/chart" uri="{C3380CC4-5D6E-409C-BE32-E72D297353CC}">
              <c16:uniqueId val="{00000005-A811-0645-B3CF-226B3408D38D}"/>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85057965540285296"/>
          <c:y val="0.57803400904674196"/>
          <c:w val="0.138380596798094"/>
          <c:h val="0.15248757469146099"/>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In the last month, how many times have you tried to</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 reduce care work by sharing tasks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with people outside of your household?</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Reina. San Ramón</a:t>
            </a:r>
          </a:p>
        </c:rich>
      </c:tx>
      <c:layout>
        <c:manualLayout>
          <c:xMode val="edge"/>
          <c:yMode val="edge"/>
          <c:x val="0.19427998647408301"/>
          <c:y val="3.7191384134834402E-2"/>
        </c:manualLayout>
      </c:layout>
      <c:overlay val="0"/>
      <c:spPr>
        <a:noFill/>
        <a:ln w="25400">
          <a:noFill/>
        </a:ln>
      </c:spPr>
    </c:title>
    <c:autoTitleDeleted val="0"/>
    <c:plotArea>
      <c:layout>
        <c:manualLayout>
          <c:layoutTarget val="inner"/>
          <c:xMode val="edge"/>
          <c:yMode val="edge"/>
          <c:x val="0.33947874747262702"/>
          <c:y val="0.50828148061365797"/>
          <c:w val="0.16360421564945901"/>
          <c:h val="0.33058958088693202"/>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BBE2-D841-8685-D47E27364842}"/>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BBE2-D841-8685-D47E27364842}"/>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BBE2-D841-8685-D47E27364842}"/>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E2-D841-8685-D47E27364842}"/>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E2-D841-8685-D47E27364842}"/>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E2-D841-8685-D47E27364842}"/>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8.12'!$G$13:$I$13</c:f>
              <c:strCache>
                <c:ptCount val="3"/>
                <c:pt idx="0">
                  <c:v>Never</c:v>
                </c:pt>
                <c:pt idx="1">
                  <c:v>At least once</c:v>
                </c:pt>
                <c:pt idx="2">
                  <c:v>Once a week</c:v>
                </c:pt>
              </c:strCache>
            </c:strRef>
          </c:cat>
          <c:val>
            <c:numRef>
              <c:f>'Pregunta 8.12'!$G$14:$I$14</c:f>
              <c:numCache>
                <c:formatCode>0%</c:formatCode>
                <c:ptCount val="3"/>
                <c:pt idx="0">
                  <c:v>0.9</c:v>
                </c:pt>
                <c:pt idx="1">
                  <c:v>0.1</c:v>
                </c:pt>
                <c:pt idx="2">
                  <c:v>0</c:v>
                </c:pt>
              </c:numCache>
            </c:numRef>
          </c:val>
          <c:extLst xmlns:c16r2="http://schemas.microsoft.com/office/drawing/2015/06/chart">
            <c:ext xmlns:c16="http://schemas.microsoft.com/office/drawing/2014/chart" uri="{C3380CC4-5D6E-409C-BE32-E72D297353CC}">
              <c16:uniqueId val="{00000005-BBE2-D841-8685-D47E27364842}"/>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83438143084875105"/>
          <c:y val="0.58679638185722605"/>
          <c:w val="0.15337890279052499"/>
          <c:h val="0.177691807119151"/>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In the last month, how many times have you tried to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reduce care work by sharing tasks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with people outside of your household?</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Pita. San Ramón</a:t>
            </a:r>
          </a:p>
        </c:rich>
      </c:tx>
      <c:layout>
        <c:manualLayout>
          <c:xMode val="edge"/>
          <c:yMode val="edge"/>
          <c:x val="0.19427998647408301"/>
          <c:y val="3.6735979431142499E-2"/>
        </c:manualLayout>
      </c:layout>
      <c:overlay val="0"/>
      <c:spPr>
        <a:noFill/>
        <a:ln w="25400">
          <a:noFill/>
        </a:ln>
      </c:spPr>
    </c:title>
    <c:autoTitleDeleted val="0"/>
    <c:plotArea>
      <c:layout>
        <c:manualLayout>
          <c:layoutTarget val="inner"/>
          <c:xMode val="edge"/>
          <c:yMode val="edge"/>
          <c:x val="0.33743369477700902"/>
          <c:y val="0.50613852555554695"/>
          <c:w val="0.16769432104069501"/>
          <c:h val="0.33470450883511899"/>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B87A-944D-A675-CAE38BBCBFD2}"/>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B87A-944D-A675-CAE38BBCBFD2}"/>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B87A-944D-A675-CAE38BBCBFD2}"/>
              </c:ext>
            </c:extLst>
          </c:dPt>
          <c:dLbls>
            <c:dLbl>
              <c:idx val="0"/>
              <c:tx>
                <c:rich>
                  <a:bodyPr/>
                  <a:lstStyle/>
                  <a:p>
                    <a:pPr>
                      <a:defRPr sz="1000" b="0" i="0" u="none" strike="noStrike" baseline="0">
                        <a:solidFill>
                          <a:srgbClr val="000000"/>
                        </a:solidFill>
                        <a:latin typeface="Arial"/>
                        <a:ea typeface="Arial"/>
                        <a:cs typeface="Arial"/>
                      </a:defRPr>
                    </a:pPr>
                    <a:endParaRPr lang="en-US"/>
                  </a:p>
                  <a:p>
                    <a:pPr>
                      <a:defRPr sz="1000" b="0" i="0" u="none" strike="noStrike" baseline="0">
                        <a:solidFill>
                          <a:srgbClr val="000000"/>
                        </a:solidFill>
                        <a:latin typeface="Arial"/>
                        <a:ea typeface="Arial"/>
                        <a:cs typeface="Arial"/>
                      </a:defRPr>
                    </a:pPr>
                    <a:endParaRPr lang="en-US"/>
                  </a:p>
                  <a:p>
                    <a:pPr>
                      <a:defRPr sz="1000" b="0" i="0" u="none" strike="noStrike" baseline="0">
                        <a:solidFill>
                          <a:srgbClr val="000000"/>
                        </a:solidFill>
                        <a:latin typeface="Arial"/>
                        <a:ea typeface="Arial"/>
                        <a:cs typeface="Arial"/>
                      </a:defRPr>
                    </a:pPr>
                    <a:endParaRPr lang="en-US"/>
                  </a:p>
                </c:rich>
              </c:tx>
              <c:numFmt formatCode="0%" sourceLinked="0"/>
              <c:spPr>
                <a:noFill/>
                <a:ln w="25400">
                  <a:noFill/>
                </a:ln>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7A-944D-A675-CAE38BBCBFD2}"/>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7A-944D-A675-CAE38BBCBFD2}"/>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7A-944D-A675-CAE38BBCBFD2}"/>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8.12'!$G$17:$I$17</c:f>
              <c:strCache>
                <c:ptCount val="3"/>
                <c:pt idx="0">
                  <c:v>Never</c:v>
                </c:pt>
                <c:pt idx="1">
                  <c:v>At least once</c:v>
                </c:pt>
                <c:pt idx="2">
                  <c:v>Once a week</c:v>
                </c:pt>
              </c:strCache>
            </c:strRef>
          </c:cat>
          <c:val>
            <c:numRef>
              <c:f>'Pregunta 8.12'!$G$18:$I$18</c:f>
              <c:numCache>
                <c:formatCode>0%</c:formatCode>
                <c:ptCount val="3"/>
                <c:pt idx="0">
                  <c:v>0.85714285714285698</c:v>
                </c:pt>
                <c:pt idx="1">
                  <c:v>0</c:v>
                </c:pt>
                <c:pt idx="2">
                  <c:v>0.14285714285714299</c:v>
                </c:pt>
              </c:numCache>
            </c:numRef>
          </c:val>
          <c:extLst xmlns:c16r2="http://schemas.microsoft.com/office/drawing/2015/06/chart">
            <c:ext xmlns:c16="http://schemas.microsoft.com/office/drawing/2014/chart" uri="{C3380CC4-5D6E-409C-BE32-E72D297353CC}">
              <c16:uniqueId val="{00000005-B87A-944D-A675-CAE38BBCBFD2}"/>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83438143084875105"/>
          <c:y val="0.58777374256789305"/>
          <c:w val="0.15337890279052499"/>
          <c:h val="0.175515667684397"/>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Have you paid for any of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these activities (care work)?</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Reina, San Ramón</a:t>
            </a:r>
          </a:p>
        </c:rich>
      </c:tx>
      <c:layout>
        <c:manualLayout>
          <c:xMode val="edge"/>
          <c:yMode val="edge"/>
          <c:x val="0.29368025515797902"/>
          <c:y val="3.9549357177810399E-2"/>
        </c:manualLayout>
      </c:layout>
      <c:overlay val="0"/>
      <c:spPr>
        <a:noFill/>
        <a:ln w="25400">
          <a:noFill/>
        </a:ln>
      </c:spPr>
    </c:title>
    <c:autoTitleDeleted val="0"/>
    <c:plotArea>
      <c:layout>
        <c:manualLayout>
          <c:layoutTarget val="inner"/>
          <c:xMode val="edge"/>
          <c:yMode val="edge"/>
          <c:x val="0.32406099816842299"/>
          <c:y val="0.56498938317222003"/>
          <c:w val="0.106332515024014"/>
          <c:h val="0.23729554093233199"/>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D9BE-AD4E-865F-CF54DE608BF0}"/>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D9BE-AD4E-865F-CF54DE608BF0}"/>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D9BE-AD4E-865F-CF54DE608BF0}"/>
              </c:ext>
            </c:extLst>
          </c:dPt>
          <c:dPt>
            <c:idx val="3"/>
            <c:bubble3D val="0"/>
            <c:spPr>
              <a:solidFill>
                <a:srgbClr val="579D1C"/>
              </a:solidFill>
              <a:ln w="25400">
                <a:noFill/>
              </a:ln>
            </c:spPr>
            <c:extLst xmlns:c16r2="http://schemas.microsoft.com/office/drawing/2015/06/chart">
              <c:ext xmlns:c16="http://schemas.microsoft.com/office/drawing/2014/chart" uri="{C3380CC4-5D6E-409C-BE32-E72D297353CC}">
                <c16:uniqueId val="{00000006-D9BE-AD4E-865F-CF54DE608BF0}"/>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BE-AD4E-865F-CF54DE608BF0}"/>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BE-AD4E-865F-CF54DE608BF0}"/>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BE-AD4E-865F-CF54DE608BF0}"/>
                </c:ext>
                <c:ext xmlns:c15="http://schemas.microsoft.com/office/drawing/2012/chart" uri="{CE6537A1-D6FC-4f65-9D91-7224C49458BB}"/>
              </c:extLst>
            </c:dLbl>
            <c:dLbl>
              <c:idx val="3"/>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9BE-AD4E-865F-CF54DE608BF0}"/>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6.3'!$F$12:$I$12</c:f>
              <c:strCache>
                <c:ptCount val="4"/>
                <c:pt idx="0">
                  <c:v>None</c:v>
                </c:pt>
                <c:pt idx="1">
                  <c:v>Care for children</c:v>
                </c:pt>
                <c:pt idx="2">
                  <c:v>Washing, ironing, repairing clothes</c:v>
                </c:pt>
                <c:pt idx="3">
                  <c:v>Collect wood</c:v>
                </c:pt>
              </c:strCache>
            </c:strRef>
          </c:cat>
          <c:val>
            <c:numRef>
              <c:f>'Pregunta 6.3'!$F$13:$I$13</c:f>
              <c:numCache>
                <c:formatCode>0%</c:formatCode>
                <c:ptCount val="4"/>
                <c:pt idx="0">
                  <c:v>0.4</c:v>
                </c:pt>
                <c:pt idx="1">
                  <c:v>0.1</c:v>
                </c:pt>
                <c:pt idx="2">
                  <c:v>0.3</c:v>
                </c:pt>
                <c:pt idx="3">
                  <c:v>0.2</c:v>
                </c:pt>
              </c:numCache>
            </c:numRef>
          </c:val>
          <c:extLst xmlns:c16r2="http://schemas.microsoft.com/office/drawing/2015/06/chart">
            <c:ext xmlns:c16="http://schemas.microsoft.com/office/drawing/2014/chart" uri="{C3380CC4-5D6E-409C-BE32-E72D297353CC}">
              <c16:uniqueId val="{00000007-D9BE-AD4E-865F-CF54DE608BF0}"/>
            </c:ext>
          </c:extLst>
        </c:ser>
        <c:dLbls>
          <c:showLegendKey val="0"/>
          <c:showVal val="0"/>
          <c:showCatName val="0"/>
          <c:showSerName val="0"/>
          <c:showPercent val="0"/>
          <c:showBubbleSize val="0"/>
          <c:showLeaderLines val="0"/>
        </c:dLbls>
        <c:firstSliceAng val="0"/>
      </c:pieChart>
      <c:spPr>
        <a:noFill/>
        <a:ln w="3175">
          <a:solidFill>
            <a:srgbClr val="B3B3B3"/>
          </a:solidFill>
          <a:prstDash val="solid"/>
        </a:ln>
      </c:spPr>
    </c:plotArea>
    <c:legend>
      <c:legendPos val="r"/>
      <c:layout>
        <c:manualLayout>
          <c:xMode val="edge"/>
          <c:yMode val="edge"/>
          <c:x val="0.74685936409847498"/>
          <c:y val="0.38984251968503902"/>
          <c:w val="0.237982258546796"/>
          <c:h val="0.59323902308821597"/>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Have you paid for any of these</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 activities (care work)?</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Pita. San Ramón</a:t>
            </a:r>
          </a:p>
        </c:rich>
      </c:tx>
      <c:layout>
        <c:manualLayout>
          <c:xMode val="edge"/>
          <c:yMode val="edge"/>
          <c:x val="0.27387785383611002"/>
          <c:y val="3.92172301991663E-2"/>
        </c:manualLayout>
      </c:layout>
      <c:overlay val="0"/>
      <c:spPr>
        <a:noFill/>
        <a:ln w="25400">
          <a:noFill/>
        </a:ln>
      </c:spPr>
    </c:title>
    <c:autoTitleDeleted val="0"/>
    <c:plotArea>
      <c:layout>
        <c:manualLayout>
          <c:layoutTarget val="inner"/>
          <c:xMode val="edge"/>
          <c:yMode val="edge"/>
          <c:x val="0.29900422585684899"/>
          <c:y val="0.50491937134912501"/>
          <c:w val="0.160808995418809"/>
          <c:h val="0.313736308411107"/>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03C4-7447-AEB0-EC27540C07E3}"/>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03C4-7447-AEB0-EC27540C07E3}"/>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03C4-7447-AEB0-EC27540C07E3}"/>
              </c:ext>
            </c:extLst>
          </c:dPt>
          <c:dPt>
            <c:idx val="3"/>
            <c:bubble3D val="0"/>
            <c:spPr>
              <a:solidFill>
                <a:srgbClr val="579D1C"/>
              </a:solidFill>
              <a:ln w="25400">
                <a:noFill/>
              </a:ln>
            </c:spPr>
            <c:extLst xmlns:c16r2="http://schemas.microsoft.com/office/drawing/2015/06/chart">
              <c:ext xmlns:c16="http://schemas.microsoft.com/office/drawing/2014/chart" uri="{C3380CC4-5D6E-409C-BE32-E72D297353CC}">
                <c16:uniqueId val="{00000006-03C4-7447-AEB0-EC27540C07E3}"/>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C4-7447-AEB0-EC27540C07E3}"/>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C4-7447-AEB0-EC27540C07E3}"/>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C4-7447-AEB0-EC27540C07E3}"/>
                </c:ext>
                <c:ext xmlns:c15="http://schemas.microsoft.com/office/drawing/2012/chart" uri="{CE6537A1-D6FC-4f65-9D91-7224C49458BB}"/>
              </c:extLst>
            </c:dLbl>
            <c:dLbl>
              <c:idx val="3"/>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C4-7447-AEB0-EC27540C07E3}"/>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6.3'!$F$16:$I$16</c:f>
              <c:strCache>
                <c:ptCount val="4"/>
                <c:pt idx="0">
                  <c:v>None</c:v>
                </c:pt>
                <c:pt idx="1">
                  <c:v>Care for children</c:v>
                </c:pt>
                <c:pt idx="2">
                  <c:v>Washing, ironing, repairing clothes</c:v>
                </c:pt>
                <c:pt idx="3">
                  <c:v>Collect wood</c:v>
                </c:pt>
              </c:strCache>
            </c:strRef>
          </c:cat>
          <c:val>
            <c:numRef>
              <c:f>'Pregunta 6.3'!$F$17:$I$17</c:f>
              <c:numCache>
                <c:formatCode>0%</c:formatCode>
                <c:ptCount val="4"/>
                <c:pt idx="0">
                  <c:v>0.85714285714285698</c:v>
                </c:pt>
                <c:pt idx="1">
                  <c:v>0</c:v>
                </c:pt>
                <c:pt idx="2">
                  <c:v>0.14285714285714299</c:v>
                </c:pt>
                <c:pt idx="3">
                  <c:v>0</c:v>
                </c:pt>
              </c:numCache>
            </c:numRef>
          </c:val>
          <c:extLst xmlns:c16r2="http://schemas.microsoft.com/office/drawing/2015/06/chart">
            <c:ext xmlns:c16="http://schemas.microsoft.com/office/drawing/2014/chart" uri="{C3380CC4-5D6E-409C-BE32-E72D297353CC}">
              <c16:uniqueId val="{00000007-03C4-7447-AEB0-EC27540C07E3}"/>
            </c:ext>
          </c:extLst>
        </c:ser>
        <c:dLbls>
          <c:showLegendKey val="0"/>
          <c:showVal val="0"/>
          <c:showCatName val="0"/>
          <c:showSerName val="0"/>
          <c:showPercent val="0"/>
          <c:showBubbleSize val="0"/>
          <c:showLeaderLines val="0"/>
        </c:dLbls>
        <c:firstSliceAng val="0"/>
      </c:pieChart>
      <c:spPr>
        <a:noFill/>
        <a:ln w="3175">
          <a:solidFill>
            <a:srgbClr val="B3B3B3"/>
          </a:solidFill>
          <a:prstDash val="solid"/>
        </a:ln>
      </c:spPr>
    </c:plotArea>
    <c:legend>
      <c:legendPos val="r"/>
      <c:layout>
        <c:manualLayout>
          <c:xMode val="edge"/>
          <c:yMode val="edge"/>
          <c:x val="0.74876686582518903"/>
          <c:y val="0.40687664041994798"/>
          <c:w val="0.23618822458750399"/>
          <c:h val="0.51472363748649097"/>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Who do you ask for support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to perform these activities (care work)?</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Reina. San Ramón</a:t>
            </a:r>
          </a:p>
        </c:rich>
      </c:tx>
      <c:layout>
        <c:manualLayout>
          <c:xMode val="edge"/>
          <c:yMode val="edge"/>
          <c:x val="0.26994702349322902"/>
          <c:y val="3.92172301991663E-2"/>
        </c:manualLayout>
      </c:layout>
      <c:overlay val="0"/>
      <c:spPr>
        <a:noFill/>
        <a:ln w="25400">
          <a:noFill/>
        </a:ln>
      </c:spPr>
    </c:title>
    <c:autoTitleDeleted val="0"/>
    <c:plotArea>
      <c:layout>
        <c:manualLayout>
          <c:layoutTarget val="inner"/>
          <c:xMode val="edge"/>
          <c:yMode val="edge"/>
          <c:x val="0.28017221929969799"/>
          <c:y val="0.50491937134912501"/>
          <c:w val="0.130883372519567"/>
          <c:h val="0.313736308411107"/>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31AC-9249-852F-7C92606F4717}"/>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31AC-9249-852F-7C92606F4717}"/>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31AC-9249-852F-7C92606F4717}"/>
              </c:ext>
            </c:extLst>
          </c:dPt>
          <c:dPt>
            <c:idx val="3"/>
            <c:bubble3D val="0"/>
            <c:spPr>
              <a:solidFill>
                <a:srgbClr val="579D1C"/>
              </a:solidFill>
              <a:ln w="25400">
                <a:noFill/>
              </a:ln>
            </c:spPr>
            <c:extLst xmlns:c16r2="http://schemas.microsoft.com/office/drawing/2015/06/chart">
              <c:ext xmlns:c16="http://schemas.microsoft.com/office/drawing/2014/chart" uri="{C3380CC4-5D6E-409C-BE32-E72D297353CC}">
                <c16:uniqueId val="{00000006-31AC-9249-852F-7C92606F4717}"/>
              </c:ext>
            </c:extLst>
          </c:dPt>
          <c:dPt>
            <c:idx val="4"/>
            <c:bubble3D val="0"/>
            <c:spPr>
              <a:solidFill>
                <a:srgbClr val="7E0021"/>
              </a:solidFill>
              <a:ln w="25400">
                <a:noFill/>
              </a:ln>
            </c:spPr>
            <c:extLst xmlns:c16r2="http://schemas.microsoft.com/office/drawing/2015/06/chart">
              <c:ext xmlns:c16="http://schemas.microsoft.com/office/drawing/2014/chart" uri="{C3380CC4-5D6E-409C-BE32-E72D297353CC}">
                <c16:uniqueId val="{00000008-31AC-9249-852F-7C92606F4717}"/>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AC-9249-852F-7C92606F4717}"/>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AC-9249-852F-7C92606F4717}"/>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AC-9249-852F-7C92606F4717}"/>
                </c:ext>
                <c:ext xmlns:c15="http://schemas.microsoft.com/office/drawing/2012/chart" uri="{CE6537A1-D6FC-4f65-9D91-7224C49458BB}"/>
              </c:extLst>
            </c:dLbl>
            <c:dLbl>
              <c:idx val="3"/>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1AC-9249-852F-7C92606F4717}"/>
                </c:ext>
                <c:ext xmlns:c15="http://schemas.microsoft.com/office/drawing/2012/chart" uri="{CE6537A1-D6FC-4f65-9D91-7224C49458BB}"/>
              </c:extLst>
            </c:dLbl>
            <c:dLbl>
              <c:idx val="4"/>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1AC-9249-852F-7C92606F4717}"/>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7.21'!$H$13:$L$13</c:f>
              <c:strCache>
                <c:ptCount val="5"/>
                <c:pt idx="0">
                  <c:v>Nobody</c:v>
                </c:pt>
                <c:pt idx="1">
                  <c:v>My partner</c:v>
                </c:pt>
                <c:pt idx="2">
                  <c:v>Daughter, Nephew, Sister, Daughter in law</c:v>
                </c:pt>
                <c:pt idx="3">
                  <c:v>Son, Nephew, Brother, Son in law</c:v>
                </c:pt>
                <c:pt idx="4">
                  <c:v>Paid worker</c:v>
                </c:pt>
              </c:strCache>
            </c:strRef>
          </c:cat>
          <c:val>
            <c:numRef>
              <c:f>'Pregunta 7.21'!$H$14:$L$14</c:f>
              <c:numCache>
                <c:formatCode>0%</c:formatCode>
                <c:ptCount val="5"/>
                <c:pt idx="0">
                  <c:v>0.6</c:v>
                </c:pt>
                <c:pt idx="1">
                  <c:v>0.3</c:v>
                </c:pt>
                <c:pt idx="2">
                  <c:v>0.1</c:v>
                </c:pt>
                <c:pt idx="3">
                  <c:v>0</c:v>
                </c:pt>
                <c:pt idx="4">
                  <c:v>0</c:v>
                </c:pt>
              </c:numCache>
            </c:numRef>
          </c:val>
          <c:extLst xmlns:c16r2="http://schemas.microsoft.com/office/drawing/2015/06/chart">
            <c:ext xmlns:c16="http://schemas.microsoft.com/office/drawing/2014/chart" uri="{C3380CC4-5D6E-409C-BE32-E72D297353CC}">
              <c16:uniqueId val="{00000009-31AC-9249-852F-7C92606F4717}"/>
            </c:ext>
          </c:extLst>
        </c:ser>
        <c:dLbls>
          <c:showLegendKey val="0"/>
          <c:showVal val="0"/>
          <c:showCatName val="0"/>
          <c:showSerName val="0"/>
          <c:showPercent val="0"/>
          <c:showBubbleSize val="0"/>
          <c:showLeaderLines val="0"/>
        </c:dLbls>
        <c:firstSliceAng val="0"/>
      </c:pieChart>
      <c:spPr>
        <a:noFill/>
        <a:ln w="3175">
          <a:noFill/>
          <a:prstDash val="solid"/>
        </a:ln>
      </c:spPr>
    </c:plotArea>
    <c:legend>
      <c:legendPos val="r"/>
      <c:layout>
        <c:manualLayout>
          <c:xMode val="edge"/>
          <c:yMode val="edge"/>
          <c:x val="0.68304767885609396"/>
          <c:y val="0.34314922031804801"/>
          <c:w val="0.30471281580600001"/>
          <c:h val="0.64217886367145305"/>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Who do you ask for support </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to perform these activities (care work)?</a:t>
            </a:r>
          </a:p>
          <a:p>
            <a:pPr>
              <a:defRPr sz="1000" b="0" i="0" u="none" strike="noStrike" baseline="0">
                <a:solidFill>
                  <a:srgbClr val="000000"/>
                </a:solidFill>
                <a:latin typeface="Arial"/>
                <a:ea typeface="Arial"/>
                <a:cs typeface="Arial"/>
              </a:defRPr>
            </a:pPr>
            <a:r>
              <a:rPr lang="en-US" sz="1300" b="0" i="0" u="none" strike="noStrike" baseline="0">
                <a:solidFill>
                  <a:srgbClr val="000000"/>
                </a:solidFill>
                <a:latin typeface="Arial"/>
                <a:ea typeface="Arial"/>
                <a:cs typeface="Arial"/>
              </a:rPr>
              <a:t>La Pita. San Ramón</a:t>
            </a:r>
          </a:p>
        </c:rich>
      </c:tx>
      <c:layout>
        <c:manualLayout>
          <c:xMode val="edge"/>
          <c:yMode val="edge"/>
          <c:x val="0.26994702349322902"/>
          <c:y val="3.4483965366398202E-2"/>
        </c:manualLayout>
      </c:layout>
      <c:overlay val="0"/>
      <c:spPr>
        <a:noFill/>
        <a:ln w="25400">
          <a:noFill/>
        </a:ln>
      </c:spPr>
    </c:title>
    <c:autoTitleDeleted val="0"/>
    <c:plotArea>
      <c:layout>
        <c:manualLayout>
          <c:layoutTarget val="inner"/>
          <c:xMode val="edge"/>
          <c:yMode val="edge"/>
          <c:x val="0.23313600730047901"/>
          <c:y val="0.42146988511096301"/>
          <c:w val="0.22291074382238699"/>
          <c:h val="0.41763834070086298"/>
        </c:manualLayout>
      </c:layout>
      <c:pieChart>
        <c:varyColors val="1"/>
        <c:ser>
          <c:idx val="0"/>
          <c:order val="0"/>
          <c:spPr>
            <a:solidFill>
              <a:srgbClr val="004586"/>
            </a:solidFill>
            <a:ln w="25400">
              <a:noFill/>
            </a:ln>
          </c:spPr>
          <c:dPt>
            <c:idx val="0"/>
            <c:bubble3D val="0"/>
            <c:extLst xmlns:c16r2="http://schemas.microsoft.com/office/drawing/2015/06/chart">
              <c:ext xmlns:c16="http://schemas.microsoft.com/office/drawing/2014/chart" uri="{C3380CC4-5D6E-409C-BE32-E72D297353CC}">
                <c16:uniqueId val="{00000000-5E53-BE4F-BD9B-83882CE29028}"/>
              </c:ext>
            </c:extLst>
          </c:dPt>
          <c:dPt>
            <c:idx val="1"/>
            <c:bubble3D val="0"/>
            <c:spPr>
              <a:solidFill>
                <a:srgbClr val="FF420E"/>
              </a:solidFill>
              <a:ln w="25400">
                <a:noFill/>
              </a:ln>
            </c:spPr>
            <c:extLst xmlns:c16r2="http://schemas.microsoft.com/office/drawing/2015/06/chart">
              <c:ext xmlns:c16="http://schemas.microsoft.com/office/drawing/2014/chart" uri="{C3380CC4-5D6E-409C-BE32-E72D297353CC}">
                <c16:uniqueId val="{00000002-5E53-BE4F-BD9B-83882CE29028}"/>
              </c:ext>
            </c:extLst>
          </c:dPt>
          <c:dPt>
            <c:idx val="2"/>
            <c:bubble3D val="0"/>
            <c:spPr>
              <a:solidFill>
                <a:srgbClr val="FFD320"/>
              </a:solidFill>
              <a:ln w="25400">
                <a:noFill/>
              </a:ln>
            </c:spPr>
            <c:extLst xmlns:c16r2="http://schemas.microsoft.com/office/drawing/2015/06/chart">
              <c:ext xmlns:c16="http://schemas.microsoft.com/office/drawing/2014/chart" uri="{C3380CC4-5D6E-409C-BE32-E72D297353CC}">
                <c16:uniqueId val="{00000004-5E53-BE4F-BD9B-83882CE29028}"/>
              </c:ext>
            </c:extLst>
          </c:dPt>
          <c:dPt>
            <c:idx val="3"/>
            <c:bubble3D val="0"/>
            <c:spPr>
              <a:solidFill>
                <a:srgbClr val="579D1C"/>
              </a:solidFill>
              <a:ln w="25400">
                <a:noFill/>
              </a:ln>
            </c:spPr>
            <c:extLst xmlns:c16r2="http://schemas.microsoft.com/office/drawing/2015/06/chart">
              <c:ext xmlns:c16="http://schemas.microsoft.com/office/drawing/2014/chart" uri="{C3380CC4-5D6E-409C-BE32-E72D297353CC}">
                <c16:uniqueId val="{00000006-5E53-BE4F-BD9B-83882CE29028}"/>
              </c:ext>
            </c:extLst>
          </c:dPt>
          <c:dPt>
            <c:idx val="4"/>
            <c:bubble3D val="0"/>
            <c:spPr>
              <a:solidFill>
                <a:srgbClr val="7E0021"/>
              </a:solidFill>
              <a:ln w="25400">
                <a:noFill/>
              </a:ln>
            </c:spPr>
            <c:extLst xmlns:c16r2="http://schemas.microsoft.com/office/drawing/2015/06/chart">
              <c:ext xmlns:c16="http://schemas.microsoft.com/office/drawing/2014/chart" uri="{C3380CC4-5D6E-409C-BE32-E72D297353CC}">
                <c16:uniqueId val="{00000008-5E53-BE4F-BD9B-83882CE29028}"/>
              </c:ext>
            </c:extLst>
          </c:dPt>
          <c:dLbls>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53-BE4F-BD9B-83882CE29028}"/>
                </c:ext>
                <c:ext xmlns:c15="http://schemas.microsoft.com/office/drawing/2012/chart" uri="{CE6537A1-D6FC-4f65-9D91-7224C49458BB}"/>
              </c:extLst>
            </c:dLbl>
            <c:dLbl>
              <c:idx val="1"/>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53-BE4F-BD9B-83882CE29028}"/>
                </c:ext>
                <c:ext xmlns:c15="http://schemas.microsoft.com/office/drawing/2012/chart" uri="{CE6537A1-D6FC-4f65-9D91-7224C49458BB}"/>
              </c:extLst>
            </c:dLbl>
            <c:dLbl>
              <c:idx val="2"/>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53-BE4F-BD9B-83882CE29028}"/>
                </c:ext>
                <c:ext xmlns:c15="http://schemas.microsoft.com/office/drawing/2012/chart" uri="{CE6537A1-D6FC-4f65-9D91-7224C49458BB}"/>
              </c:extLst>
            </c:dLbl>
            <c:dLbl>
              <c:idx val="3"/>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53-BE4F-BD9B-83882CE29028}"/>
                </c:ext>
                <c:ext xmlns:c15="http://schemas.microsoft.com/office/drawing/2012/chart" uri="{CE6537A1-D6FC-4f65-9D91-7224C49458BB}"/>
              </c:extLst>
            </c:dLbl>
            <c:dLbl>
              <c:idx val="4"/>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53-BE4F-BD9B-83882CE29028}"/>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'Pregunta 7.21'!$H$18:$L$18</c:f>
              <c:strCache>
                <c:ptCount val="5"/>
                <c:pt idx="0">
                  <c:v>Nobody</c:v>
                </c:pt>
                <c:pt idx="1">
                  <c:v>My partner</c:v>
                </c:pt>
                <c:pt idx="2">
                  <c:v>Daughter, Nephew, Sister, Daughter in law</c:v>
                </c:pt>
                <c:pt idx="3">
                  <c:v>Son, Nephew, Brother, Son in law</c:v>
                </c:pt>
                <c:pt idx="4">
                  <c:v>Paid worker</c:v>
                </c:pt>
              </c:strCache>
            </c:strRef>
          </c:cat>
          <c:val>
            <c:numRef>
              <c:f>'Pregunta 7.21'!$H$19:$L$19</c:f>
              <c:numCache>
                <c:formatCode>0%</c:formatCode>
                <c:ptCount val="5"/>
                <c:pt idx="0">
                  <c:v>0.42857142857142899</c:v>
                </c:pt>
                <c:pt idx="1">
                  <c:v>0</c:v>
                </c:pt>
                <c:pt idx="2">
                  <c:v>0.28571428571428598</c:v>
                </c:pt>
                <c:pt idx="3">
                  <c:v>0.14285714285714299</c:v>
                </c:pt>
                <c:pt idx="4">
                  <c:v>0.14285714285714299</c:v>
                </c:pt>
              </c:numCache>
            </c:numRef>
          </c:val>
          <c:extLst xmlns:c16r2="http://schemas.microsoft.com/office/drawing/2015/06/chart">
            <c:ext xmlns:c16="http://schemas.microsoft.com/office/drawing/2014/chart" uri="{C3380CC4-5D6E-409C-BE32-E72D297353CC}">
              <c16:uniqueId val="{00000009-5E53-BE4F-BD9B-83882CE29028}"/>
            </c:ext>
          </c:extLst>
        </c:ser>
        <c:dLbls>
          <c:showLegendKey val="0"/>
          <c:showVal val="0"/>
          <c:showCatName val="0"/>
          <c:showSerName val="0"/>
          <c:showPercent val="0"/>
          <c:showBubbleSize val="0"/>
          <c:showLeaderLines val="0"/>
        </c:dLbls>
        <c:firstSliceAng val="0"/>
      </c:pieChart>
      <c:spPr>
        <a:noFill/>
        <a:ln w="3175">
          <a:solidFill>
            <a:srgbClr val="B3B3B3"/>
          </a:solidFill>
          <a:prstDash val="solid"/>
        </a:ln>
      </c:spPr>
    </c:plotArea>
    <c:legend>
      <c:legendPos val="r"/>
      <c:layout>
        <c:manualLayout>
          <c:xMode val="edge"/>
          <c:yMode val="edge"/>
          <c:x val="0.68304767885609396"/>
          <c:y val="0.37932301565752602"/>
          <c:w val="0.30471281580600001"/>
          <c:h val="0.50193230156575297"/>
        </c:manualLayout>
      </c:layout>
      <c:overlay val="0"/>
      <c:spPr>
        <a:no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DBC6D-9F8C-40D2-BDDE-9C4270ED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125885</Words>
  <Characters>717549</Characters>
  <Application>Microsoft Office Word</Application>
  <DocSecurity>0</DocSecurity>
  <Lines>5979</Lines>
  <Paragraphs>1683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Butler</dc:creator>
  <cp:keywords/>
  <dc:description/>
  <cp:lastModifiedBy>Cockarill, Nicola</cp:lastModifiedBy>
  <cp:revision>3</cp:revision>
  <cp:lastPrinted>2018-07-19T09:58:00Z</cp:lastPrinted>
  <dcterms:created xsi:type="dcterms:W3CDTF">2018-11-13T11:49:00Z</dcterms:created>
  <dcterms:modified xsi:type="dcterms:W3CDTF">2018-11-13T11:49:00Z</dcterms:modified>
</cp:coreProperties>
</file>